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版本号：SXZCZB2025-ZCGK-091120250917001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医疗保障基金使用监督检查</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SXZCZB2025-ZCGK-0911</w:t>
      </w:r>
      <w:r>
        <w:br/>
      </w:r>
      <w:r>
        <w:br/>
      </w:r>
      <w:r>
        <w:br/>
      </w:r>
    </w:p>
    <w:p>
      <w:pPr>
        <w:pStyle w:val="null3"/>
        <w:jc w:val="center"/>
        <w:outlineLvl w:val="2"/>
      </w:pPr>
      <w:r>
        <w:rPr>
          <w:rFonts w:ascii="仿宋_GB2312" w:hAnsi="仿宋_GB2312" w:cs="仿宋_GB2312" w:eastAsia="仿宋_GB2312"/>
          <w:sz w:val="28"/>
          <w:b/>
        </w:rPr>
        <w:t>西安市医疗保险基金管理中心</w:t>
      </w:r>
    </w:p>
    <w:p>
      <w:pPr>
        <w:pStyle w:val="null3"/>
        <w:jc w:val="center"/>
        <w:outlineLvl w:val="2"/>
      </w:pPr>
      <w:r>
        <w:rPr>
          <w:rFonts w:ascii="仿宋_GB2312" w:hAnsi="仿宋_GB2312" w:cs="仿宋_GB2312" w:eastAsia="仿宋_GB2312"/>
          <w:sz w:val="28"/>
          <w:b/>
        </w:rPr>
        <w:t>陕西至诚项目管理集团有限公司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陕西至诚项目管理集团有限公司</w:t>
      </w:r>
      <w:r>
        <w:rPr>
          <w:rFonts w:ascii="仿宋_GB2312" w:hAnsi="仿宋_GB2312" w:cs="仿宋_GB2312" w:eastAsia="仿宋_GB2312"/>
        </w:rPr>
        <w:t>（以下简称“代理机构”）受</w:t>
      </w:r>
      <w:r>
        <w:rPr>
          <w:rFonts w:ascii="仿宋_GB2312" w:hAnsi="仿宋_GB2312" w:cs="仿宋_GB2312" w:eastAsia="仿宋_GB2312"/>
        </w:rPr>
        <w:t>西安市医疗保险基金管理中心</w:t>
      </w:r>
      <w:r>
        <w:rPr>
          <w:rFonts w:ascii="仿宋_GB2312" w:hAnsi="仿宋_GB2312" w:cs="仿宋_GB2312" w:eastAsia="仿宋_GB2312"/>
        </w:rPr>
        <w:t>委托，拟对</w:t>
      </w:r>
      <w:r>
        <w:rPr>
          <w:rFonts w:ascii="仿宋_GB2312" w:hAnsi="仿宋_GB2312" w:cs="仿宋_GB2312" w:eastAsia="仿宋_GB2312"/>
        </w:rPr>
        <w:t>医疗保障基金使用监督检查</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SXZCZB2025-ZCGK-0911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医疗保障基金使用监督检查</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协助开展医保数据分析、各类专项检查及行政执法检查、各渠道投诉举报案件核查、各类型线索核查、参与联合监管及协查等工作，并根据工作需要联络组织专家开展病案审核、讨论及现场检查（具体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采购包1（医疗保障资金使用监督检查）：属于专门面向中小企业采购。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2、财务状况报告：提供2024年度经审计的完整财务报告或开标日期前三个月内其基本存款账户开户银行出具的资信证明。（如提供资信证明，须同时提供基本存款账户开户许可证或基本账户信息表）；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3、税收缴纳证明：提供2025年1月至今已缴纳的至少一个月的纳税证明（时间以税款所属日期为准)，依法免税的单位应提供相关证明材料；</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5、设备和专业技术能力：提供具有履行本合同所必需的设备和专业技术能力的书面声明；</w:t>
      </w:r>
    </w:p>
    <w:p>
      <w:pPr>
        <w:pStyle w:val="null3"/>
      </w:pPr>
      <w:r>
        <w:rPr>
          <w:rFonts w:ascii="仿宋_GB2312" w:hAnsi="仿宋_GB2312" w:cs="仿宋_GB2312" w:eastAsia="仿宋_GB2312"/>
        </w:rPr>
        <w:t>6、无重大违法记录：提供参加本次政府采购活动前三年内在经营活动中没有重大违法记录的书面声明；</w:t>
      </w:r>
    </w:p>
    <w:p>
      <w:pPr>
        <w:pStyle w:val="null3"/>
      </w:pPr>
      <w:r>
        <w:rPr>
          <w:rFonts w:ascii="仿宋_GB2312" w:hAnsi="仿宋_GB2312" w:cs="仿宋_GB2312" w:eastAsia="仿宋_GB2312"/>
        </w:rPr>
        <w:t>7、信用查询截图：供应商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8、法定代表人证明或授权委托书：法定代表人直接参加投标的，须出具法定代表人身份证明书；法定代表人授权代表参加投标的，须出具法定代表人授权委托书；</w:t>
      </w:r>
    </w:p>
    <w:p>
      <w:pPr>
        <w:pStyle w:val="null3"/>
      </w:pPr>
      <w:r>
        <w:rPr>
          <w:rFonts w:ascii="仿宋_GB2312" w:hAnsi="仿宋_GB2312" w:cs="仿宋_GB2312" w:eastAsia="仿宋_GB2312"/>
        </w:rPr>
        <w:t>9、企业关联关系：单位负责人为同一人或者存在直接控股、管理关系的不同供应商，不得参加同一合同项下的政府采购活动；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10、非联合体投标：本项目不接受联合体投标，提供非联合体投标声明。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西安市医疗保险基金管理中心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陕西省西安市未央区明光路166号凯瑞H座4层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赵亦诺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029-87222539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陕西至诚项目管理集团有限公司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陕西省西安市未央区陕西省西安市经济技术开发区未央路171-1号银池道拉斯财富中心21楼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康乐、孙洋、常瑛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17792371874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采购包1：3,174,000.00元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根据以中标金额为基数，按国家发展改革委发布的《关于进一步放开建设项目专业服务价格的通知》（发改价格【2015】299号）计取，计算方法参照原国家计委颁布的《招标代理服务收费管理暂行办法》（计价格『2002』1980号）。 2.代理服务费由中标供应商支付，中标供应商领取中标通知书时，须一次性向代理机构交纳采购代理服务费。3.代理服务费账 户:户名：陕西至诚项目管理集团有限公司;开户行：中国建设银行股份有限公司西安高新技术产业开发区支行;账号：61050192090000002152;开户行联号：105791000442 注：请中标供应商按照要求将服务费汇入以上指定账户，并备注“XX 项目服务费”，如因自身原因发生错误，产生的不利后果均由供应商自行承担。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西安市医疗保险基金管理中心</w:t>
      </w:r>
      <w:r>
        <w:rPr>
          <w:rFonts w:ascii="仿宋_GB2312" w:hAnsi="仿宋_GB2312" w:cs="仿宋_GB2312" w:eastAsia="仿宋_GB2312"/>
        </w:rPr>
        <w:t>和</w:t>
      </w:r>
      <w:r>
        <w:rPr>
          <w:rFonts w:ascii="仿宋_GB2312" w:hAnsi="仿宋_GB2312" w:cs="仿宋_GB2312" w:eastAsia="仿宋_GB2312"/>
        </w:rPr>
        <w:t>陕西至诚项目管理集团有限公司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西安市医疗保险基金管理中心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陕西至诚项目管理集团有限公司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西安市医疗保险基金管理中心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陕西至诚项目管理集团有限公司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1.招标文件、投标文件、澄清表（函）；2.本项目合同及附件文本；3.相关国家/行业标准及规范。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联系人：康乐、孙洋、常瑛</w:t>
      </w:r>
    </w:p>
    <w:p>
      <w:pPr>
        <w:pStyle w:val="null3"/>
      </w:pPr>
      <w:r>
        <w:rPr>
          <w:rFonts w:ascii="仿宋_GB2312" w:hAnsi="仿宋_GB2312" w:cs="仿宋_GB2312" w:eastAsia="仿宋_GB2312"/>
        </w:rPr>
        <w:t>联系电话：17792371874</w:t>
      </w:r>
    </w:p>
    <w:p>
      <w:pPr>
        <w:pStyle w:val="null3"/>
      </w:pPr>
      <w:r>
        <w:rPr>
          <w:rFonts w:ascii="仿宋_GB2312" w:hAnsi="仿宋_GB2312" w:cs="仿宋_GB2312" w:eastAsia="仿宋_GB2312"/>
        </w:rPr>
        <w:t>地址：陕西省西安市经济技术开发区未央路 171-1 号银池道拉斯财富中心 21 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协助开展医保数据分析、各类专项检查及行政执法检查、各渠道投诉举报案件核查、各类型线索核查、参与联合监管及协查等工作，并根据工作需要联络组织专家开展病案审核、讨论及现场检查（具体详见招标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3,174,000.00</w:t>
      </w:r>
    </w:p>
    <w:p>
      <w:pPr>
        <w:pStyle w:val="null3"/>
      </w:pPr>
      <w:r>
        <w:rPr>
          <w:rFonts w:ascii="仿宋_GB2312" w:hAnsi="仿宋_GB2312" w:cs="仿宋_GB2312" w:eastAsia="仿宋_GB2312"/>
        </w:rPr>
        <w:t>采购包最高限价（元）: 3,174,000.00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医疗保障基金使用监督检查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3,174,000.00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标的名称：医疗保障基金使用监督检查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00"/>
              <w:jc w:val="both"/>
            </w:pPr>
            <w:r>
              <w:rPr>
                <w:rFonts w:ascii="仿宋_GB2312" w:hAnsi="仿宋_GB2312" w:cs="仿宋_GB2312" w:eastAsia="仿宋_GB2312"/>
              </w:rPr>
              <w:t>一、服务内容</w:t>
            </w:r>
          </w:p>
          <w:p>
            <w:pPr>
              <w:pStyle w:val="null3"/>
              <w:ind w:firstLine="400"/>
              <w:jc w:val="both"/>
            </w:pPr>
            <w:r>
              <w:rPr>
                <w:rFonts w:ascii="仿宋_GB2312" w:hAnsi="仿宋_GB2312" w:cs="仿宋_GB2312" w:eastAsia="仿宋_GB2312"/>
              </w:rPr>
              <w:t>协助开展医保数据分析、各类专项检查及行政执法检查、各渠道投诉举报案件核查、各类型线索核查、参与联合监管及协查等工作，并根据工作需要联络组织专家开展病案审核、讨论及现场检查。</w:t>
            </w:r>
          </w:p>
          <w:p>
            <w:pPr>
              <w:pStyle w:val="null3"/>
              <w:ind w:firstLine="400"/>
              <w:jc w:val="both"/>
            </w:pPr>
            <w:r>
              <w:rPr>
                <w:rFonts w:ascii="仿宋_GB2312" w:hAnsi="仿宋_GB2312" w:cs="仿宋_GB2312" w:eastAsia="仿宋_GB2312"/>
              </w:rPr>
              <w:t>（一）医保数据分析</w:t>
            </w:r>
          </w:p>
          <w:p>
            <w:pPr>
              <w:pStyle w:val="null3"/>
              <w:ind w:firstLine="400"/>
              <w:jc w:val="both"/>
            </w:pPr>
            <w:r>
              <w:rPr>
                <w:rFonts w:ascii="仿宋_GB2312" w:hAnsi="仿宋_GB2312" w:cs="仿宋_GB2312" w:eastAsia="仿宋_GB2312"/>
              </w:rPr>
              <w:t>配备专业信息技术人员，负责各类检查医保数据提取、治理、分析、应用等全流程工作及医保智能监管系统的数据分析工作。重点梳理国家、省、市发布的医保基金监管规则及知识点，包括但不限于诊疗类规则、药品类规则、进销存类规则等。汇总各类检查中形成的问题清单，充分利用西安市医保智能监管系统进行数据分析，具备构建数据模型能力，熟悉线索下发、跟踪核查、收集反馈全流程管理。</w:t>
            </w:r>
          </w:p>
          <w:p>
            <w:pPr>
              <w:pStyle w:val="null3"/>
              <w:ind w:firstLine="400"/>
              <w:jc w:val="both"/>
            </w:pPr>
            <w:r>
              <w:rPr>
                <w:rFonts w:ascii="仿宋_GB2312" w:hAnsi="仿宋_GB2312" w:cs="仿宋_GB2312" w:eastAsia="仿宋_GB2312"/>
              </w:rPr>
              <w:t>（二）专项检查及行政执法检查</w:t>
            </w:r>
          </w:p>
          <w:p>
            <w:pPr>
              <w:pStyle w:val="null3"/>
              <w:ind w:firstLine="400"/>
              <w:jc w:val="both"/>
            </w:pPr>
            <w:r>
              <w:rPr>
                <w:rFonts w:ascii="仿宋_GB2312" w:hAnsi="仿宋_GB2312" w:cs="仿宋_GB2312" w:eastAsia="仿宋_GB2312"/>
              </w:rPr>
              <w:t>配备专业医疗、信息、财务等人员，结合医保数据分析结果，制定检查方案，在检查过程中具备核查账目、查阅病历、与医护人员及参保人员访谈等能力，能够配合开展争议问题申诉、确认检查结果、形成规范性检查报告、整理电子及纸质检查资料交由医保部门归档。</w:t>
            </w:r>
          </w:p>
          <w:p>
            <w:pPr>
              <w:pStyle w:val="null3"/>
              <w:ind w:firstLine="400"/>
              <w:jc w:val="both"/>
            </w:pPr>
            <w:r>
              <w:rPr>
                <w:rFonts w:ascii="仿宋_GB2312" w:hAnsi="仿宋_GB2312" w:cs="仿宋_GB2312" w:eastAsia="仿宋_GB2312"/>
              </w:rPr>
              <w:t>（三）投诉举报线索核查</w:t>
            </w:r>
          </w:p>
          <w:p>
            <w:pPr>
              <w:pStyle w:val="null3"/>
              <w:ind w:firstLine="400"/>
              <w:jc w:val="both"/>
            </w:pPr>
            <w:r>
              <w:rPr>
                <w:rFonts w:ascii="仿宋_GB2312" w:hAnsi="仿宋_GB2312" w:cs="仿宋_GB2312" w:eastAsia="仿宋_GB2312"/>
              </w:rPr>
              <w:t>安排专人接收登记各渠道来源的投诉举报线索内容，配合医保部门完成投诉举报的现场核查、对投诉人的书面答复和报告撰写工作，必要时根据投诉举报线索协同开展跨部门联合监管及异地协查等工作。</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400"/>
              <w:jc w:val="both"/>
            </w:pPr>
            <w:r>
              <w:rPr>
                <w:rFonts w:ascii="仿宋_GB2312" w:hAnsi="仿宋_GB2312" w:cs="仿宋_GB2312" w:eastAsia="仿宋_GB2312"/>
              </w:rPr>
              <w:t>二、服务时间</w:t>
            </w:r>
          </w:p>
          <w:p>
            <w:pPr>
              <w:pStyle w:val="null3"/>
              <w:ind w:firstLine="400"/>
              <w:jc w:val="both"/>
            </w:pPr>
            <w:r>
              <w:rPr>
                <w:rFonts w:ascii="仿宋_GB2312" w:hAnsi="仿宋_GB2312" w:cs="仿宋_GB2312" w:eastAsia="仿宋_GB2312"/>
              </w:rPr>
              <w:t>2025年11月-2027年5月（具体以合同约定为准）。</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ind w:firstLine="400"/>
              <w:jc w:val="both"/>
            </w:pPr>
            <w:r>
              <w:rPr>
                <w:rFonts w:ascii="仿宋_GB2312" w:hAnsi="仿宋_GB2312" w:cs="仿宋_GB2312" w:eastAsia="仿宋_GB2312"/>
              </w:rPr>
              <w:t>三、服务要求</w:t>
            </w:r>
          </w:p>
          <w:p>
            <w:pPr>
              <w:pStyle w:val="null3"/>
              <w:ind w:firstLine="400"/>
              <w:jc w:val="both"/>
            </w:pPr>
            <w:r>
              <w:rPr>
                <w:rFonts w:ascii="仿宋_GB2312" w:hAnsi="仿宋_GB2312" w:cs="仿宋_GB2312" w:eastAsia="仿宋_GB2312"/>
              </w:rPr>
              <w:t>（一）驻场服务一年零六个月期限内，配备医疗、信息、财务等专业人员，均需具备从事医保检查工作所需的专业知识、能力及相关工作经验，驻场服务期限内开展业务培训不少于5次。</w:t>
            </w:r>
          </w:p>
          <w:p>
            <w:pPr>
              <w:pStyle w:val="null3"/>
              <w:ind w:firstLine="400"/>
              <w:jc w:val="both"/>
            </w:pPr>
            <w:r>
              <w:rPr>
                <w:rFonts w:ascii="仿宋_GB2312" w:hAnsi="仿宋_GB2312" w:cs="仿宋_GB2312" w:eastAsia="仿宋_GB2312"/>
              </w:rPr>
              <w:t>（二）根据医保部门的相关要求和检查标准认真实施检查工作，检查工作参与率不少于80%，检查结束后及时完成电子及纸质资料整理移交工作。</w:t>
            </w:r>
          </w:p>
          <w:p>
            <w:pPr>
              <w:pStyle w:val="null3"/>
              <w:ind w:firstLine="400"/>
              <w:jc w:val="both"/>
            </w:pPr>
            <w:r>
              <w:rPr>
                <w:rFonts w:ascii="仿宋_GB2312" w:hAnsi="仿宋_GB2312" w:cs="仿宋_GB2312" w:eastAsia="仿宋_GB2312"/>
              </w:rPr>
              <w:t>（三）建立内部管理制度，明确岗位职责、人员考勤、培训计划、质量控制、廉洁保密、应急响应等制度内容，不得以任何方式损害医保部门的形象和利益，对有关工作秘密和信息予以保密。</w:t>
            </w:r>
          </w:p>
          <w:p>
            <w:pPr>
              <w:pStyle w:val="null3"/>
            </w:pP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ind w:firstLine="400"/>
              <w:jc w:val="both"/>
            </w:pPr>
            <w:r>
              <w:rPr>
                <w:rFonts w:ascii="仿宋_GB2312" w:hAnsi="仿宋_GB2312" w:cs="仿宋_GB2312" w:eastAsia="仿宋_GB2312"/>
              </w:rPr>
              <w:t>四、验收要求</w:t>
            </w:r>
          </w:p>
          <w:p>
            <w:pPr>
              <w:pStyle w:val="null3"/>
              <w:ind w:firstLine="400"/>
              <w:jc w:val="both"/>
            </w:pPr>
            <w:r>
              <w:rPr>
                <w:rFonts w:ascii="仿宋_GB2312" w:hAnsi="仿宋_GB2312" w:cs="仿宋_GB2312" w:eastAsia="仿宋_GB2312"/>
              </w:rPr>
              <w:t>（一）服务商完成所有服务内容且无争议视为验收合格。</w:t>
            </w:r>
          </w:p>
          <w:p>
            <w:pPr>
              <w:pStyle w:val="null3"/>
              <w:ind w:firstLine="400"/>
              <w:jc w:val="both"/>
            </w:pPr>
            <w:r>
              <w:rPr>
                <w:rFonts w:ascii="仿宋_GB2312" w:hAnsi="仿宋_GB2312" w:cs="仿宋_GB2312" w:eastAsia="仿宋_GB2312"/>
              </w:rPr>
              <w:t>（二）验收依据：招标文件；投标文件；合同文本；相关国家/行业标准及规范。</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满足招标文件及采购人要求。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满足招标文件及采购人要求。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根据招标文件要求及合同约定执行；事业单位参与投标时，可不提供财务状况报告、社会保障资金和税收缴纳证明；依法免税或不需要缴纳社会保障资金的供应商，应提供相应证明文件，证明其依法免税或不需要缴纳社会保障资金；自然人（仅限中国公民）参与投标时，只须提供身份证复印件；2.（投标文件格式-标的清单）本项目服务范围：医疗保障基金使用监督检查； 服务要求：符合招标文件有关技术、商务要求；服务标准：符合国家及行业现行标准。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2025年11月-2027年5月（具体以合同约定为准）。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人提交项目所有的成果报告后，由采购人和中标人共同对项目进行整体验收。其内容包括是否按照采购人要求进行服务、是否在规定时间内服务完毕。其他事项：（1）验收合格后，填写政府采购项目验收单作为对本服务的最终认可。（2）服务商向采购人提供服务过程中的所有资料,以便采购人日后管理。（3）验收依据：招标文件、投标文件、澄清表（函）；本合同及附件文本；相关国家/行业标准及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服务期限过半后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完成所有服务且经采购人验收合格后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1）按《中华人民共和国民法典》中的相关条款执行。（2）未按合同要求提供服务或服务质量不能满足本次采购要求，甲方会同监督机构、采购代理机构有权终止合同和对乙方违约行为进行追究，同时按有关规定进行相应的处罚。 2.合同争议解决的方式：本合同在履行过程中发生的争议，由甲、乙双方当事人协商解决，协商不成的按下列第（2）种方式解决：（1）提交西安仲裁委员会仲裁；（2）依法向有管辖权的人民法院起诉。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1.安全责任：中标人应对其工作人员在现场工作期间的一切行为负责，如安全事故责任及因此发生的人身损害赔偿和其它费用由中标人承担。 2.保密条款：（1）中标人应严格遵守采购单位有关保密规定，不得泄漏一切机密；（2）在技术服务期间，中标人对接触到的有关采购单位商业活动、技术情报和技术资料等文件进行保密。3.招标文件中前后不一致处以第三章3.5其他要求为准。4.为顺利推进政府采购电子化交易平台应用工作，投标人需要在线提交所有通过电子化交易平台实施的政府采购项目的投标文件，确定中标后，中标人须向代理机构提交纸质版投标文件，正本壹份、副本贰份、电子版壹份（U盘）用于项目存档。</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提供2024年度经审计的完整财务报告或开标日期前三个月内其基本存款账户开户银行出具的资信证明。（如提供资信证明，须同时提供基本存款账户开户许可证或基本账户信息表）；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提供2025年1月至今已缴纳的至少一个月的纳税证明（时间以税款所属日期为准)，依法免税的单位应提供相关证明材料；</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信用查询截图</w:t>
            </w:r>
          </w:p>
        </w:tc>
        <w:tc>
          <w:tcPr>
            <w:tcW w:type="dxa" w:w="3322"/>
          </w:tcPr>
          <w:p>
            <w:pPr>
              <w:pStyle w:val="null3"/>
            </w:pPr>
            <w:r>
              <w:rPr>
                <w:rFonts w:ascii="仿宋_GB2312" w:hAnsi="仿宋_GB2312" w:cs="仿宋_GB2312" w:eastAsia="仿宋_GB2312"/>
              </w:rPr>
              <w:t>供应商未被列入信用中国网站(www.creditchina.gov.cn)“失信被执行人、重大税收违法失信主体”；不处于中国政府采购网(www.ccgp.gov.cn)“政府采购严重违法失信行为信息记录”中的禁止参加政府采购活动期间；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法定代表人证明或授权委托书</w:t>
            </w:r>
          </w:p>
        </w:tc>
        <w:tc>
          <w:tcPr>
            <w:tcW w:type="dxa" w:w="3322"/>
          </w:tcPr>
          <w:p>
            <w:pPr>
              <w:pStyle w:val="null3"/>
            </w:pPr>
            <w:r>
              <w:rPr>
                <w:rFonts w:ascii="仿宋_GB2312" w:hAnsi="仿宋_GB2312" w:cs="仿宋_GB2312" w:eastAsia="仿宋_GB2312"/>
              </w:rPr>
              <w:t>法定代表人直接参加投标的，须出具法定代表人身份证明书；法定代表人授权代表参加投标的，须出具法定代表人授权委托书；</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本项目不接受联合体投标，提供非联合体投标声明。</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应符合投标文件要求。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投标文件报价</w:t>
            </w:r>
          </w:p>
        </w:tc>
        <w:tc>
          <w:tcPr>
            <w:tcW w:type="dxa" w:w="3322"/>
          </w:tcPr>
          <w:p>
            <w:pPr>
              <w:pStyle w:val="null3"/>
            </w:pPr>
            <w:r>
              <w:rPr>
                <w:rFonts w:ascii="仿宋_GB2312" w:hAnsi="仿宋_GB2312" w:cs="仿宋_GB2312" w:eastAsia="仿宋_GB2312"/>
              </w:rPr>
              <w:t>报价唯一，投标报价符合唯一性要求、投标报价表填写符合要求、报价货币符合招标文件要求、报价数量与要求符合并未出现漏项、未超出采购预算和招标文件规定的各分项最高限价；只能有一个有效报价，不得提交选择性报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投标文件内容符合招标文件要求； 投标文件中项目名称、项目编号与本项目一致。 投标文件至少包括：1.投标函；2.投标报价表；3.投标人资格证明；4.采购需求偏离表；5.投标人承诺书。</w:t>
            </w:r>
          </w:p>
        </w:tc>
        <w:tc>
          <w:tcPr>
            <w:tcW w:type="dxa" w:w="1661"/>
          </w:tcPr>
          <w:p>
            <w:pPr>
              <w:pStyle w:val="null3"/>
            </w:pPr>
            <w:r>
              <w:rPr>
                <w:rFonts w:ascii="仿宋_GB2312" w:hAnsi="仿宋_GB2312" w:cs="仿宋_GB2312" w:eastAsia="仿宋_GB2312"/>
              </w:rPr>
              <w:t>采购需求偏离表.pdf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应满足招标文件中要求的服务期限。</w:t>
            </w:r>
          </w:p>
        </w:tc>
        <w:tc>
          <w:tcPr>
            <w:tcW w:type="dxa" w:w="1661"/>
          </w:tcPr>
          <w:p>
            <w:pPr>
              <w:pStyle w:val="null3"/>
            </w:pPr>
            <w:r>
              <w:rPr>
                <w:rFonts w:ascii="仿宋_GB2312" w:hAnsi="仿宋_GB2312" w:cs="仿宋_GB2312" w:eastAsia="仿宋_GB2312"/>
              </w:rPr>
              <w:t>开标一览表 采购需求偏离表.pdf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对招标文件条款响应</w:t>
            </w:r>
          </w:p>
        </w:tc>
        <w:tc>
          <w:tcPr>
            <w:tcW w:type="dxa" w:w="3322"/>
          </w:tcPr>
          <w:p>
            <w:pPr>
              <w:pStyle w:val="null3"/>
            </w:pPr>
            <w:r>
              <w:rPr>
                <w:rFonts w:ascii="仿宋_GB2312" w:hAnsi="仿宋_GB2312" w:cs="仿宋_GB2312" w:eastAsia="仿宋_GB2312"/>
              </w:rPr>
              <w:t>要求实质性条款全部响应，不能有采购人不能接受的附加条件，未有负偏离且响应的内容未含有采购人不能接受的附加条件。</w:t>
            </w:r>
          </w:p>
        </w:tc>
        <w:tc>
          <w:tcPr>
            <w:tcW w:type="dxa" w:w="1661"/>
          </w:tcPr>
          <w:p>
            <w:pPr>
              <w:pStyle w:val="null3"/>
            </w:pPr>
            <w:r>
              <w:rPr>
                <w:rFonts w:ascii="仿宋_GB2312" w:hAnsi="仿宋_GB2312" w:cs="仿宋_GB2312" w:eastAsia="仿宋_GB2312"/>
              </w:rPr>
              <w:t>采购需求偏离表.pdf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对项目的整体认识</w:t>
            </w:r>
          </w:p>
        </w:tc>
        <w:tc>
          <w:tcPr>
            <w:tcW w:type="dxa" w:w="2492"/>
          </w:tcPr>
          <w:p>
            <w:pPr>
              <w:pStyle w:val="null3"/>
            </w:pPr>
            <w:r>
              <w:rPr>
                <w:rFonts w:ascii="仿宋_GB2312" w:hAnsi="仿宋_GB2312" w:cs="仿宋_GB2312" w:eastAsia="仿宋_GB2312"/>
              </w:rPr>
              <w:t>提供对项目的整体认识，内容至少包括①政策解读；②项目的理解程度；③服务目标的理解。以上内容专门针对本项目且阐述明晰、全面、合理得9分，每缺一项内容扣3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服务方案说明书.pdf</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实施方案，内容至少包括①工作思路；②工作阶段划分及各阶段的工作内容（包括数据采集、处理、标准化以及数据库建设、数据建模、数据报告、现场检查等服务内容）；③执行的规范、标准和依据解读；④工作流程及工作办法；⑤应急保障措施。以上内容专门针对本项目且阐述明晰、全面、合理得25分，每缺一项内容扣5分，若上述内容存在瑕疵，每出现一处瑕疵扣2分，扣完为止。“瑕疵”指内容明显错误，或内容不完整或缺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服务方案说明书.pdf</w:t>
            </w:r>
          </w:p>
        </w:tc>
      </w:tr>
      <w:tr>
        <w:tc>
          <w:tcPr>
            <w:tcW w:type="dxa" w:w="831"/>
            <w:vMerge/>
          </w:tcPr>
          <w:p/>
        </w:tc>
        <w:tc>
          <w:tcPr>
            <w:tcW w:type="dxa" w:w="1661"/>
          </w:tcPr>
          <w:p>
            <w:pPr>
              <w:pStyle w:val="null3"/>
            </w:pPr>
            <w:r>
              <w:rPr>
                <w:rFonts w:ascii="仿宋_GB2312" w:hAnsi="仿宋_GB2312" w:cs="仿宋_GB2312" w:eastAsia="仿宋_GB2312"/>
              </w:rPr>
              <w:t>进度计划保障方案</w:t>
            </w:r>
          </w:p>
        </w:tc>
        <w:tc>
          <w:tcPr>
            <w:tcW w:type="dxa" w:w="2492"/>
          </w:tcPr>
          <w:p>
            <w:pPr>
              <w:pStyle w:val="null3"/>
            </w:pPr>
            <w:r>
              <w:rPr>
                <w:rFonts w:ascii="仿宋_GB2312" w:hAnsi="仿宋_GB2312" w:cs="仿宋_GB2312" w:eastAsia="仿宋_GB2312"/>
              </w:rPr>
              <w:t>提供进度计划保障方案，内容至少包括①项目实施进度目标分析；②项目进度计划安排方案；③项目进度保障。以上内容专门针对本项目且阐述明晰、全面、合理得9分，每缺一项内容扣3分，若上述内容存在瑕疵，每出现一处瑕疵扣1分，扣完为止。“瑕疵”指内容明显错误，或内容不完整或缺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服务方案说明书.pdf</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提供保密措施，内容至少包括①保密管理制度；②保密责任；③具体工作保密措施；④保密承诺。 以上内容专门针对本项目且阐述明晰、全面、合理得4分，每缺一项内容扣1分，若上述内容存在瑕疵，每出现一处瑕疵扣0.5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服务方案说明书.pdf</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提供服务承诺及合理化建议，内容至少包括①积极配合采购人服务要求；②廉洁从业的承诺；③重难点分析；④合理化建议。以上内容专门针对本项目且阐述明晰、全面、合理得8分，每缺一项内容扣2分，若上述内容存在瑕疵，每出现一处瑕疵扣1分，扣完为止。“瑕疵”指内容明显错误，或内容不完整或缺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服务方案说明书.pdf</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提供质量保障方案，内容至少包括①质量保障方案；②质量目标；③数据报告质量控制措施。以上内容专门针对本项目且阐述明晰、全面、合理得9分，每缺一项内容扣3分， 若上述内容存在瑕疵，每出现一处瑕疵扣1分，扣完为止。“瑕疵”指内容明显错误，或内容表述前后矛盾或内容不完整或表达简单笼统或缺少关键点，或不适用本项目特性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服务方案说明书.pdf</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有3年以上医疗保障基金使用监督检查相关服务经验，提供项目负责人近三年已完类似业绩，每提供一个得2分，满分4分。（注：业绩证明文件以合同为准，时间以合同签订时间为准，未提供或不清晰导致无法识别的不予认可。）</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服务方案说明书.pdf</w:t>
            </w:r>
          </w:p>
        </w:tc>
      </w:tr>
      <w:tr>
        <w:tc>
          <w:tcPr>
            <w:tcW w:type="dxa" w:w="831"/>
            <w:vMerge/>
          </w:tcPr>
          <w:p/>
        </w:tc>
        <w:tc>
          <w:tcPr>
            <w:tcW w:type="dxa" w:w="1661"/>
          </w:tcPr>
          <w:p>
            <w:pPr>
              <w:pStyle w:val="null3"/>
            </w:pPr>
            <w:r>
              <w:rPr>
                <w:rFonts w:ascii="仿宋_GB2312" w:hAnsi="仿宋_GB2312" w:cs="仿宋_GB2312" w:eastAsia="仿宋_GB2312"/>
              </w:rPr>
              <w:t>组织架构及岗位职责</w:t>
            </w:r>
          </w:p>
        </w:tc>
        <w:tc>
          <w:tcPr>
            <w:tcW w:type="dxa" w:w="2492"/>
          </w:tcPr>
          <w:p>
            <w:pPr>
              <w:pStyle w:val="null3"/>
            </w:pPr>
            <w:r>
              <w:rPr>
                <w:rFonts w:ascii="仿宋_GB2312" w:hAnsi="仿宋_GB2312" w:cs="仿宋_GB2312" w:eastAsia="仿宋_GB2312"/>
              </w:rPr>
              <w:t>提供组织架构及岗位职责，内容至少包括①服务团队组织人员配置明细；②团队人员管理制度（至少包括人员考勤、培训计划）；③各专业岗位配置；④配置人员资格（至少包括大数据分析、医学或药学或护理学、会计或审计等相关专业）、职称及工作经验。以上内容专门针对本项目且阐述明晰、全面、合理得12分，每缺一项内容扣3分，若上述内容存在瑕疵，每出现一处瑕疵扣1分，扣完为止。“瑕疵”指内容明显错误，或内容不完整或缺少关键点，或不适用本项目特性、套用其他项目内容或内容不能满足本项目实际需求等情形。（注：提供以上人员相关证件证明，未提供或提供不全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服务方案说明书.pdf</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提供2022年1月1日至今承担的类似业绩。每提供1项得2分，满分10分。 （注：1.业绩证明文件以合同为准，时间以合同签订时间为准，未提供或不清晰导致无法识别的不予认可。2.企业业绩与项目负责人业绩不重复得分。）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服务方案说明书.pdf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1.满足招标文件实质性要求且投标价格最低的投标报价为评标基准价，其价格分为满分10分。 2.报价得分=（评标基准价/投标报价）×10的公式计算得分。 3.投标报价不完整的，不进入评标标准价的计算，本项得0分。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详见附件：采购需求偏离表.pdf</w:t>
      </w:r>
    </w:p>
    <w:p>
      <w:pPr>
        <w:pStyle w:val="null3"/>
        <w:ind w:firstLine="960"/>
      </w:pPr>
      <w:r>
        <w:rPr>
          <w:rFonts w:ascii="仿宋_GB2312" w:hAnsi="仿宋_GB2312" w:cs="仿宋_GB2312" w:eastAsia="仿宋_GB2312"/>
        </w:rPr>
        <w:t>详见附件：服务方案说明书.pdf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详见附件：拟签订的合同文件.docx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