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F4E70">
      <w:pPr>
        <w:pStyle w:val="9"/>
        <w:spacing w:line="360" w:lineRule="auto"/>
        <w:ind w:left="0" w:leftChars="0" w:firstLine="0" w:firstLineChars="0"/>
        <w:jc w:val="center"/>
        <w:rPr>
          <w:rFonts w:hint="default" w:hAnsi="宋体" w:eastAsia="宋体" w:cs="仿宋"/>
          <w:b/>
          <w:bCs/>
          <w:color w:val="auto"/>
          <w:sz w:val="36"/>
          <w:szCs w:val="36"/>
          <w:highlight w:val="none"/>
          <w:lang w:val="en-US" w:eastAsia="zh-CN"/>
        </w:rPr>
      </w:pPr>
      <w:r>
        <w:rPr>
          <w:rFonts w:hint="eastAsia" w:hAnsi="宋体" w:eastAsia="宋体" w:cs="仿宋"/>
          <w:b/>
          <w:bCs/>
          <w:color w:val="auto"/>
          <w:sz w:val="36"/>
          <w:szCs w:val="36"/>
          <w:highlight w:val="none"/>
          <w:lang w:val="en-US" w:eastAsia="zh-CN"/>
        </w:rPr>
        <w:t>医疗保障基金使用监督检查</w:t>
      </w:r>
    </w:p>
    <w:p w14:paraId="6FD0D4C4">
      <w:pPr>
        <w:pStyle w:val="9"/>
        <w:ind w:left="0" w:leftChars="0" w:firstLine="0" w:firstLineChars="0"/>
        <w:jc w:val="center"/>
        <w:rPr>
          <w:rFonts w:hint="default" w:hAnsi="宋体" w:eastAsia="宋体" w:cs="仿宋"/>
          <w:b/>
          <w:bCs/>
          <w:color w:val="auto"/>
          <w:szCs w:val="28"/>
          <w:highlight w:val="none"/>
          <w:lang w:val="en-US" w:eastAsia="zh-CN"/>
        </w:rPr>
      </w:pPr>
      <w:r>
        <w:rPr>
          <w:rFonts w:hint="eastAsia" w:hAnsi="宋体" w:eastAsia="宋体" w:cs="仿宋"/>
          <w:b/>
          <w:bCs/>
          <w:color w:val="auto"/>
          <w:szCs w:val="28"/>
          <w:highlight w:val="none"/>
          <w:lang w:val="en-US" w:eastAsia="zh-CN"/>
        </w:rPr>
        <w:t>服务合同</w:t>
      </w:r>
    </w:p>
    <w:p w14:paraId="1A965CE7">
      <w:pPr>
        <w:pStyle w:val="9"/>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根据《中华人民共和国政府采购法》、《中华人民共和国民法典》等有关法律法规规定，</w:t>
      </w:r>
      <w:r>
        <w:rPr>
          <w:rFonts w:hint="eastAsia" w:hAnsi="宋体" w:eastAsia="宋体" w:cs="仿宋"/>
          <w:color w:val="auto"/>
          <w:sz w:val="21"/>
          <w:szCs w:val="21"/>
          <w:highlight w:val="none"/>
          <w:u w:val="single"/>
          <w:lang w:eastAsia="zh-CN"/>
        </w:rPr>
        <w:t>西安市医疗保险基金管理中心</w:t>
      </w:r>
      <w:r>
        <w:rPr>
          <w:rFonts w:hint="eastAsia" w:hAnsi="宋体" w:eastAsia="宋体" w:cs="仿宋"/>
          <w:color w:val="auto"/>
          <w:sz w:val="21"/>
          <w:szCs w:val="21"/>
          <w:highlight w:val="none"/>
          <w:u w:val="single"/>
        </w:rPr>
        <w:t>（</w:t>
      </w:r>
      <w:r>
        <w:rPr>
          <w:rFonts w:hint="eastAsia" w:hAnsi="宋体" w:eastAsia="宋体" w:cs="仿宋"/>
          <w:color w:val="auto"/>
          <w:sz w:val="21"/>
          <w:szCs w:val="21"/>
          <w:highlight w:val="none"/>
        </w:rPr>
        <w:t>采购人名称）(以下简称：“甲方”)通过</w:t>
      </w:r>
      <w:r>
        <w:rPr>
          <w:rFonts w:hint="eastAsia" w:hAnsi="宋体" w:eastAsia="宋体" w:cs="仿宋"/>
          <w:color w:val="auto"/>
          <w:sz w:val="21"/>
          <w:szCs w:val="21"/>
          <w:highlight w:val="none"/>
          <w:u w:val="single"/>
        </w:rPr>
        <w:t>竞争性磋商</w:t>
      </w:r>
      <w:r>
        <w:rPr>
          <w:rFonts w:hint="eastAsia" w:hAnsi="宋体" w:eastAsia="宋体" w:cs="仿宋"/>
          <w:color w:val="auto"/>
          <w:sz w:val="21"/>
          <w:szCs w:val="21"/>
          <w:highlight w:val="none"/>
        </w:rPr>
        <w:t>(采购方式)确定</w:t>
      </w:r>
      <w:r>
        <w:rPr>
          <w:rFonts w:hint="eastAsia" w:hAnsi="宋体" w:eastAsia="宋体" w:cs="仿宋"/>
          <w:color w:val="auto"/>
          <w:sz w:val="21"/>
          <w:szCs w:val="21"/>
          <w:highlight w:val="none"/>
          <w:u w:val="single"/>
          <w:lang w:val="en-US" w:eastAsia="zh-CN"/>
        </w:rPr>
        <w:t xml:space="preserve">      </w:t>
      </w:r>
      <w:r>
        <w:rPr>
          <w:rFonts w:hint="eastAsia" w:hAnsi="宋体" w:eastAsia="宋体" w:cs="仿宋"/>
          <w:color w:val="auto"/>
          <w:sz w:val="21"/>
          <w:szCs w:val="21"/>
          <w:highlight w:val="none"/>
        </w:rPr>
        <w:t>(</w:t>
      </w:r>
      <w:r>
        <w:rPr>
          <w:rFonts w:hint="eastAsia" w:hAnsi="宋体" w:eastAsia="宋体" w:cs="仿宋"/>
          <w:color w:val="auto"/>
          <w:sz w:val="21"/>
          <w:szCs w:val="21"/>
          <w:highlight w:val="none"/>
          <w:lang w:eastAsia="zh-CN"/>
        </w:rPr>
        <w:t>成交供应商</w:t>
      </w:r>
      <w:r>
        <w:rPr>
          <w:rFonts w:hint="eastAsia" w:hAnsi="宋体" w:eastAsia="宋体" w:cs="仿宋"/>
          <w:color w:val="auto"/>
          <w:sz w:val="21"/>
          <w:szCs w:val="21"/>
          <w:highlight w:val="none"/>
        </w:rPr>
        <w:t>名称)(以下简称：“乙方”)为</w:t>
      </w:r>
      <w:r>
        <w:rPr>
          <w:rFonts w:hint="eastAsia" w:hAnsi="宋体" w:eastAsia="宋体" w:cs="仿宋"/>
          <w:color w:val="auto"/>
          <w:sz w:val="21"/>
          <w:szCs w:val="21"/>
          <w:highlight w:val="none"/>
          <w:u w:val="single"/>
          <w:lang w:eastAsia="zh-CN"/>
        </w:rPr>
        <w:t>医疗保障基金使用监督检查（</w:t>
      </w:r>
      <w:r>
        <w:rPr>
          <w:rFonts w:hint="eastAsia" w:hAnsi="宋体" w:eastAsia="宋体" w:cs="仿宋"/>
          <w:color w:val="auto"/>
          <w:sz w:val="21"/>
          <w:szCs w:val="21"/>
          <w:highlight w:val="none"/>
          <w:u w:val="single"/>
        </w:rPr>
        <w:t>采购项目编号：</w:t>
      </w:r>
      <w:r>
        <w:rPr>
          <w:rFonts w:hint="eastAsia" w:hAnsi="宋体" w:eastAsia="宋体" w:cs="仿宋"/>
          <w:color w:val="auto"/>
          <w:sz w:val="21"/>
          <w:szCs w:val="21"/>
          <w:highlight w:val="none"/>
          <w:u w:val="single"/>
          <w:lang w:eastAsia="zh-CN"/>
        </w:rPr>
        <w:t>SXZCZB2025-ZCGK-0911）</w:t>
      </w:r>
      <w:r>
        <w:rPr>
          <w:rFonts w:hint="eastAsia" w:hAnsi="宋体" w:eastAsia="宋体" w:cs="仿宋"/>
          <w:color w:val="auto"/>
          <w:sz w:val="21"/>
          <w:szCs w:val="21"/>
          <w:highlight w:val="none"/>
        </w:rPr>
        <w:t>的</w:t>
      </w:r>
      <w:r>
        <w:rPr>
          <w:rFonts w:hint="eastAsia" w:hAnsi="宋体" w:eastAsia="宋体" w:cs="仿宋"/>
          <w:color w:val="auto"/>
          <w:sz w:val="21"/>
          <w:szCs w:val="21"/>
          <w:highlight w:val="none"/>
          <w:u w:val="single"/>
        </w:rPr>
        <w:t>成交供应商</w:t>
      </w:r>
      <w:r>
        <w:rPr>
          <w:rFonts w:hint="eastAsia" w:hAnsi="宋体" w:eastAsia="宋体" w:cs="仿宋"/>
          <w:color w:val="auto"/>
          <w:sz w:val="21"/>
          <w:szCs w:val="21"/>
          <w:highlight w:val="none"/>
        </w:rPr>
        <w:t>。甲乙双方经过友好协商，同意签署</w:t>
      </w:r>
      <w:r>
        <w:rPr>
          <w:rFonts w:hint="eastAsia" w:hAnsi="宋体" w:eastAsia="宋体" w:cs="仿宋"/>
          <w:color w:val="auto"/>
          <w:sz w:val="21"/>
          <w:szCs w:val="21"/>
          <w:highlight w:val="none"/>
          <w:u w:val="single"/>
        </w:rPr>
        <w:t>《</w:t>
      </w:r>
      <w:r>
        <w:rPr>
          <w:rFonts w:hint="eastAsia" w:hAnsi="宋体" w:eastAsia="宋体" w:cs="仿宋"/>
          <w:color w:val="auto"/>
          <w:sz w:val="21"/>
          <w:szCs w:val="21"/>
          <w:highlight w:val="none"/>
          <w:u w:val="single"/>
          <w:lang w:eastAsia="zh-CN"/>
        </w:rPr>
        <w:t>医疗保障基金使用监督检查</w:t>
      </w:r>
      <w:r>
        <w:rPr>
          <w:rFonts w:hint="eastAsia" w:hAnsi="宋体" w:eastAsia="宋体" w:cs="仿宋"/>
          <w:color w:val="auto"/>
          <w:sz w:val="21"/>
          <w:szCs w:val="21"/>
          <w:highlight w:val="none"/>
          <w:u w:val="single"/>
          <w:lang w:val="en-US" w:eastAsia="zh-CN"/>
        </w:rPr>
        <w:t>服务</w:t>
      </w:r>
      <w:r>
        <w:rPr>
          <w:rFonts w:hint="eastAsia" w:hAnsi="宋体" w:eastAsia="宋体" w:cs="仿宋"/>
          <w:color w:val="auto"/>
          <w:sz w:val="21"/>
          <w:szCs w:val="21"/>
          <w:highlight w:val="none"/>
          <w:u w:val="single"/>
        </w:rPr>
        <w:t>合同》</w:t>
      </w:r>
      <w:r>
        <w:rPr>
          <w:rFonts w:hint="eastAsia" w:hAnsi="宋体" w:eastAsia="宋体" w:cs="仿宋"/>
          <w:color w:val="auto"/>
          <w:sz w:val="21"/>
          <w:szCs w:val="21"/>
          <w:highlight w:val="none"/>
        </w:rPr>
        <w:t>(以下简称：“合同”)。</w:t>
      </w:r>
    </w:p>
    <w:p w14:paraId="5E5BAD34">
      <w:pPr>
        <w:pStyle w:val="9"/>
        <w:keepNext w:val="0"/>
        <w:keepLines w:val="0"/>
        <w:pageBreakBefore w:val="0"/>
        <w:widowControl w:val="0"/>
        <w:kinsoku/>
        <w:wordWrap/>
        <w:overflowPunct/>
        <w:topLinePunct w:val="0"/>
        <w:autoSpaceDE/>
        <w:autoSpaceDN/>
        <w:bidi w:val="0"/>
        <w:spacing w:line="360" w:lineRule="auto"/>
        <w:textAlignment w:val="auto"/>
        <w:rPr>
          <w:rFonts w:hAnsi="宋体" w:eastAsia="宋体" w:cs="仿宋"/>
          <w:b/>
          <w:bCs/>
          <w:color w:val="auto"/>
          <w:sz w:val="21"/>
          <w:szCs w:val="21"/>
          <w:highlight w:val="none"/>
        </w:rPr>
      </w:pPr>
      <w:r>
        <w:rPr>
          <w:rFonts w:hint="eastAsia" w:hAnsi="宋体" w:eastAsia="宋体" w:cs="仿宋"/>
          <w:b/>
          <w:bCs/>
          <w:color w:val="auto"/>
          <w:sz w:val="21"/>
          <w:szCs w:val="21"/>
          <w:highlight w:val="none"/>
        </w:rPr>
        <w:t>1.合同文件</w:t>
      </w:r>
    </w:p>
    <w:p w14:paraId="596D54EA">
      <w:pPr>
        <w:pStyle w:val="9"/>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下列文件是构成本合同不可分割的部分：</w:t>
      </w:r>
    </w:p>
    <w:p w14:paraId="6F705E7E">
      <w:pPr>
        <w:pStyle w:val="9"/>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(1)合同条款；</w:t>
      </w:r>
    </w:p>
    <w:p w14:paraId="4866FE56">
      <w:pPr>
        <w:pStyle w:val="9"/>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(2)成交通知书；</w:t>
      </w:r>
    </w:p>
    <w:p w14:paraId="5F44452B">
      <w:pPr>
        <w:pStyle w:val="9"/>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(3)竞争性磋商文件</w:t>
      </w:r>
    </w:p>
    <w:p w14:paraId="3D1B93F4">
      <w:pPr>
        <w:pStyle w:val="9"/>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(4)竞争性磋商响应文件；</w:t>
      </w:r>
    </w:p>
    <w:p w14:paraId="1C528844">
      <w:pPr>
        <w:pStyle w:val="9"/>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(5)其他。</w:t>
      </w:r>
    </w:p>
    <w:p w14:paraId="60C8F519">
      <w:pPr>
        <w:pStyle w:val="9"/>
        <w:keepNext w:val="0"/>
        <w:keepLines w:val="0"/>
        <w:pageBreakBefore w:val="0"/>
        <w:widowControl w:val="0"/>
        <w:kinsoku/>
        <w:wordWrap/>
        <w:overflowPunct/>
        <w:topLinePunct w:val="0"/>
        <w:autoSpaceDE/>
        <w:autoSpaceDN/>
        <w:bidi w:val="0"/>
        <w:spacing w:line="360" w:lineRule="auto"/>
        <w:textAlignment w:val="auto"/>
        <w:rPr>
          <w:rFonts w:hint="eastAsia" w:hAnsi="宋体" w:eastAsia="宋体" w:cs="仿宋"/>
          <w:b/>
          <w:bCs/>
          <w:color w:val="auto"/>
          <w:sz w:val="21"/>
          <w:szCs w:val="21"/>
          <w:highlight w:val="none"/>
        </w:rPr>
      </w:pPr>
      <w:r>
        <w:rPr>
          <w:rFonts w:hint="eastAsia" w:hAnsi="宋体" w:eastAsia="宋体" w:cs="仿宋"/>
          <w:b/>
          <w:bCs/>
          <w:color w:val="auto"/>
          <w:sz w:val="21"/>
          <w:szCs w:val="21"/>
          <w:highlight w:val="none"/>
        </w:rPr>
        <w:t>2.合同标的(根据实际情况填写)</w:t>
      </w:r>
    </w:p>
    <w:tbl>
      <w:tblPr>
        <w:tblStyle w:val="15"/>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1"/>
        <w:gridCol w:w="451"/>
        <w:gridCol w:w="451"/>
        <w:gridCol w:w="846"/>
        <w:gridCol w:w="800"/>
        <w:gridCol w:w="5446"/>
      </w:tblGrid>
      <w:tr w14:paraId="6241C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91" w:type="dxa"/>
            <w:vAlign w:val="center"/>
          </w:tcPr>
          <w:p w14:paraId="527B2828">
            <w:pPr>
              <w:pStyle w:val="9"/>
              <w:keepNext w:val="0"/>
              <w:keepLines w:val="0"/>
              <w:pageBreakBefore w:val="0"/>
              <w:widowControl w:val="0"/>
              <w:kinsoku/>
              <w:wordWrap/>
              <w:overflowPunct/>
              <w:topLinePunct w:val="0"/>
              <w:autoSpaceDE/>
              <w:autoSpaceDN/>
              <w:bidi w:val="0"/>
              <w:spacing w:line="360" w:lineRule="auto"/>
              <w:jc w:val="center"/>
              <w:textAlignment w:val="auto"/>
              <w:rPr>
                <w:rFonts w:hAnsi="宋体" w:eastAsia="宋体" w:cs="仿宋"/>
                <w:b/>
                <w:bCs/>
                <w:color w:val="auto"/>
                <w:sz w:val="21"/>
                <w:szCs w:val="21"/>
                <w:highlight w:val="none"/>
              </w:rPr>
            </w:pPr>
            <w:r>
              <w:rPr>
                <w:rFonts w:hint="eastAsia" w:hAnsi="宋体" w:eastAsia="宋体" w:cs="仿宋"/>
                <w:b/>
                <w:bCs/>
                <w:color w:val="auto"/>
                <w:sz w:val="21"/>
                <w:szCs w:val="21"/>
                <w:highlight w:val="none"/>
              </w:rPr>
              <w:t>名称</w:t>
            </w:r>
          </w:p>
        </w:tc>
        <w:tc>
          <w:tcPr>
            <w:tcW w:w="451" w:type="dxa"/>
            <w:vAlign w:val="center"/>
          </w:tcPr>
          <w:p w14:paraId="1C210FBD">
            <w:pPr>
              <w:pStyle w:val="9"/>
              <w:keepNext w:val="0"/>
              <w:keepLines w:val="0"/>
              <w:pageBreakBefore w:val="0"/>
              <w:widowControl w:val="0"/>
              <w:kinsoku/>
              <w:wordWrap/>
              <w:overflowPunct/>
              <w:topLinePunct w:val="0"/>
              <w:autoSpaceDE/>
              <w:autoSpaceDN/>
              <w:bidi w:val="0"/>
              <w:spacing w:line="360" w:lineRule="auto"/>
              <w:jc w:val="center"/>
              <w:textAlignment w:val="auto"/>
              <w:rPr>
                <w:rFonts w:hAnsi="宋体" w:eastAsia="宋体" w:cs="仿宋"/>
                <w:b/>
                <w:bCs/>
                <w:color w:val="auto"/>
                <w:sz w:val="21"/>
                <w:szCs w:val="21"/>
                <w:highlight w:val="none"/>
              </w:rPr>
            </w:pPr>
            <w:r>
              <w:rPr>
                <w:rFonts w:hint="eastAsia" w:hAnsi="宋体" w:eastAsia="宋体" w:cs="仿宋"/>
                <w:b/>
                <w:bCs/>
                <w:color w:val="auto"/>
                <w:sz w:val="21"/>
                <w:szCs w:val="21"/>
                <w:highlight w:val="none"/>
              </w:rPr>
              <w:t>数量</w:t>
            </w:r>
          </w:p>
        </w:tc>
        <w:tc>
          <w:tcPr>
            <w:tcW w:w="451" w:type="dxa"/>
            <w:vAlign w:val="center"/>
          </w:tcPr>
          <w:p w14:paraId="419424F5">
            <w:pPr>
              <w:pStyle w:val="9"/>
              <w:keepNext w:val="0"/>
              <w:keepLines w:val="0"/>
              <w:pageBreakBefore w:val="0"/>
              <w:widowControl w:val="0"/>
              <w:kinsoku/>
              <w:wordWrap/>
              <w:overflowPunct/>
              <w:topLinePunct w:val="0"/>
              <w:autoSpaceDE/>
              <w:autoSpaceDN/>
              <w:bidi w:val="0"/>
              <w:spacing w:line="360" w:lineRule="auto"/>
              <w:jc w:val="center"/>
              <w:textAlignment w:val="auto"/>
              <w:rPr>
                <w:rFonts w:hAnsi="宋体" w:eastAsia="宋体" w:cs="仿宋"/>
                <w:b/>
                <w:bCs/>
                <w:color w:val="auto"/>
                <w:sz w:val="21"/>
                <w:szCs w:val="21"/>
                <w:highlight w:val="none"/>
              </w:rPr>
            </w:pPr>
            <w:r>
              <w:rPr>
                <w:rFonts w:hint="eastAsia" w:hAnsi="宋体" w:eastAsia="宋体" w:cs="仿宋"/>
                <w:b/>
                <w:bCs/>
                <w:color w:val="auto"/>
                <w:sz w:val="21"/>
                <w:szCs w:val="21"/>
                <w:highlight w:val="none"/>
              </w:rPr>
              <w:t>单位</w:t>
            </w:r>
          </w:p>
        </w:tc>
        <w:tc>
          <w:tcPr>
            <w:tcW w:w="846" w:type="dxa"/>
            <w:vAlign w:val="center"/>
          </w:tcPr>
          <w:p w14:paraId="6A41B58F">
            <w:pPr>
              <w:pStyle w:val="9"/>
              <w:keepNext w:val="0"/>
              <w:keepLines w:val="0"/>
              <w:pageBreakBefore w:val="0"/>
              <w:widowControl w:val="0"/>
              <w:kinsoku/>
              <w:wordWrap/>
              <w:overflowPunct/>
              <w:topLinePunct w:val="0"/>
              <w:autoSpaceDE/>
              <w:autoSpaceDN/>
              <w:bidi w:val="0"/>
              <w:spacing w:line="360" w:lineRule="auto"/>
              <w:jc w:val="center"/>
              <w:textAlignment w:val="auto"/>
              <w:rPr>
                <w:rFonts w:hAnsi="宋体" w:eastAsia="宋体" w:cs="仿宋"/>
                <w:b/>
                <w:bCs/>
                <w:color w:val="auto"/>
                <w:sz w:val="21"/>
                <w:szCs w:val="21"/>
                <w:highlight w:val="none"/>
              </w:rPr>
            </w:pPr>
            <w:r>
              <w:rPr>
                <w:rFonts w:hint="eastAsia" w:hAnsi="宋体" w:eastAsia="宋体" w:cs="仿宋"/>
                <w:b/>
                <w:bCs/>
                <w:color w:val="auto"/>
                <w:sz w:val="21"/>
                <w:szCs w:val="21"/>
                <w:highlight w:val="none"/>
              </w:rPr>
              <w:t>单价</w:t>
            </w:r>
          </w:p>
          <w:p w14:paraId="5B89A3CE">
            <w:pPr>
              <w:pStyle w:val="9"/>
              <w:keepNext w:val="0"/>
              <w:keepLines w:val="0"/>
              <w:pageBreakBefore w:val="0"/>
              <w:widowControl w:val="0"/>
              <w:kinsoku/>
              <w:wordWrap/>
              <w:overflowPunct/>
              <w:topLinePunct w:val="0"/>
              <w:autoSpaceDE/>
              <w:autoSpaceDN/>
              <w:bidi w:val="0"/>
              <w:spacing w:line="360" w:lineRule="auto"/>
              <w:jc w:val="center"/>
              <w:textAlignment w:val="auto"/>
              <w:rPr>
                <w:rFonts w:hAnsi="宋体" w:eastAsia="宋体" w:cs="仿宋"/>
                <w:b/>
                <w:bCs/>
                <w:color w:val="auto"/>
                <w:sz w:val="21"/>
                <w:szCs w:val="21"/>
                <w:highlight w:val="none"/>
              </w:rPr>
            </w:pPr>
            <w:r>
              <w:rPr>
                <w:rFonts w:hint="eastAsia" w:hAnsi="宋体" w:eastAsia="宋体" w:cs="仿宋"/>
                <w:b/>
                <w:bCs/>
                <w:color w:val="auto"/>
                <w:sz w:val="21"/>
                <w:szCs w:val="21"/>
                <w:highlight w:val="none"/>
              </w:rPr>
              <w:t>（元）</w:t>
            </w:r>
          </w:p>
        </w:tc>
        <w:tc>
          <w:tcPr>
            <w:tcW w:w="800" w:type="dxa"/>
            <w:vAlign w:val="center"/>
          </w:tcPr>
          <w:p w14:paraId="5D2EF0F7">
            <w:pPr>
              <w:pStyle w:val="9"/>
              <w:keepNext w:val="0"/>
              <w:keepLines w:val="0"/>
              <w:pageBreakBefore w:val="0"/>
              <w:widowControl w:val="0"/>
              <w:kinsoku/>
              <w:wordWrap/>
              <w:overflowPunct/>
              <w:topLinePunct w:val="0"/>
              <w:autoSpaceDE/>
              <w:autoSpaceDN/>
              <w:bidi w:val="0"/>
              <w:spacing w:line="360" w:lineRule="auto"/>
              <w:jc w:val="center"/>
              <w:textAlignment w:val="auto"/>
              <w:rPr>
                <w:rFonts w:hAnsi="宋体" w:eastAsia="宋体" w:cs="仿宋"/>
                <w:b/>
                <w:bCs/>
                <w:color w:val="auto"/>
                <w:sz w:val="21"/>
                <w:szCs w:val="21"/>
                <w:highlight w:val="none"/>
              </w:rPr>
            </w:pPr>
            <w:r>
              <w:rPr>
                <w:rFonts w:hint="eastAsia" w:hAnsi="宋体" w:eastAsia="宋体" w:cs="仿宋"/>
                <w:b/>
                <w:bCs/>
                <w:color w:val="auto"/>
                <w:sz w:val="21"/>
                <w:szCs w:val="21"/>
                <w:highlight w:val="none"/>
              </w:rPr>
              <w:t>合计</w:t>
            </w:r>
          </w:p>
          <w:p w14:paraId="566BE4D4">
            <w:pPr>
              <w:pStyle w:val="9"/>
              <w:keepNext w:val="0"/>
              <w:keepLines w:val="0"/>
              <w:pageBreakBefore w:val="0"/>
              <w:widowControl w:val="0"/>
              <w:kinsoku/>
              <w:wordWrap/>
              <w:overflowPunct/>
              <w:topLinePunct w:val="0"/>
              <w:autoSpaceDE/>
              <w:autoSpaceDN/>
              <w:bidi w:val="0"/>
              <w:spacing w:line="360" w:lineRule="auto"/>
              <w:jc w:val="center"/>
              <w:textAlignment w:val="auto"/>
              <w:rPr>
                <w:rFonts w:hAnsi="宋体" w:eastAsia="宋体" w:cs="仿宋"/>
                <w:b/>
                <w:bCs/>
                <w:color w:val="auto"/>
                <w:sz w:val="21"/>
                <w:szCs w:val="21"/>
                <w:highlight w:val="none"/>
              </w:rPr>
            </w:pPr>
            <w:r>
              <w:rPr>
                <w:rFonts w:hint="eastAsia" w:hAnsi="宋体" w:eastAsia="宋体" w:cs="仿宋"/>
                <w:b/>
                <w:bCs/>
                <w:color w:val="auto"/>
                <w:sz w:val="21"/>
                <w:szCs w:val="21"/>
                <w:highlight w:val="none"/>
              </w:rPr>
              <w:t>（元）</w:t>
            </w:r>
          </w:p>
        </w:tc>
        <w:tc>
          <w:tcPr>
            <w:tcW w:w="5446" w:type="dxa"/>
            <w:vAlign w:val="center"/>
          </w:tcPr>
          <w:p w14:paraId="1C4E0BA0">
            <w:pPr>
              <w:pStyle w:val="9"/>
              <w:keepNext w:val="0"/>
              <w:keepLines w:val="0"/>
              <w:pageBreakBefore w:val="0"/>
              <w:widowControl w:val="0"/>
              <w:kinsoku/>
              <w:wordWrap/>
              <w:overflowPunct/>
              <w:topLinePunct w:val="0"/>
              <w:autoSpaceDE/>
              <w:autoSpaceDN/>
              <w:bidi w:val="0"/>
              <w:spacing w:line="360" w:lineRule="auto"/>
              <w:jc w:val="center"/>
              <w:textAlignment w:val="auto"/>
              <w:rPr>
                <w:rFonts w:hAnsi="宋体" w:eastAsia="宋体" w:cs="仿宋"/>
                <w:b/>
                <w:bCs/>
                <w:color w:val="auto"/>
                <w:sz w:val="21"/>
                <w:szCs w:val="21"/>
                <w:highlight w:val="none"/>
              </w:rPr>
            </w:pPr>
            <w:r>
              <w:rPr>
                <w:rFonts w:hint="eastAsia" w:hAnsi="宋体" w:eastAsia="宋体" w:cs="仿宋"/>
                <w:b/>
                <w:bCs/>
                <w:color w:val="auto"/>
                <w:sz w:val="21"/>
                <w:szCs w:val="21"/>
                <w:highlight w:val="none"/>
              </w:rPr>
              <w:t>具体服务承诺(包含但不限于服务内容、范围和基本要求)</w:t>
            </w:r>
          </w:p>
        </w:tc>
      </w:tr>
      <w:tr w14:paraId="596BF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trPr>
        <w:tc>
          <w:tcPr>
            <w:tcW w:w="1091" w:type="dxa"/>
            <w:vAlign w:val="center"/>
          </w:tcPr>
          <w:p w14:paraId="50786BA0">
            <w:pPr>
              <w:pStyle w:val="9"/>
              <w:keepNext w:val="0"/>
              <w:keepLines w:val="0"/>
              <w:pageBreakBefore w:val="0"/>
              <w:widowControl w:val="0"/>
              <w:kinsoku/>
              <w:wordWrap/>
              <w:overflowPunct/>
              <w:topLinePunct w:val="0"/>
              <w:autoSpaceDE/>
              <w:autoSpaceDN/>
              <w:bidi w:val="0"/>
              <w:spacing w:line="360" w:lineRule="auto"/>
              <w:jc w:val="left"/>
              <w:textAlignment w:val="auto"/>
              <w:rPr>
                <w:rFonts w:hint="eastAsia" w:hAnsi="宋体" w:eastAsia="宋体" w:cs="仿宋"/>
                <w:bCs/>
                <w:color w:val="auto"/>
                <w:sz w:val="21"/>
                <w:szCs w:val="21"/>
                <w:highlight w:val="none"/>
                <w:lang w:eastAsia="zh-CN"/>
              </w:rPr>
            </w:pPr>
            <w:r>
              <w:rPr>
                <w:rFonts w:hint="eastAsia" w:hAnsi="宋体" w:eastAsia="宋体" w:cs="仿宋"/>
                <w:bCs/>
                <w:color w:val="auto"/>
                <w:sz w:val="21"/>
                <w:szCs w:val="21"/>
                <w:highlight w:val="none"/>
                <w:lang w:eastAsia="zh-CN"/>
              </w:rPr>
              <w:t>医疗保障基金使用监督检查</w:t>
            </w:r>
          </w:p>
        </w:tc>
        <w:tc>
          <w:tcPr>
            <w:tcW w:w="451" w:type="dxa"/>
            <w:vAlign w:val="center"/>
          </w:tcPr>
          <w:p w14:paraId="7EE793E8">
            <w:pPr>
              <w:pStyle w:val="9"/>
              <w:keepNext w:val="0"/>
              <w:keepLines w:val="0"/>
              <w:pageBreakBefore w:val="0"/>
              <w:widowControl w:val="0"/>
              <w:kinsoku/>
              <w:wordWrap/>
              <w:overflowPunct/>
              <w:topLinePunct w:val="0"/>
              <w:autoSpaceDE/>
              <w:autoSpaceDN/>
              <w:bidi w:val="0"/>
              <w:spacing w:line="360" w:lineRule="auto"/>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w:t>
            </w:r>
          </w:p>
        </w:tc>
        <w:tc>
          <w:tcPr>
            <w:tcW w:w="451" w:type="dxa"/>
            <w:vAlign w:val="center"/>
          </w:tcPr>
          <w:p w14:paraId="52B68A30">
            <w:pPr>
              <w:pStyle w:val="9"/>
              <w:keepNext w:val="0"/>
              <w:keepLines w:val="0"/>
              <w:pageBreakBefore w:val="0"/>
              <w:widowControl w:val="0"/>
              <w:kinsoku/>
              <w:wordWrap/>
              <w:overflowPunct/>
              <w:topLinePunct w:val="0"/>
              <w:autoSpaceDE/>
              <w:autoSpaceDN/>
              <w:bidi w:val="0"/>
              <w:spacing w:line="360" w:lineRule="auto"/>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项</w:t>
            </w:r>
          </w:p>
        </w:tc>
        <w:tc>
          <w:tcPr>
            <w:tcW w:w="846" w:type="dxa"/>
            <w:vAlign w:val="center"/>
          </w:tcPr>
          <w:p w14:paraId="36DDA600">
            <w:pPr>
              <w:pStyle w:val="9"/>
              <w:keepNext w:val="0"/>
              <w:keepLines w:val="0"/>
              <w:pageBreakBefore w:val="0"/>
              <w:widowControl w:val="0"/>
              <w:kinsoku/>
              <w:wordWrap/>
              <w:overflowPunct/>
              <w:topLinePunct w:val="0"/>
              <w:autoSpaceDE/>
              <w:autoSpaceDN/>
              <w:bidi w:val="0"/>
              <w:spacing w:line="360" w:lineRule="auto"/>
              <w:jc w:val="center"/>
              <w:textAlignment w:val="auto"/>
              <w:rPr>
                <w:rFonts w:hAnsi="宋体" w:eastAsia="宋体" w:cs="仿宋"/>
                <w:color w:val="auto"/>
                <w:sz w:val="21"/>
                <w:szCs w:val="21"/>
                <w:highlight w:val="none"/>
              </w:rPr>
            </w:pPr>
          </w:p>
        </w:tc>
        <w:tc>
          <w:tcPr>
            <w:tcW w:w="800" w:type="dxa"/>
            <w:vAlign w:val="center"/>
          </w:tcPr>
          <w:p w14:paraId="7A84FF31">
            <w:pPr>
              <w:pStyle w:val="9"/>
              <w:keepNext w:val="0"/>
              <w:keepLines w:val="0"/>
              <w:pageBreakBefore w:val="0"/>
              <w:widowControl w:val="0"/>
              <w:kinsoku/>
              <w:wordWrap/>
              <w:overflowPunct/>
              <w:topLinePunct w:val="0"/>
              <w:autoSpaceDE/>
              <w:autoSpaceDN/>
              <w:bidi w:val="0"/>
              <w:spacing w:line="360" w:lineRule="auto"/>
              <w:jc w:val="center"/>
              <w:textAlignment w:val="auto"/>
              <w:rPr>
                <w:rFonts w:hAnsi="宋体" w:eastAsia="宋体" w:cs="仿宋"/>
                <w:color w:val="auto"/>
                <w:sz w:val="21"/>
                <w:szCs w:val="21"/>
                <w:highlight w:val="none"/>
              </w:rPr>
            </w:pPr>
          </w:p>
        </w:tc>
        <w:tc>
          <w:tcPr>
            <w:tcW w:w="5446" w:type="dxa"/>
            <w:vAlign w:val="center"/>
          </w:tcPr>
          <w:p w14:paraId="4A3C4CD8">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p>
        </w:tc>
      </w:tr>
    </w:tbl>
    <w:p w14:paraId="4583B2D8">
      <w:pPr>
        <w:pStyle w:val="9"/>
        <w:keepNext w:val="0"/>
        <w:keepLines w:val="0"/>
        <w:pageBreakBefore w:val="0"/>
        <w:widowControl w:val="0"/>
        <w:kinsoku/>
        <w:wordWrap/>
        <w:overflowPunct/>
        <w:topLinePunct w:val="0"/>
        <w:autoSpaceDE/>
        <w:autoSpaceDN/>
        <w:bidi w:val="0"/>
        <w:spacing w:line="360" w:lineRule="auto"/>
        <w:textAlignment w:val="auto"/>
        <w:rPr>
          <w:rFonts w:hint="eastAsia" w:hAnsi="宋体" w:eastAsia="宋体" w:cs="仿宋"/>
          <w:b/>
          <w:bCs/>
          <w:color w:val="auto"/>
          <w:sz w:val="21"/>
          <w:szCs w:val="21"/>
          <w:highlight w:val="none"/>
        </w:rPr>
      </w:pPr>
      <w:r>
        <w:rPr>
          <w:rFonts w:hint="eastAsia" w:hAnsi="宋体" w:eastAsia="宋体" w:cs="仿宋"/>
          <w:b/>
          <w:bCs/>
          <w:color w:val="auto"/>
          <w:sz w:val="21"/>
          <w:szCs w:val="21"/>
          <w:highlight w:val="none"/>
        </w:rPr>
        <w:t>3.合同金额及付款方式</w:t>
      </w:r>
    </w:p>
    <w:p w14:paraId="58AA6517">
      <w:pPr>
        <w:pStyle w:val="9"/>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3.1合同金额</w:t>
      </w:r>
    </w:p>
    <w:p w14:paraId="3FCDF06B">
      <w:pPr>
        <w:pStyle w:val="9"/>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本合同总金额为人民币</w:t>
      </w:r>
      <w:r>
        <w:rPr>
          <w:rFonts w:hint="eastAsia" w:hAnsi="宋体" w:eastAsia="宋体" w:cs="仿宋"/>
          <w:color w:val="auto"/>
          <w:sz w:val="21"/>
          <w:szCs w:val="21"/>
          <w:highlight w:val="none"/>
          <w:u w:val="single"/>
        </w:rPr>
        <w:t>大写：</w:t>
      </w:r>
      <w:r>
        <w:rPr>
          <w:rFonts w:hint="eastAsia" w:hAnsi="宋体" w:eastAsia="宋体" w:cs="仿宋"/>
          <w:color w:val="auto"/>
          <w:sz w:val="21"/>
          <w:szCs w:val="21"/>
          <w:highlight w:val="none"/>
          <w:u w:val="single"/>
          <w:lang w:val="en-US" w:eastAsia="zh-CN"/>
        </w:rPr>
        <w:t xml:space="preserve">      </w:t>
      </w:r>
      <w:r>
        <w:rPr>
          <w:rFonts w:hint="eastAsia" w:hAnsi="宋体" w:eastAsia="宋体" w:cs="仿宋"/>
          <w:color w:val="auto"/>
          <w:sz w:val="21"/>
          <w:szCs w:val="21"/>
          <w:highlight w:val="none"/>
          <w:u w:val="single"/>
        </w:rPr>
        <w:t>（</w:t>
      </w:r>
      <w:r>
        <w:rPr>
          <w:rFonts w:hint="default" w:ascii="Arial" w:hAnsi="Arial" w:eastAsia="宋体" w:cs="Arial"/>
          <w:color w:val="auto"/>
          <w:sz w:val="21"/>
          <w:szCs w:val="21"/>
          <w:highlight w:val="none"/>
          <w:u w:val="single"/>
          <w:lang w:eastAsia="zh-CN"/>
        </w:rPr>
        <w:t>¥</w:t>
      </w:r>
      <w:r>
        <w:rPr>
          <w:rFonts w:hint="eastAsia" w:hAnsi="宋体" w:eastAsia="宋体" w:cs="仿宋"/>
          <w:color w:val="auto"/>
          <w:sz w:val="21"/>
          <w:szCs w:val="21"/>
          <w:highlight w:val="none"/>
          <w:u w:val="single"/>
          <w:lang w:val="en-US" w:eastAsia="zh-CN"/>
        </w:rPr>
        <w:t xml:space="preserve">         </w:t>
      </w:r>
      <w:r>
        <w:rPr>
          <w:rFonts w:hint="eastAsia" w:hAnsi="宋体" w:eastAsia="宋体" w:cs="仿宋"/>
          <w:color w:val="auto"/>
          <w:sz w:val="21"/>
          <w:szCs w:val="21"/>
          <w:highlight w:val="none"/>
          <w:u w:val="single"/>
        </w:rPr>
        <w:t>）</w:t>
      </w:r>
      <w:r>
        <w:rPr>
          <w:rFonts w:hint="eastAsia" w:hAnsi="宋体" w:eastAsia="宋体" w:cs="仿宋"/>
          <w:color w:val="auto"/>
          <w:sz w:val="21"/>
          <w:szCs w:val="21"/>
          <w:highlight w:val="none"/>
        </w:rPr>
        <w:t>。本合同金额已包含但不限于乙方为提供服务所产生的全部成本、预期利益、售后服务、税费和合同中规定乙方应承担的其他义务的费用等。</w:t>
      </w:r>
    </w:p>
    <w:p w14:paraId="0F0A6B75">
      <w:pPr>
        <w:pStyle w:val="9"/>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3.2付款方式</w:t>
      </w:r>
    </w:p>
    <w:p w14:paraId="5975877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olor w:val="auto"/>
          <w:szCs w:val="21"/>
          <w:highlight w:val="none"/>
        </w:rPr>
      </w:pPr>
      <w:r>
        <w:rPr>
          <w:rFonts w:hint="eastAsia" w:ascii="宋体" w:hAnsi="宋体" w:cs="仿宋"/>
          <w:color w:val="auto"/>
          <w:sz w:val="21"/>
          <w:szCs w:val="21"/>
          <w:highlight w:val="none"/>
        </w:rPr>
        <w:t>根据省财政厅《陕西省财政厅关于进一步加大政府采购支持中小企业的通知》（陕财办采【2022】5号）要求，付款方式如下：</w:t>
      </w:r>
    </w:p>
    <w:p w14:paraId="3477C882">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
          <w:color w:val="auto"/>
          <w:sz w:val="21"/>
          <w:szCs w:val="21"/>
          <w:highlight w:val="none"/>
          <w:lang w:val="en-US" w:eastAsia="zh-CN"/>
        </w:rPr>
      </w:pPr>
      <w:r>
        <w:rPr>
          <w:rFonts w:hint="eastAsia" w:ascii="宋体" w:hAnsi="宋体" w:cs="仿宋"/>
          <w:color w:val="auto"/>
          <w:sz w:val="21"/>
          <w:szCs w:val="21"/>
          <w:highlight w:val="none"/>
          <w:lang w:val="en-US" w:eastAsia="zh-CN"/>
        </w:rPr>
        <w:t>合同签订之日后，达到付款条件起30日内，支付合同总金额的60.00%。</w:t>
      </w:r>
    </w:p>
    <w:p w14:paraId="75D5A5E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
          <w:color w:val="auto"/>
          <w:sz w:val="21"/>
          <w:szCs w:val="21"/>
          <w:highlight w:val="none"/>
          <w:lang w:val="en-US" w:eastAsia="zh-CN"/>
        </w:rPr>
      </w:pPr>
      <w:r>
        <w:rPr>
          <w:rFonts w:hint="eastAsia" w:ascii="宋体" w:hAnsi="宋体" w:cs="仿宋"/>
          <w:color w:val="auto"/>
          <w:sz w:val="21"/>
          <w:szCs w:val="21"/>
          <w:highlight w:val="none"/>
          <w:lang w:val="en-US" w:eastAsia="zh-CN"/>
        </w:rPr>
        <w:t>服务期限过半后，达到付款条件起30日内，支付合同总金额的20.00%。</w:t>
      </w:r>
    </w:p>
    <w:p w14:paraId="11F09B3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
          <w:color w:val="auto"/>
          <w:sz w:val="21"/>
          <w:szCs w:val="21"/>
          <w:highlight w:val="none"/>
          <w:lang w:val="en-US" w:eastAsia="zh-CN"/>
        </w:rPr>
      </w:pPr>
      <w:r>
        <w:rPr>
          <w:rFonts w:hint="eastAsia" w:ascii="宋体" w:hAnsi="宋体" w:cs="仿宋"/>
          <w:color w:val="auto"/>
          <w:sz w:val="21"/>
          <w:szCs w:val="21"/>
          <w:highlight w:val="none"/>
          <w:lang w:val="en-US" w:eastAsia="zh-CN"/>
        </w:rPr>
        <w:t>完成所有服务且经采购人验收合格后，达到付款条件起30日内，支付合同总金额的20.00%。</w:t>
      </w:r>
    </w:p>
    <w:p w14:paraId="52CB262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
          <w:color w:val="auto"/>
          <w:sz w:val="21"/>
          <w:szCs w:val="21"/>
          <w:highlight w:val="none"/>
          <w:lang w:val="en-US" w:eastAsia="zh-CN"/>
        </w:rPr>
      </w:pPr>
      <w:r>
        <w:rPr>
          <w:rFonts w:hint="eastAsia" w:ascii="宋体" w:hAnsi="宋体" w:cs="仿宋"/>
          <w:color w:val="auto"/>
          <w:sz w:val="21"/>
          <w:szCs w:val="21"/>
          <w:highlight w:val="none"/>
          <w:lang w:val="en-US" w:eastAsia="zh-CN"/>
        </w:rPr>
        <w:t>甲方付款前，乙方应提供等额增值税普通发票，乙方提供发票瑕疵或迟延的，甲方付款期限顺延。</w:t>
      </w:r>
    </w:p>
    <w:p w14:paraId="5A684E23">
      <w:pPr>
        <w:pStyle w:val="9"/>
        <w:keepNext w:val="0"/>
        <w:keepLines w:val="0"/>
        <w:pageBreakBefore w:val="0"/>
        <w:widowControl w:val="0"/>
        <w:kinsoku/>
        <w:wordWrap/>
        <w:overflowPunct/>
        <w:topLinePunct w:val="0"/>
        <w:autoSpaceDE/>
        <w:autoSpaceDN/>
        <w:bidi w:val="0"/>
        <w:spacing w:line="360" w:lineRule="auto"/>
        <w:textAlignment w:val="auto"/>
        <w:rPr>
          <w:rFonts w:hint="eastAsia" w:hAnsi="宋体" w:eastAsia="宋体" w:cs="仿宋"/>
          <w:b/>
          <w:bCs/>
          <w:color w:val="auto"/>
          <w:sz w:val="21"/>
          <w:szCs w:val="21"/>
          <w:highlight w:val="none"/>
        </w:rPr>
      </w:pPr>
      <w:r>
        <w:rPr>
          <w:rFonts w:hint="eastAsia" w:hAnsi="宋体" w:eastAsia="宋体" w:cs="仿宋"/>
          <w:b/>
          <w:bCs/>
          <w:color w:val="auto"/>
          <w:sz w:val="21"/>
          <w:szCs w:val="21"/>
          <w:highlight w:val="none"/>
        </w:rPr>
        <w:t>4.合同签订地</w:t>
      </w:r>
    </w:p>
    <w:p w14:paraId="5F9AAD00">
      <w:pPr>
        <w:pStyle w:val="9"/>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default" w:hAnsi="宋体" w:eastAsia="宋体" w:cs="仿宋"/>
          <w:color w:val="auto"/>
          <w:sz w:val="21"/>
          <w:szCs w:val="21"/>
          <w:highlight w:val="none"/>
          <w:u w:val="single"/>
          <w:lang w:val="en-US" w:eastAsia="zh-CN"/>
        </w:rPr>
      </w:pPr>
      <w:r>
        <w:rPr>
          <w:rFonts w:hint="eastAsia" w:hAnsi="宋体" w:eastAsia="宋体" w:cs="仿宋"/>
          <w:color w:val="auto"/>
          <w:sz w:val="21"/>
          <w:szCs w:val="21"/>
          <w:highlight w:val="none"/>
        </w:rPr>
        <w:t>陕西省西安市</w:t>
      </w:r>
      <w:r>
        <w:rPr>
          <w:rFonts w:hint="eastAsia" w:hAnsi="宋体" w:eastAsia="宋体" w:cs="仿宋"/>
          <w:color w:val="auto"/>
          <w:sz w:val="21"/>
          <w:szCs w:val="21"/>
          <w:highlight w:val="none"/>
          <w:u w:val="single"/>
          <w:lang w:val="en-US" w:eastAsia="zh-CN"/>
        </w:rPr>
        <w:t xml:space="preserve">              </w:t>
      </w:r>
      <w:r>
        <w:rPr>
          <w:rFonts w:hint="eastAsia" w:hAnsi="宋体" w:eastAsia="宋体" w:cs="仿宋"/>
          <w:color w:val="auto"/>
          <w:sz w:val="21"/>
          <w:szCs w:val="21"/>
          <w:highlight w:val="none"/>
          <w:u w:val="none"/>
          <w:lang w:val="en-US" w:eastAsia="zh-CN"/>
        </w:rPr>
        <w:t>。</w:t>
      </w:r>
    </w:p>
    <w:p w14:paraId="1B7135DE">
      <w:pPr>
        <w:pStyle w:val="9"/>
        <w:keepNext w:val="0"/>
        <w:keepLines w:val="0"/>
        <w:pageBreakBefore w:val="0"/>
        <w:widowControl w:val="0"/>
        <w:kinsoku/>
        <w:wordWrap/>
        <w:overflowPunct/>
        <w:topLinePunct w:val="0"/>
        <w:autoSpaceDE/>
        <w:autoSpaceDN/>
        <w:bidi w:val="0"/>
        <w:spacing w:line="360" w:lineRule="auto"/>
        <w:textAlignment w:val="auto"/>
        <w:rPr>
          <w:rFonts w:hint="eastAsia" w:hAnsi="宋体" w:eastAsia="宋体" w:cs="仿宋"/>
          <w:b/>
          <w:bCs/>
          <w:color w:val="auto"/>
          <w:sz w:val="21"/>
          <w:szCs w:val="21"/>
          <w:highlight w:val="none"/>
        </w:rPr>
      </w:pPr>
      <w:r>
        <w:rPr>
          <w:rFonts w:hint="eastAsia" w:hAnsi="宋体" w:eastAsia="宋体" w:cs="仿宋"/>
          <w:b/>
          <w:bCs/>
          <w:color w:val="auto"/>
          <w:sz w:val="21"/>
          <w:szCs w:val="21"/>
          <w:highlight w:val="none"/>
        </w:rPr>
        <w:t>5.合同生效</w:t>
      </w:r>
    </w:p>
    <w:p w14:paraId="66813E3E">
      <w:pPr>
        <w:pStyle w:val="9"/>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hAnsi="宋体" w:eastAsia="宋体" w:cs="仿宋"/>
          <w:color w:val="auto"/>
          <w:sz w:val="21"/>
          <w:szCs w:val="21"/>
          <w:highlight w:val="none"/>
        </w:rPr>
      </w:pPr>
      <w:r>
        <w:rPr>
          <w:rFonts w:hint="eastAsia" w:hAnsi="宋体" w:eastAsia="宋体" w:cs="仿宋"/>
          <w:color w:val="auto"/>
          <w:sz w:val="21"/>
          <w:szCs w:val="21"/>
          <w:highlight w:val="none"/>
        </w:rPr>
        <w:t>本合同一式肆份，甲方执贰份、乙方执贰份。在甲、乙方签字盖章后生效，在合同执行完毕自动失效。</w:t>
      </w:r>
    </w:p>
    <w:p w14:paraId="0D8C5CD1">
      <w:pPr>
        <w:bidi w:val="0"/>
        <w:rPr>
          <w:rFonts w:hint="eastAsia"/>
          <w:color w:val="auto"/>
          <w:highlight w:val="none"/>
          <w:lang w:eastAsia="zh-CN"/>
        </w:rPr>
      </w:pPr>
    </w:p>
    <w:p w14:paraId="2ED7FFE9">
      <w:pPr>
        <w:pStyle w:val="2"/>
        <w:rPr>
          <w:rFonts w:hint="eastAsia"/>
          <w:lang w:eastAsia="zh-CN"/>
        </w:rPr>
      </w:pPr>
    </w:p>
    <w:tbl>
      <w:tblPr>
        <w:tblStyle w:val="15"/>
        <w:tblW w:w="880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51"/>
        <w:gridCol w:w="4253"/>
      </w:tblGrid>
      <w:tr w14:paraId="426C3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4551" w:type="dxa"/>
            <w:vAlign w:val="center"/>
          </w:tcPr>
          <w:p w14:paraId="13872E2F">
            <w:pPr>
              <w:widowControl/>
              <w:jc w:val="left"/>
              <w:rPr>
                <w:rFonts w:hint="eastAsia" w:ascii="宋体" w:hAnsi="宋体" w:eastAsia="宋体" w:cs="仿宋"/>
                <w:color w:val="auto"/>
                <w:kern w:val="0"/>
                <w:sz w:val="21"/>
                <w:szCs w:val="21"/>
                <w:highlight w:val="none"/>
                <w:lang w:eastAsia="zh-CN"/>
              </w:rPr>
            </w:pPr>
            <w:r>
              <w:rPr>
                <w:rFonts w:hint="eastAsia" w:ascii="宋体" w:hAnsi="宋体" w:cs="仿宋"/>
                <w:color w:val="auto"/>
                <w:kern w:val="0"/>
                <w:sz w:val="21"/>
                <w:szCs w:val="21"/>
                <w:highlight w:val="none"/>
              </w:rPr>
              <w:t>甲方：</w:t>
            </w:r>
            <w:r>
              <w:rPr>
                <w:rFonts w:hint="eastAsia" w:ascii="宋体" w:hAnsi="宋体" w:cs="仿宋"/>
                <w:color w:val="auto"/>
                <w:kern w:val="0"/>
                <w:sz w:val="21"/>
                <w:szCs w:val="21"/>
                <w:highlight w:val="none"/>
                <w:lang w:eastAsia="zh-CN"/>
              </w:rPr>
              <w:t>西安市医疗保险基金管理中心</w:t>
            </w:r>
          </w:p>
        </w:tc>
        <w:tc>
          <w:tcPr>
            <w:tcW w:w="4253" w:type="dxa"/>
            <w:vAlign w:val="center"/>
          </w:tcPr>
          <w:p w14:paraId="155837E1">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乙方：</w:t>
            </w:r>
          </w:p>
        </w:tc>
      </w:tr>
      <w:tr w14:paraId="39555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3" w:hRule="atLeast"/>
        </w:trPr>
        <w:tc>
          <w:tcPr>
            <w:tcW w:w="4551" w:type="dxa"/>
            <w:vAlign w:val="center"/>
          </w:tcPr>
          <w:p w14:paraId="316F440E">
            <w:pPr>
              <w:widowControl/>
              <w:jc w:val="center"/>
              <w:rPr>
                <w:rFonts w:ascii="宋体" w:hAnsi="宋体" w:cs="仿宋"/>
                <w:color w:val="auto"/>
                <w:kern w:val="0"/>
                <w:sz w:val="21"/>
                <w:szCs w:val="21"/>
                <w:highlight w:val="none"/>
              </w:rPr>
            </w:pPr>
            <w:r>
              <w:rPr>
                <w:rFonts w:hint="eastAsia" w:ascii="宋体" w:hAnsi="宋体" w:cs="仿宋"/>
                <w:color w:val="auto"/>
                <w:kern w:val="0"/>
                <w:sz w:val="21"/>
                <w:szCs w:val="21"/>
                <w:highlight w:val="none"/>
              </w:rPr>
              <w:t>（盖章）</w:t>
            </w:r>
          </w:p>
        </w:tc>
        <w:tc>
          <w:tcPr>
            <w:tcW w:w="4253" w:type="dxa"/>
            <w:vAlign w:val="center"/>
          </w:tcPr>
          <w:p w14:paraId="4E565E41">
            <w:pPr>
              <w:widowControl/>
              <w:jc w:val="center"/>
              <w:rPr>
                <w:rFonts w:ascii="宋体" w:hAnsi="宋体" w:cs="仿宋"/>
                <w:color w:val="auto"/>
                <w:kern w:val="0"/>
                <w:sz w:val="21"/>
                <w:szCs w:val="21"/>
                <w:highlight w:val="none"/>
              </w:rPr>
            </w:pPr>
            <w:r>
              <w:rPr>
                <w:rFonts w:hint="eastAsia" w:ascii="宋体" w:hAnsi="宋体" w:cs="仿宋"/>
                <w:color w:val="auto"/>
                <w:kern w:val="0"/>
                <w:sz w:val="21"/>
                <w:szCs w:val="21"/>
                <w:highlight w:val="none"/>
              </w:rPr>
              <w:t>（盖章）</w:t>
            </w:r>
          </w:p>
        </w:tc>
      </w:tr>
      <w:tr w14:paraId="7AA1E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9" w:hRule="atLeast"/>
        </w:trPr>
        <w:tc>
          <w:tcPr>
            <w:tcW w:w="4551" w:type="dxa"/>
            <w:vAlign w:val="center"/>
          </w:tcPr>
          <w:p w14:paraId="22F0CF1C">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地址：</w:t>
            </w:r>
          </w:p>
        </w:tc>
        <w:tc>
          <w:tcPr>
            <w:tcW w:w="4253" w:type="dxa"/>
            <w:vAlign w:val="center"/>
          </w:tcPr>
          <w:p w14:paraId="07344729">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地址：</w:t>
            </w:r>
          </w:p>
        </w:tc>
      </w:tr>
      <w:tr w14:paraId="733A4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4551" w:type="dxa"/>
            <w:vAlign w:val="center"/>
          </w:tcPr>
          <w:p w14:paraId="5753B718">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邮编：</w:t>
            </w:r>
          </w:p>
        </w:tc>
        <w:tc>
          <w:tcPr>
            <w:tcW w:w="4253" w:type="dxa"/>
            <w:vAlign w:val="center"/>
          </w:tcPr>
          <w:p w14:paraId="178C65D5">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邮编：</w:t>
            </w:r>
          </w:p>
        </w:tc>
      </w:tr>
      <w:tr w14:paraId="01A8D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8" w:hRule="atLeast"/>
        </w:trPr>
        <w:tc>
          <w:tcPr>
            <w:tcW w:w="4551" w:type="dxa"/>
            <w:vAlign w:val="center"/>
          </w:tcPr>
          <w:p w14:paraId="00A6845B">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法定代表人或被授权代表：</w:t>
            </w:r>
          </w:p>
          <w:p w14:paraId="5323E35B">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（签字）</w:t>
            </w:r>
          </w:p>
        </w:tc>
        <w:tc>
          <w:tcPr>
            <w:tcW w:w="4253" w:type="dxa"/>
            <w:vAlign w:val="center"/>
          </w:tcPr>
          <w:p w14:paraId="22E88CF6">
            <w:pPr>
              <w:rPr>
                <w:rFonts w:ascii="宋体" w:hAnsi="宋体" w:cs="仿宋"/>
                <w:color w:val="auto"/>
                <w:kern w:val="0"/>
                <w:sz w:val="21"/>
                <w:szCs w:val="21"/>
                <w:highlight w:val="none"/>
              </w:rPr>
            </w:pPr>
            <w:r>
              <w:rPr>
                <w:rFonts w:hint="eastAsia" w:ascii="宋体" w:hAnsi="宋体" w:cs="仿宋"/>
                <w:color w:val="auto"/>
                <w:kern w:val="0"/>
                <w:sz w:val="21"/>
                <w:szCs w:val="21"/>
                <w:highlight w:val="none"/>
              </w:rPr>
              <w:t>法定代表人或被授权代表：</w:t>
            </w:r>
          </w:p>
          <w:p w14:paraId="20EAB70C">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（签字）</w:t>
            </w:r>
          </w:p>
        </w:tc>
      </w:tr>
      <w:tr w14:paraId="3889A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4551" w:type="dxa"/>
            <w:vAlign w:val="center"/>
          </w:tcPr>
          <w:p w14:paraId="6BBC5E74">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电话：</w:t>
            </w:r>
          </w:p>
        </w:tc>
        <w:tc>
          <w:tcPr>
            <w:tcW w:w="4253" w:type="dxa"/>
            <w:vAlign w:val="center"/>
          </w:tcPr>
          <w:p w14:paraId="402672E9">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电话：</w:t>
            </w:r>
          </w:p>
        </w:tc>
      </w:tr>
      <w:tr w14:paraId="58467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8" w:hRule="atLeast"/>
        </w:trPr>
        <w:tc>
          <w:tcPr>
            <w:tcW w:w="4551" w:type="dxa"/>
            <w:vMerge w:val="restart"/>
            <w:vAlign w:val="center"/>
          </w:tcPr>
          <w:p w14:paraId="5158B1E6">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传真：</w:t>
            </w:r>
          </w:p>
        </w:tc>
        <w:tc>
          <w:tcPr>
            <w:tcW w:w="4253" w:type="dxa"/>
            <w:vAlign w:val="center"/>
          </w:tcPr>
          <w:p w14:paraId="7E05C8DE">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传真：</w:t>
            </w:r>
          </w:p>
        </w:tc>
      </w:tr>
      <w:tr w14:paraId="016CD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9" w:hRule="atLeast"/>
        </w:trPr>
        <w:tc>
          <w:tcPr>
            <w:tcW w:w="4551" w:type="dxa"/>
            <w:vMerge w:val="continue"/>
            <w:vAlign w:val="center"/>
          </w:tcPr>
          <w:p w14:paraId="78815330">
            <w:pPr>
              <w:widowControl/>
              <w:jc w:val="left"/>
              <w:rPr>
                <w:rFonts w:ascii="宋体" w:hAnsi="宋体" w:cs="仿宋"/>
                <w:color w:val="auto"/>
                <w:kern w:val="0"/>
                <w:sz w:val="21"/>
                <w:szCs w:val="21"/>
                <w:highlight w:val="none"/>
              </w:rPr>
            </w:pPr>
          </w:p>
        </w:tc>
        <w:tc>
          <w:tcPr>
            <w:tcW w:w="4253" w:type="dxa"/>
            <w:vAlign w:val="center"/>
          </w:tcPr>
          <w:p w14:paraId="48B8EF58">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开户银行：</w:t>
            </w:r>
          </w:p>
        </w:tc>
      </w:tr>
      <w:tr w14:paraId="4B443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8" w:hRule="atLeast"/>
        </w:trPr>
        <w:tc>
          <w:tcPr>
            <w:tcW w:w="4551" w:type="dxa"/>
            <w:vMerge w:val="continue"/>
            <w:vAlign w:val="center"/>
          </w:tcPr>
          <w:p w14:paraId="3DD173DB">
            <w:pPr>
              <w:widowControl/>
              <w:jc w:val="left"/>
              <w:rPr>
                <w:rFonts w:ascii="宋体" w:hAnsi="宋体" w:cs="仿宋"/>
                <w:color w:val="auto"/>
                <w:kern w:val="0"/>
                <w:sz w:val="21"/>
                <w:szCs w:val="21"/>
                <w:highlight w:val="none"/>
              </w:rPr>
            </w:pPr>
          </w:p>
        </w:tc>
        <w:tc>
          <w:tcPr>
            <w:tcW w:w="4253" w:type="dxa"/>
            <w:vAlign w:val="center"/>
          </w:tcPr>
          <w:p w14:paraId="1C8BC5B2">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账号</w:t>
            </w:r>
            <w:r>
              <w:rPr>
                <w:rFonts w:hint="eastAsia" w:ascii="宋体" w:hAnsi="宋体" w:cs="仿宋"/>
                <w:color w:val="auto"/>
                <w:kern w:val="0"/>
                <w:sz w:val="21"/>
                <w:szCs w:val="21"/>
                <w:highlight w:val="none"/>
                <w:lang w:eastAsia="zh-CN"/>
              </w:rPr>
              <w:t>：</w:t>
            </w:r>
          </w:p>
        </w:tc>
      </w:tr>
      <w:tr w14:paraId="2FDAF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551" w:type="dxa"/>
            <w:vAlign w:val="center"/>
          </w:tcPr>
          <w:p w14:paraId="4B16A3A8">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日期：</w:t>
            </w:r>
            <w:r>
              <w:rPr>
                <w:rFonts w:hint="eastAsia" w:ascii="宋体" w:hAnsi="宋体" w:cs="仿宋"/>
                <w:color w:val="auto"/>
                <w:kern w:val="0"/>
                <w:sz w:val="21"/>
                <w:szCs w:val="21"/>
                <w:highlight w:val="none"/>
                <w:lang w:val="en-US" w:eastAsia="zh-CN"/>
              </w:rPr>
              <w:t xml:space="preserve">   </w:t>
            </w:r>
            <w:r>
              <w:rPr>
                <w:rFonts w:hint="eastAsia" w:ascii="宋体" w:hAnsi="宋体" w:cs="仿宋"/>
                <w:color w:val="auto"/>
                <w:kern w:val="0"/>
                <w:sz w:val="21"/>
                <w:szCs w:val="21"/>
                <w:highlight w:val="none"/>
              </w:rPr>
              <w:t>年</w:t>
            </w:r>
            <w:r>
              <w:rPr>
                <w:rFonts w:hint="eastAsia" w:ascii="宋体" w:hAnsi="宋体" w:cs="仿宋"/>
                <w:color w:val="auto"/>
                <w:kern w:val="0"/>
                <w:sz w:val="21"/>
                <w:szCs w:val="21"/>
                <w:highlight w:val="none"/>
                <w:lang w:val="en-US" w:eastAsia="zh-CN"/>
              </w:rPr>
              <w:t xml:space="preserve">   </w:t>
            </w:r>
            <w:r>
              <w:rPr>
                <w:rFonts w:hint="eastAsia" w:ascii="宋体" w:hAnsi="宋体" w:cs="仿宋"/>
                <w:color w:val="auto"/>
                <w:kern w:val="0"/>
                <w:sz w:val="21"/>
                <w:szCs w:val="21"/>
                <w:highlight w:val="none"/>
              </w:rPr>
              <w:t>月</w:t>
            </w:r>
            <w:r>
              <w:rPr>
                <w:rFonts w:hint="eastAsia" w:ascii="宋体" w:hAnsi="宋体" w:cs="仿宋"/>
                <w:color w:val="auto"/>
                <w:kern w:val="0"/>
                <w:sz w:val="21"/>
                <w:szCs w:val="21"/>
                <w:highlight w:val="none"/>
                <w:lang w:val="en-US" w:eastAsia="zh-CN"/>
              </w:rPr>
              <w:t xml:space="preserve">   </w:t>
            </w:r>
            <w:r>
              <w:rPr>
                <w:rFonts w:hint="eastAsia" w:ascii="宋体" w:hAnsi="宋体" w:cs="仿宋"/>
                <w:color w:val="auto"/>
                <w:kern w:val="0"/>
                <w:sz w:val="21"/>
                <w:szCs w:val="21"/>
                <w:highlight w:val="none"/>
              </w:rPr>
              <w:t>日</w:t>
            </w:r>
          </w:p>
        </w:tc>
        <w:tc>
          <w:tcPr>
            <w:tcW w:w="4253" w:type="dxa"/>
            <w:vAlign w:val="center"/>
          </w:tcPr>
          <w:p w14:paraId="3A57ACCA">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日期：</w:t>
            </w:r>
            <w:r>
              <w:rPr>
                <w:rFonts w:hint="eastAsia" w:ascii="宋体" w:hAnsi="宋体" w:cs="仿宋"/>
                <w:color w:val="auto"/>
                <w:kern w:val="0"/>
                <w:sz w:val="21"/>
                <w:szCs w:val="21"/>
                <w:highlight w:val="none"/>
                <w:lang w:val="en-US" w:eastAsia="zh-CN"/>
              </w:rPr>
              <w:t xml:space="preserve">   </w:t>
            </w:r>
            <w:r>
              <w:rPr>
                <w:rFonts w:hint="eastAsia" w:ascii="宋体" w:hAnsi="宋体" w:cs="仿宋"/>
                <w:color w:val="auto"/>
                <w:kern w:val="0"/>
                <w:sz w:val="21"/>
                <w:szCs w:val="21"/>
                <w:highlight w:val="none"/>
              </w:rPr>
              <w:t>年</w:t>
            </w:r>
            <w:r>
              <w:rPr>
                <w:rFonts w:hint="eastAsia" w:ascii="宋体" w:hAnsi="宋体" w:cs="仿宋"/>
                <w:color w:val="auto"/>
                <w:kern w:val="0"/>
                <w:sz w:val="21"/>
                <w:szCs w:val="21"/>
                <w:highlight w:val="none"/>
                <w:lang w:val="en-US" w:eastAsia="zh-CN"/>
              </w:rPr>
              <w:t xml:space="preserve">   </w:t>
            </w:r>
            <w:r>
              <w:rPr>
                <w:rFonts w:hint="eastAsia" w:ascii="宋体" w:hAnsi="宋体" w:cs="仿宋"/>
                <w:color w:val="auto"/>
                <w:kern w:val="0"/>
                <w:sz w:val="21"/>
                <w:szCs w:val="21"/>
                <w:highlight w:val="none"/>
              </w:rPr>
              <w:t>月</w:t>
            </w:r>
            <w:r>
              <w:rPr>
                <w:rFonts w:hint="eastAsia" w:ascii="宋体" w:hAnsi="宋体" w:cs="仿宋"/>
                <w:color w:val="auto"/>
                <w:kern w:val="0"/>
                <w:sz w:val="21"/>
                <w:szCs w:val="21"/>
                <w:highlight w:val="none"/>
                <w:lang w:val="en-US" w:eastAsia="zh-CN"/>
              </w:rPr>
              <w:t xml:space="preserve">   </w:t>
            </w:r>
            <w:r>
              <w:rPr>
                <w:rFonts w:hint="eastAsia" w:ascii="宋体" w:hAnsi="宋体" w:cs="仿宋"/>
                <w:color w:val="auto"/>
                <w:kern w:val="0"/>
                <w:sz w:val="21"/>
                <w:szCs w:val="21"/>
                <w:highlight w:val="none"/>
              </w:rPr>
              <w:t>日</w:t>
            </w:r>
          </w:p>
        </w:tc>
      </w:tr>
    </w:tbl>
    <w:p w14:paraId="37F1C537">
      <w:pPr>
        <w:pStyle w:val="9"/>
        <w:rPr>
          <w:rFonts w:hAnsi="宋体" w:eastAsia="宋体" w:cs="仿宋"/>
          <w:color w:val="auto"/>
          <w:szCs w:val="28"/>
          <w:highlight w:val="none"/>
        </w:rPr>
      </w:pPr>
      <w:r>
        <w:rPr>
          <w:rFonts w:hint="eastAsia" w:hAnsi="宋体" w:eastAsia="宋体" w:cs="仿宋"/>
          <w:color w:val="auto"/>
          <w:sz w:val="24"/>
          <w:szCs w:val="24"/>
          <w:highlight w:val="none"/>
        </w:rPr>
        <w:br w:type="page"/>
      </w:r>
    </w:p>
    <w:p w14:paraId="1D9B7041">
      <w:pPr>
        <w:pStyle w:val="9"/>
        <w:ind w:left="0" w:leftChars="0" w:firstLine="0" w:firstLineChars="0"/>
        <w:jc w:val="center"/>
        <w:rPr>
          <w:rFonts w:hAnsi="宋体" w:eastAsia="宋体" w:cs="仿宋"/>
          <w:b/>
          <w:bCs/>
          <w:color w:val="auto"/>
          <w:szCs w:val="28"/>
          <w:highlight w:val="none"/>
        </w:rPr>
      </w:pPr>
      <w:r>
        <w:rPr>
          <w:rFonts w:hint="eastAsia" w:hAnsi="宋体" w:eastAsia="宋体" w:cs="仿宋"/>
          <w:b/>
          <w:bCs/>
          <w:color w:val="auto"/>
          <w:szCs w:val="28"/>
          <w:highlight w:val="none"/>
        </w:rPr>
        <w:t>合同条款</w:t>
      </w:r>
    </w:p>
    <w:p w14:paraId="747ADA15">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1.定义</w:t>
      </w:r>
    </w:p>
    <w:p w14:paraId="51C5317E">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本合同下列术语应解释为：</w:t>
      </w:r>
    </w:p>
    <w:p w14:paraId="29ACEE5D">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1.1“甲方”是指采购人。</w:t>
      </w:r>
    </w:p>
    <w:p w14:paraId="49C770F3">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1.2“乙方”是指</w:t>
      </w:r>
      <w:r>
        <w:rPr>
          <w:rFonts w:hint="eastAsia" w:hAnsi="宋体" w:eastAsia="宋体" w:cs="仿宋"/>
          <w:color w:val="auto"/>
          <w:sz w:val="21"/>
          <w:szCs w:val="21"/>
          <w:highlight w:val="none"/>
          <w:lang w:eastAsia="zh-CN"/>
        </w:rPr>
        <w:t>成交供应商</w:t>
      </w:r>
      <w:r>
        <w:rPr>
          <w:rFonts w:hint="eastAsia" w:hAnsi="宋体" w:eastAsia="宋体" w:cs="仿宋"/>
          <w:color w:val="auto"/>
          <w:sz w:val="21"/>
          <w:szCs w:val="21"/>
          <w:highlight w:val="none"/>
        </w:rPr>
        <w:t>。</w:t>
      </w:r>
    </w:p>
    <w:p w14:paraId="3467C6C3">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1.3“合同”系指甲乙双方签署的、合同中载明的甲乙双方所达成的协议，包括所有的附件、附录和上述文件所提到的构成合同的所有文件。</w:t>
      </w:r>
    </w:p>
    <w:p w14:paraId="4A6635AA">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1.4“服务”是指乙方按照招标(采购)、投标(响应)文件要求，向采购人提供的技术支持服务。</w:t>
      </w:r>
    </w:p>
    <w:p w14:paraId="0828BDB6">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1.5“项目现场”是指甲方指定的最终服务地点。</w:t>
      </w:r>
    </w:p>
    <w:p w14:paraId="039E5C5D">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1.6“天”除非特别指出，“天”均为自然天。</w:t>
      </w:r>
    </w:p>
    <w:p w14:paraId="38C37655">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2</w:t>
      </w:r>
      <w:r>
        <w:rPr>
          <w:rFonts w:hint="eastAsia" w:hAnsi="宋体" w:eastAsia="宋体" w:cs="仿宋"/>
          <w:b/>
          <w:color w:val="auto"/>
          <w:sz w:val="21"/>
          <w:szCs w:val="21"/>
          <w:highlight w:val="none"/>
        </w:rPr>
        <w:t>.服务标准</w:t>
      </w:r>
    </w:p>
    <w:p w14:paraId="1F2A93F7">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2.1乙方为甲方交付的服务应符合招标文件所述的内容，如果没有提及适用标准，则应符合相应的国家标准。这些标准必须是有关机构发布的最新版本的标准。</w:t>
      </w:r>
    </w:p>
    <w:p w14:paraId="64E22B30">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2.2除非技术要求中另有规定，计量单位均采用中华人民共和国法定计量单位。</w:t>
      </w:r>
    </w:p>
    <w:p w14:paraId="2C7EC91C">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3.服务内容</w:t>
      </w:r>
    </w:p>
    <w:p w14:paraId="3084DAB0">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4.付款方式</w:t>
      </w:r>
    </w:p>
    <w:p w14:paraId="6054E183">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lang w:val="en-US" w:eastAsia="zh-CN"/>
        </w:rPr>
      </w:pPr>
      <w:r>
        <w:rPr>
          <w:rFonts w:hint="eastAsia" w:hAnsi="宋体" w:eastAsia="宋体" w:cs="仿宋"/>
          <w:color w:val="auto"/>
          <w:sz w:val="21"/>
          <w:szCs w:val="21"/>
          <w:highlight w:val="none"/>
          <w:lang w:val="en-US" w:eastAsia="zh-CN"/>
        </w:rPr>
        <w:t>根据省财政厅《陕西省财政厅关于进一步加大政府采购支持中小企业的通知》（陕财办采【2022】5号）要求，付款方式如下：</w:t>
      </w:r>
    </w:p>
    <w:p w14:paraId="337889CC">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lang w:val="en-US" w:eastAsia="zh-CN"/>
        </w:rPr>
      </w:pPr>
      <w:r>
        <w:rPr>
          <w:rFonts w:hint="eastAsia" w:hAnsi="宋体" w:eastAsia="宋体" w:cs="仿宋"/>
          <w:color w:val="auto"/>
          <w:sz w:val="21"/>
          <w:szCs w:val="21"/>
          <w:highlight w:val="none"/>
          <w:lang w:val="en-US" w:eastAsia="zh-CN"/>
        </w:rPr>
        <w:t>合同签订之日后，达到付款条件起30日内，支付合同总金额的60.00%。</w:t>
      </w:r>
    </w:p>
    <w:p w14:paraId="44D92E3D">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lang w:val="en-US" w:eastAsia="zh-CN"/>
        </w:rPr>
      </w:pPr>
      <w:r>
        <w:rPr>
          <w:rFonts w:hint="eastAsia" w:hAnsi="宋体" w:eastAsia="宋体" w:cs="仿宋"/>
          <w:color w:val="auto"/>
          <w:sz w:val="21"/>
          <w:szCs w:val="21"/>
          <w:highlight w:val="none"/>
          <w:lang w:val="en-US" w:eastAsia="zh-CN"/>
        </w:rPr>
        <w:t>服务期限过半后，达到付款条件起30日内，支付合同总金额的20.00%。</w:t>
      </w:r>
      <w:bookmarkStart w:id="1" w:name="_GoBack"/>
      <w:bookmarkEnd w:id="1"/>
    </w:p>
    <w:p w14:paraId="383B6ACE">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lang w:val="en-US" w:eastAsia="zh-CN"/>
        </w:rPr>
      </w:pPr>
      <w:r>
        <w:rPr>
          <w:rFonts w:hint="eastAsia" w:hAnsi="宋体" w:eastAsia="宋体" w:cs="仿宋"/>
          <w:color w:val="auto"/>
          <w:sz w:val="21"/>
          <w:szCs w:val="21"/>
          <w:highlight w:val="none"/>
          <w:lang w:val="en-US" w:eastAsia="zh-CN"/>
        </w:rPr>
        <w:t>完成所有服务且经采购人验收合格后，达到付款条件起30日内，支付合同总金额的20.00%。</w:t>
      </w:r>
    </w:p>
    <w:p w14:paraId="258207D6">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lang w:val="en-US" w:eastAsia="zh-CN"/>
        </w:rPr>
      </w:pPr>
      <w:r>
        <w:rPr>
          <w:rFonts w:hint="eastAsia" w:hAnsi="宋体" w:eastAsia="宋体" w:cs="仿宋"/>
          <w:color w:val="auto"/>
          <w:sz w:val="21"/>
          <w:szCs w:val="21"/>
          <w:highlight w:val="none"/>
          <w:lang w:val="en-US" w:eastAsia="zh-CN"/>
        </w:rPr>
        <w:t>甲方付款前，乙方应提供等额增值税普通发票，乙方提供发票瑕疵或迟延的，甲方付款期限顺延。</w:t>
      </w:r>
    </w:p>
    <w:p w14:paraId="7BB0C887">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5.知识产权</w:t>
      </w:r>
    </w:p>
    <w:p w14:paraId="4F224768">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lang w:val="en-US" w:eastAsia="zh-CN"/>
        </w:rPr>
      </w:pPr>
      <w:r>
        <w:rPr>
          <w:rFonts w:hint="eastAsia" w:hAnsi="宋体" w:eastAsia="宋体" w:cs="仿宋"/>
          <w:color w:val="auto"/>
          <w:sz w:val="21"/>
          <w:szCs w:val="21"/>
          <w:highlight w:val="none"/>
          <w:lang w:val="en-US" w:eastAsia="zh-CN"/>
        </w:rPr>
        <w:t>5.1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1DA0D24F">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lang w:val="en-US" w:eastAsia="zh-CN"/>
        </w:rPr>
      </w:pPr>
      <w:r>
        <w:rPr>
          <w:rFonts w:hint="eastAsia" w:hAnsi="宋体" w:eastAsia="宋体" w:cs="仿宋"/>
          <w:color w:val="auto"/>
          <w:sz w:val="21"/>
          <w:szCs w:val="21"/>
          <w:highlight w:val="none"/>
          <w:lang w:val="en-US" w:eastAsia="zh-CN"/>
        </w:rPr>
        <w:t>5.2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06D31F96">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lang w:val="en-US" w:eastAsia="zh-CN"/>
        </w:rPr>
      </w:pPr>
      <w:r>
        <w:rPr>
          <w:rFonts w:hint="eastAsia" w:hAnsi="宋体" w:eastAsia="宋体" w:cs="仿宋"/>
          <w:color w:val="auto"/>
          <w:sz w:val="21"/>
          <w:szCs w:val="21"/>
          <w:highlight w:val="none"/>
          <w:lang w:val="en-US" w:eastAsia="zh-CN"/>
        </w:rPr>
        <w:t>5.3如采用投标人所不拥有的知识产权，则在投标报价中必须包括合法使用该知识产权的相关费用。</w:t>
      </w:r>
    </w:p>
    <w:p w14:paraId="75D162F1">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6.保密条款</w:t>
      </w:r>
    </w:p>
    <w:p w14:paraId="77D1317C">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6.1甲乙双方应对在本合同签订或履行过程中所接触的对方信息，包括但不限于知识产权、技术资料、技术诀窍、内部管理及其他相关信息，负有保密义务。</w:t>
      </w:r>
    </w:p>
    <w:p w14:paraId="371FBBC5">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6.2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3E768E18">
      <w:pPr>
        <w:pStyle w:val="9"/>
        <w:keepNext w:val="0"/>
        <w:keepLines w:val="0"/>
        <w:pageBreakBefore w:val="0"/>
        <w:widowControl w:val="0"/>
        <w:kinsoku/>
        <w:wordWrap/>
        <w:overflowPunct/>
        <w:topLinePunct w:val="0"/>
        <w:bidi w:val="0"/>
        <w:snapToGrid/>
        <w:spacing w:line="360" w:lineRule="auto"/>
        <w:ind w:firstLine="315" w:firstLineChars="15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（1）应以审慎态度避免泄露、公开或传播甲方的信息；</w:t>
      </w:r>
    </w:p>
    <w:p w14:paraId="078F02CD">
      <w:pPr>
        <w:pStyle w:val="9"/>
        <w:keepNext w:val="0"/>
        <w:keepLines w:val="0"/>
        <w:pageBreakBefore w:val="0"/>
        <w:widowControl w:val="0"/>
        <w:kinsoku/>
        <w:wordWrap/>
        <w:overflowPunct/>
        <w:topLinePunct w:val="0"/>
        <w:bidi w:val="0"/>
        <w:snapToGrid/>
        <w:spacing w:line="360" w:lineRule="auto"/>
        <w:ind w:firstLine="315" w:firstLineChars="15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（2）未经甲方书面许可，不得对有关信息进行修改、补充、复制；</w:t>
      </w:r>
    </w:p>
    <w:p w14:paraId="28F430AA">
      <w:pPr>
        <w:pStyle w:val="9"/>
        <w:keepNext w:val="0"/>
        <w:keepLines w:val="0"/>
        <w:pageBreakBefore w:val="0"/>
        <w:widowControl w:val="0"/>
        <w:kinsoku/>
        <w:wordWrap/>
        <w:overflowPunct/>
        <w:topLinePunct w:val="0"/>
        <w:bidi w:val="0"/>
        <w:snapToGrid/>
        <w:spacing w:line="360" w:lineRule="auto"/>
        <w:ind w:firstLine="315" w:firstLineChars="15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（3）未经甲方书面许可，不得将信息以任何方式(如E－mail)携带出甲方场所；</w:t>
      </w:r>
    </w:p>
    <w:p w14:paraId="68FD8F9D">
      <w:pPr>
        <w:pStyle w:val="9"/>
        <w:keepNext w:val="0"/>
        <w:keepLines w:val="0"/>
        <w:pageBreakBefore w:val="0"/>
        <w:widowControl w:val="0"/>
        <w:kinsoku/>
        <w:wordWrap/>
        <w:overflowPunct/>
        <w:topLinePunct w:val="0"/>
        <w:bidi w:val="0"/>
        <w:snapToGrid/>
        <w:spacing w:line="360" w:lineRule="auto"/>
        <w:ind w:firstLine="315" w:firstLineChars="15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（4）未经甲方书面许可，不得将信息透露给任何其他人；</w:t>
      </w:r>
    </w:p>
    <w:p w14:paraId="7FF9C3C0">
      <w:pPr>
        <w:pStyle w:val="9"/>
        <w:keepNext w:val="0"/>
        <w:keepLines w:val="0"/>
        <w:pageBreakBefore w:val="0"/>
        <w:widowControl w:val="0"/>
        <w:kinsoku/>
        <w:wordWrap/>
        <w:overflowPunct/>
        <w:topLinePunct w:val="0"/>
        <w:bidi w:val="0"/>
        <w:snapToGrid/>
        <w:spacing w:line="360" w:lineRule="auto"/>
        <w:ind w:firstLine="315" w:firstLineChars="15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（5）甲方以书面形式提出的其他保密措施。</w:t>
      </w:r>
    </w:p>
    <w:p w14:paraId="051B0F72">
      <w:pPr>
        <w:pStyle w:val="24"/>
        <w:keepNext w:val="0"/>
        <w:keepLines w:val="0"/>
        <w:pageBreakBefore w:val="0"/>
        <w:widowControl w:val="0"/>
        <w:tabs>
          <w:tab w:val="left" w:pos="391"/>
          <w:tab w:val="left" w:pos="1060"/>
        </w:tabs>
        <w:kinsoku/>
        <w:wordWrap/>
        <w:overflowPunct/>
        <w:topLinePunct w:val="0"/>
        <w:autoSpaceDE w:val="0"/>
        <w:autoSpaceDN w:val="0"/>
        <w:bidi w:val="0"/>
        <w:snapToGrid/>
        <w:spacing w:line="360" w:lineRule="auto"/>
        <w:ind w:firstLine="480"/>
        <w:jc w:val="left"/>
        <w:textAlignment w:val="auto"/>
        <w:rPr>
          <w:rFonts w:ascii="宋体" w:hAnsi="宋体" w:cs="仿宋"/>
          <w:color w:val="auto"/>
          <w:sz w:val="21"/>
          <w:szCs w:val="21"/>
          <w:highlight w:val="none"/>
        </w:rPr>
      </w:pPr>
      <w:r>
        <w:rPr>
          <w:rFonts w:hint="eastAsia" w:ascii="宋体" w:hAnsi="宋体" w:cs="仿宋"/>
          <w:color w:val="auto"/>
          <w:sz w:val="21"/>
          <w:szCs w:val="21"/>
          <w:highlight w:val="none"/>
        </w:rPr>
        <w:t>6.3保密范围</w:t>
      </w:r>
    </w:p>
    <w:p w14:paraId="12EDFE32">
      <w:pPr>
        <w:pStyle w:val="24"/>
        <w:keepNext w:val="0"/>
        <w:keepLines w:val="0"/>
        <w:pageBreakBefore w:val="0"/>
        <w:widowControl w:val="0"/>
        <w:tabs>
          <w:tab w:val="left" w:pos="1243"/>
        </w:tabs>
        <w:kinsoku/>
        <w:wordWrap/>
        <w:overflowPunct/>
        <w:topLinePunct w:val="0"/>
        <w:autoSpaceDE w:val="0"/>
        <w:autoSpaceDN w:val="0"/>
        <w:bidi w:val="0"/>
        <w:snapToGrid/>
        <w:spacing w:line="360" w:lineRule="auto"/>
        <w:ind w:firstLine="315" w:firstLineChars="150"/>
        <w:jc w:val="left"/>
        <w:textAlignment w:val="auto"/>
        <w:rPr>
          <w:rFonts w:ascii="宋体" w:hAnsi="宋体" w:cs="仿宋"/>
          <w:color w:val="auto"/>
          <w:sz w:val="21"/>
          <w:szCs w:val="21"/>
          <w:highlight w:val="none"/>
        </w:rPr>
      </w:pPr>
      <w:r>
        <w:rPr>
          <w:rFonts w:hint="eastAsia" w:ascii="宋体" w:hAnsi="宋体" w:cs="仿宋"/>
          <w:color w:val="auto"/>
          <w:sz w:val="21"/>
          <w:szCs w:val="21"/>
          <w:highlight w:val="none"/>
        </w:rPr>
        <w:t>（1）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p>
    <w:p w14:paraId="7DCADD2A">
      <w:pPr>
        <w:pStyle w:val="24"/>
        <w:keepNext w:val="0"/>
        <w:keepLines w:val="0"/>
        <w:pageBreakBefore w:val="0"/>
        <w:widowControl w:val="0"/>
        <w:tabs>
          <w:tab w:val="left" w:pos="1243"/>
        </w:tabs>
        <w:kinsoku/>
        <w:wordWrap/>
        <w:overflowPunct/>
        <w:topLinePunct w:val="0"/>
        <w:autoSpaceDE w:val="0"/>
        <w:autoSpaceDN w:val="0"/>
        <w:bidi w:val="0"/>
        <w:snapToGrid/>
        <w:spacing w:line="360" w:lineRule="auto"/>
        <w:ind w:firstLine="315" w:firstLineChars="150"/>
        <w:jc w:val="left"/>
        <w:textAlignment w:val="auto"/>
        <w:rPr>
          <w:rFonts w:ascii="宋体" w:hAnsi="宋体" w:cs="仿宋"/>
          <w:color w:val="auto"/>
          <w:sz w:val="21"/>
          <w:szCs w:val="21"/>
          <w:highlight w:val="none"/>
        </w:rPr>
      </w:pPr>
      <w:r>
        <w:rPr>
          <w:rFonts w:hint="eastAsia" w:ascii="宋体" w:hAnsi="宋体" w:cs="仿宋"/>
          <w:color w:val="auto"/>
          <w:sz w:val="21"/>
          <w:szCs w:val="21"/>
          <w:highlight w:val="none"/>
        </w:rPr>
        <w:t>（2）乙方在履行合同过程中所获得或接触到的来源于甲方的其他数据资料，未经甲方书面同意，不得向本合同以外的第三方透露。</w:t>
      </w:r>
    </w:p>
    <w:p w14:paraId="5136A18B">
      <w:pPr>
        <w:pStyle w:val="24"/>
        <w:keepNext w:val="0"/>
        <w:keepLines w:val="0"/>
        <w:pageBreakBefore w:val="0"/>
        <w:widowControl w:val="0"/>
        <w:tabs>
          <w:tab w:val="left" w:pos="1243"/>
        </w:tabs>
        <w:kinsoku/>
        <w:wordWrap/>
        <w:overflowPunct/>
        <w:topLinePunct w:val="0"/>
        <w:autoSpaceDE w:val="0"/>
        <w:autoSpaceDN w:val="0"/>
        <w:bidi w:val="0"/>
        <w:snapToGrid/>
        <w:spacing w:line="360" w:lineRule="auto"/>
        <w:ind w:firstLine="315" w:firstLineChars="150"/>
        <w:jc w:val="left"/>
        <w:textAlignment w:val="auto"/>
        <w:rPr>
          <w:rFonts w:ascii="宋体" w:hAnsi="宋体" w:cs="仿宋"/>
          <w:color w:val="auto"/>
          <w:sz w:val="21"/>
          <w:szCs w:val="21"/>
          <w:highlight w:val="none"/>
        </w:rPr>
      </w:pPr>
      <w:r>
        <w:rPr>
          <w:rFonts w:hint="eastAsia" w:ascii="宋体" w:hAnsi="宋体" w:cs="仿宋"/>
          <w:color w:val="auto"/>
          <w:sz w:val="21"/>
          <w:szCs w:val="21"/>
          <w:highlight w:val="none"/>
        </w:rPr>
        <w:t>（3）乙方在未征得甲方书面同意的情况下，不得为任何其它目的而自行使用或允许他人使用从甲方获得的信息（包括但不限于所有的报告、摘录、纪要、文件、计划、报表、复印件和业务数据等）。</w:t>
      </w:r>
    </w:p>
    <w:p w14:paraId="288562C6">
      <w:pPr>
        <w:pStyle w:val="24"/>
        <w:keepNext w:val="0"/>
        <w:keepLines w:val="0"/>
        <w:pageBreakBefore w:val="0"/>
        <w:widowControl w:val="0"/>
        <w:tabs>
          <w:tab w:val="left" w:pos="1243"/>
        </w:tabs>
        <w:kinsoku/>
        <w:wordWrap/>
        <w:overflowPunct/>
        <w:topLinePunct w:val="0"/>
        <w:autoSpaceDE w:val="0"/>
        <w:autoSpaceDN w:val="0"/>
        <w:bidi w:val="0"/>
        <w:snapToGrid/>
        <w:spacing w:line="360" w:lineRule="auto"/>
        <w:ind w:firstLine="315" w:firstLineChars="150"/>
        <w:jc w:val="left"/>
        <w:textAlignment w:val="auto"/>
        <w:rPr>
          <w:rFonts w:ascii="宋体" w:hAnsi="宋体" w:cs="仿宋"/>
          <w:color w:val="auto"/>
          <w:sz w:val="21"/>
          <w:szCs w:val="21"/>
          <w:highlight w:val="none"/>
        </w:rPr>
      </w:pPr>
      <w:r>
        <w:rPr>
          <w:rFonts w:hint="eastAsia" w:ascii="宋体" w:hAnsi="宋体" w:cs="仿宋"/>
          <w:color w:val="auto"/>
          <w:sz w:val="21"/>
          <w:szCs w:val="21"/>
          <w:highlight w:val="none"/>
        </w:rPr>
        <w:t>（4）乙方需与参加本项目的人员签订保密协议，并禁止接触保密信息的人员将本项目的任何资料传播给项目外人员。</w:t>
      </w:r>
    </w:p>
    <w:p w14:paraId="05B2CDD0">
      <w:pPr>
        <w:pStyle w:val="24"/>
        <w:keepNext w:val="0"/>
        <w:keepLines w:val="0"/>
        <w:pageBreakBefore w:val="0"/>
        <w:widowControl w:val="0"/>
        <w:tabs>
          <w:tab w:val="left" w:pos="1243"/>
        </w:tabs>
        <w:kinsoku/>
        <w:wordWrap/>
        <w:overflowPunct/>
        <w:topLinePunct w:val="0"/>
        <w:autoSpaceDE w:val="0"/>
        <w:autoSpaceDN w:val="0"/>
        <w:bidi w:val="0"/>
        <w:snapToGrid/>
        <w:spacing w:line="360" w:lineRule="auto"/>
        <w:ind w:firstLine="315" w:firstLineChars="150"/>
        <w:jc w:val="left"/>
        <w:textAlignment w:val="auto"/>
        <w:rPr>
          <w:rFonts w:ascii="宋体" w:hAnsi="宋体" w:cs="仿宋"/>
          <w:color w:val="auto"/>
          <w:sz w:val="21"/>
          <w:szCs w:val="21"/>
          <w:highlight w:val="none"/>
        </w:rPr>
      </w:pPr>
      <w:r>
        <w:rPr>
          <w:rFonts w:hint="eastAsia" w:ascii="宋体" w:hAnsi="宋体" w:cs="仿宋"/>
          <w:color w:val="auto"/>
          <w:sz w:val="21"/>
          <w:szCs w:val="21"/>
          <w:highlight w:val="none"/>
        </w:rPr>
        <w:t>（5）如果乙方违反本条款的规定，甲方有权解除本合同并要求乙方赔偿甲方因此遭受的损失，该赔偿的金额不低于合同总额的10%。触犯保密法律法规的情况由乙方独自承担相应法律责任。</w:t>
      </w:r>
    </w:p>
    <w:p w14:paraId="25494F8F">
      <w:pPr>
        <w:pStyle w:val="24"/>
        <w:keepNext w:val="0"/>
        <w:keepLines w:val="0"/>
        <w:pageBreakBefore w:val="0"/>
        <w:widowControl w:val="0"/>
        <w:tabs>
          <w:tab w:val="left" w:pos="1240"/>
        </w:tabs>
        <w:kinsoku/>
        <w:wordWrap/>
        <w:overflowPunct/>
        <w:topLinePunct w:val="0"/>
        <w:autoSpaceDE w:val="0"/>
        <w:autoSpaceDN w:val="0"/>
        <w:bidi w:val="0"/>
        <w:snapToGrid/>
        <w:spacing w:line="360" w:lineRule="auto"/>
        <w:ind w:firstLine="315" w:firstLineChars="150"/>
        <w:jc w:val="left"/>
        <w:textAlignment w:val="auto"/>
        <w:rPr>
          <w:rFonts w:ascii="宋体" w:hAnsi="宋体" w:cs="仿宋"/>
          <w:color w:val="auto"/>
          <w:sz w:val="21"/>
          <w:szCs w:val="21"/>
          <w:highlight w:val="none"/>
        </w:rPr>
      </w:pPr>
      <w:r>
        <w:rPr>
          <w:rFonts w:hint="eastAsia" w:ascii="宋体" w:hAnsi="宋体" w:cs="仿宋"/>
          <w:color w:val="auto"/>
          <w:sz w:val="21"/>
          <w:szCs w:val="21"/>
          <w:highlight w:val="none"/>
        </w:rPr>
        <w:t>（6）乙方认为的乙方商业秘密需要乙方事先向甲方书面声明。</w:t>
      </w:r>
    </w:p>
    <w:p w14:paraId="2318DDC0">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6.4保密期限不受合同有效期的限制，在合同有效期结束后，信息接受方仍应承担保密义务，直至该信息成为公开信息。</w:t>
      </w:r>
    </w:p>
    <w:p w14:paraId="76FA2DBA">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6.5甲乙双方如出现泄密行为，泄密方应承担相关的法律责任，包括但不限于对由此给对方造成的经济损失进行赔偿。</w:t>
      </w:r>
    </w:p>
    <w:p w14:paraId="186A6A8E">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6.6本保密条款不因本合同履行完毕或提前终止而失效，合同终止或解除等不影响本保密条款的效力。</w:t>
      </w:r>
    </w:p>
    <w:p w14:paraId="06C6B040">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7.服务时间、地点与验收</w:t>
      </w:r>
    </w:p>
    <w:p w14:paraId="1B13663B">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7.1服务地点：</w:t>
      </w:r>
      <w:r>
        <w:rPr>
          <w:rFonts w:hint="eastAsia" w:hAnsi="宋体" w:eastAsia="宋体"/>
          <w:color w:val="auto"/>
          <w:kern w:val="24"/>
          <w:sz w:val="21"/>
          <w:szCs w:val="21"/>
          <w:highlight w:val="none"/>
          <w:lang w:val="en-US" w:eastAsia="zh-CN"/>
        </w:rPr>
        <w:t>甲方指定地点</w:t>
      </w:r>
      <w:r>
        <w:rPr>
          <w:rFonts w:hint="eastAsia" w:hAnsi="宋体" w:eastAsia="宋体"/>
          <w:color w:val="auto"/>
          <w:kern w:val="24"/>
          <w:sz w:val="21"/>
          <w:szCs w:val="21"/>
          <w:highlight w:val="none"/>
        </w:rPr>
        <w:t>。</w:t>
      </w:r>
    </w:p>
    <w:p w14:paraId="3B3945D9">
      <w:pPr>
        <w:pStyle w:val="9"/>
        <w:keepNext w:val="0"/>
        <w:keepLines w:val="0"/>
        <w:pageBreakBefore w:val="0"/>
        <w:widowControl w:val="0"/>
        <w:tabs>
          <w:tab w:val="left" w:pos="456"/>
        </w:tabs>
        <w:kinsoku/>
        <w:wordWrap/>
        <w:overflowPunct/>
        <w:topLinePunct w:val="0"/>
        <w:bidi w:val="0"/>
        <w:snapToGrid/>
        <w:spacing w:line="360" w:lineRule="auto"/>
        <w:ind w:firstLine="420" w:firstLineChars="200"/>
        <w:textAlignment w:val="auto"/>
        <w:rPr>
          <w:rFonts w:hint="default" w:hAnsi="宋体" w:eastAsia="宋体" w:cs="仿宋"/>
          <w:color w:val="auto"/>
          <w:sz w:val="21"/>
          <w:szCs w:val="21"/>
          <w:highlight w:val="none"/>
          <w:u w:val="none"/>
          <w:lang w:val="en-US" w:eastAsia="zh-CN"/>
        </w:rPr>
      </w:pPr>
      <w:r>
        <w:rPr>
          <w:rFonts w:hint="eastAsia" w:hAnsi="宋体" w:eastAsia="宋体" w:cs="仿宋"/>
          <w:color w:val="auto"/>
          <w:sz w:val="21"/>
          <w:szCs w:val="21"/>
          <w:highlight w:val="none"/>
        </w:rPr>
        <w:t>7.2服务</w:t>
      </w:r>
      <w:r>
        <w:rPr>
          <w:rFonts w:hint="eastAsia" w:hAnsi="宋体" w:eastAsia="宋体" w:cs="仿宋"/>
          <w:color w:val="auto"/>
          <w:sz w:val="21"/>
          <w:szCs w:val="21"/>
          <w:highlight w:val="none"/>
          <w:lang w:val="en-US" w:eastAsia="zh-CN"/>
        </w:rPr>
        <w:t>期限</w:t>
      </w:r>
      <w:r>
        <w:rPr>
          <w:rFonts w:hint="eastAsia" w:hAnsi="宋体" w:eastAsia="宋体" w:cs="仿宋"/>
          <w:color w:val="auto"/>
          <w:sz w:val="21"/>
          <w:szCs w:val="21"/>
          <w:highlight w:val="none"/>
        </w:rPr>
        <w:t>：</w:t>
      </w:r>
      <w:r>
        <w:rPr>
          <w:rFonts w:hint="eastAsia" w:hAnsi="宋体" w:eastAsia="宋体" w:cs="仿宋"/>
          <w:color w:val="auto"/>
          <w:sz w:val="21"/>
          <w:szCs w:val="21"/>
          <w:highlight w:val="none"/>
          <w:u w:val="single"/>
          <w:lang w:val="en-US" w:eastAsia="zh-CN"/>
        </w:rPr>
        <w:t xml:space="preserve">            </w:t>
      </w:r>
      <w:r>
        <w:rPr>
          <w:rFonts w:hint="eastAsia" w:hAnsi="宋体" w:eastAsia="宋体" w:cs="仿宋"/>
          <w:color w:val="auto"/>
          <w:sz w:val="21"/>
          <w:szCs w:val="21"/>
          <w:highlight w:val="none"/>
          <w:u w:val="none"/>
          <w:lang w:val="en-US" w:eastAsia="zh-CN"/>
        </w:rPr>
        <w:t>。</w:t>
      </w:r>
    </w:p>
    <w:p w14:paraId="74056A0E">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7.3甲方应在乙方完成相关服务工作后及时对服务质量、技术指标、服务成果进行验收。</w:t>
      </w:r>
    </w:p>
    <w:p w14:paraId="7C702596">
      <w:pPr>
        <w:keepNext w:val="0"/>
        <w:keepLines w:val="0"/>
        <w:pageBreakBefore w:val="0"/>
        <w:widowControl w:val="0"/>
        <w:kinsoku/>
        <w:wordWrap/>
        <w:overflowPunct/>
        <w:topLinePunct w:val="0"/>
        <w:bidi w:val="0"/>
        <w:adjustRightInd w:val="0"/>
        <w:snapToGrid/>
        <w:spacing w:line="360" w:lineRule="auto"/>
        <w:jc w:val="left"/>
        <w:textAlignment w:val="auto"/>
        <w:rPr>
          <w:rFonts w:ascii="宋体" w:hAnsi="宋体" w:cs="仿宋"/>
          <w:b/>
          <w:color w:val="auto"/>
          <w:sz w:val="21"/>
          <w:szCs w:val="21"/>
          <w:highlight w:val="none"/>
        </w:rPr>
      </w:pPr>
      <w:r>
        <w:rPr>
          <w:rFonts w:hint="eastAsia" w:ascii="宋体" w:hAnsi="宋体" w:cs="仿宋"/>
          <w:b/>
          <w:color w:val="auto"/>
          <w:sz w:val="21"/>
          <w:szCs w:val="21"/>
          <w:highlight w:val="none"/>
        </w:rPr>
        <w:t>8.双方权利和义务</w:t>
      </w:r>
    </w:p>
    <w:p w14:paraId="2B06A88B">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8.1甲方权利和义务</w:t>
      </w:r>
    </w:p>
    <w:p w14:paraId="21DBE00D">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rPr>
      </w:pPr>
      <w:r>
        <w:rPr>
          <w:rFonts w:hint="eastAsia" w:hAnsi="宋体" w:eastAsia="宋体" w:cs="仿宋"/>
          <w:color w:val="auto"/>
          <w:sz w:val="21"/>
          <w:szCs w:val="21"/>
          <w:highlight w:val="none"/>
        </w:rPr>
        <w:t>（1）甲方在与乙方签订《</w:t>
      </w:r>
      <w:r>
        <w:rPr>
          <w:rFonts w:hint="eastAsia" w:hAnsi="宋体" w:eastAsia="宋体" w:cs="仿宋"/>
          <w:color w:val="auto"/>
          <w:sz w:val="21"/>
          <w:szCs w:val="21"/>
          <w:highlight w:val="none"/>
          <w:lang w:eastAsia="zh-CN"/>
        </w:rPr>
        <w:t>医疗保障基金使用监督检查</w:t>
      </w:r>
      <w:r>
        <w:rPr>
          <w:rFonts w:hint="eastAsia" w:hAnsi="宋体" w:eastAsia="宋体" w:cs="仿宋"/>
          <w:color w:val="auto"/>
          <w:sz w:val="21"/>
          <w:szCs w:val="21"/>
          <w:highlight w:val="none"/>
          <w:lang w:val="en-US" w:eastAsia="zh-CN"/>
        </w:rPr>
        <w:t>服务</w:t>
      </w:r>
      <w:r>
        <w:rPr>
          <w:rFonts w:hint="eastAsia" w:hAnsi="宋体" w:eastAsia="宋体" w:cs="仿宋"/>
          <w:color w:val="auto"/>
          <w:sz w:val="21"/>
          <w:szCs w:val="21"/>
          <w:highlight w:val="none"/>
        </w:rPr>
        <w:t>合同》及《保密协议》后，将相关资料移交给乙方，负责召集重大事项的研究、协调。</w:t>
      </w:r>
    </w:p>
    <w:p w14:paraId="61AD1522">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lang w:eastAsia="zh-CN"/>
        </w:rPr>
      </w:pPr>
      <w:r>
        <w:rPr>
          <w:rFonts w:hint="eastAsia" w:hAnsi="宋体" w:eastAsia="宋体" w:cs="仿宋"/>
          <w:color w:val="auto"/>
          <w:sz w:val="21"/>
          <w:szCs w:val="21"/>
          <w:highlight w:val="none"/>
        </w:rPr>
        <w:t>（2）甲方负责对乙方的工作质量、工作进度、履约等情况进行监督管理及绩效考核。</w:t>
      </w:r>
    </w:p>
    <w:p w14:paraId="2A69DA6F">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（3）甲方应当为乙方提供必要的工作条件和与大数据分析服务事项相关的资料。</w:t>
      </w:r>
    </w:p>
    <w:p w14:paraId="11E0FF45">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rPr>
      </w:pPr>
      <w:r>
        <w:rPr>
          <w:rFonts w:hint="eastAsia" w:hAnsi="宋体" w:eastAsia="宋体" w:cs="仿宋"/>
          <w:color w:val="auto"/>
          <w:sz w:val="21"/>
          <w:szCs w:val="21"/>
          <w:highlight w:val="none"/>
        </w:rPr>
        <w:t>（</w:t>
      </w:r>
      <w:r>
        <w:rPr>
          <w:rFonts w:hint="eastAsia" w:hAnsi="宋体" w:eastAsia="宋体" w:cs="仿宋"/>
          <w:color w:val="auto"/>
          <w:sz w:val="21"/>
          <w:szCs w:val="21"/>
          <w:highlight w:val="none"/>
          <w:lang w:val="en-US" w:eastAsia="zh-CN"/>
        </w:rPr>
        <w:t>4</w:t>
      </w:r>
      <w:r>
        <w:rPr>
          <w:rFonts w:hint="eastAsia" w:hAnsi="宋体" w:eastAsia="宋体" w:cs="仿宋"/>
          <w:color w:val="auto"/>
          <w:sz w:val="21"/>
          <w:szCs w:val="21"/>
          <w:highlight w:val="none"/>
        </w:rPr>
        <w:t>）甲方应当在乙方提交书面数据分析报告后60个工作日内，组织人员开展现场核查并进行最终结果认定。</w:t>
      </w:r>
    </w:p>
    <w:p w14:paraId="179A73E2">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8.2乙方的权利和乙方义务：</w:t>
      </w:r>
    </w:p>
    <w:p w14:paraId="32C6E266">
      <w:pPr>
        <w:pStyle w:val="9"/>
        <w:keepNext w:val="0"/>
        <w:keepLines w:val="0"/>
        <w:pageBreakBefore w:val="0"/>
        <w:widowControl w:val="0"/>
        <w:numPr>
          <w:ilvl w:val="0"/>
          <w:numId w:val="1"/>
        </w:numPr>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乙方应在双方签订《</w:t>
      </w:r>
      <w:r>
        <w:rPr>
          <w:rFonts w:hint="eastAsia" w:hAnsi="宋体" w:eastAsia="宋体" w:cs="仿宋"/>
          <w:color w:val="auto"/>
          <w:sz w:val="21"/>
          <w:szCs w:val="21"/>
          <w:highlight w:val="none"/>
          <w:lang w:eastAsia="zh-CN"/>
        </w:rPr>
        <w:t>西安市医疗保险基金管理中心</w:t>
      </w:r>
      <w:r>
        <w:rPr>
          <w:rFonts w:hint="eastAsia" w:hAnsi="宋体" w:eastAsia="宋体" w:cs="仿宋"/>
          <w:color w:val="auto"/>
          <w:sz w:val="21"/>
          <w:szCs w:val="21"/>
          <w:highlight w:val="none"/>
        </w:rPr>
        <w:t>202</w:t>
      </w:r>
      <w:r>
        <w:rPr>
          <w:rFonts w:hint="eastAsia" w:hAnsi="宋体" w:eastAsia="宋体" w:cs="仿宋"/>
          <w:color w:val="auto"/>
          <w:sz w:val="21"/>
          <w:szCs w:val="21"/>
          <w:highlight w:val="none"/>
          <w:lang w:val="en-US" w:eastAsia="zh-CN"/>
        </w:rPr>
        <w:t>5</w:t>
      </w:r>
      <w:r>
        <w:rPr>
          <w:rFonts w:hint="eastAsia" w:hAnsi="宋体" w:eastAsia="宋体" w:cs="仿宋"/>
          <w:color w:val="auto"/>
          <w:sz w:val="21"/>
          <w:szCs w:val="21"/>
          <w:highlight w:val="none"/>
        </w:rPr>
        <w:t>年度</w:t>
      </w:r>
      <w:r>
        <w:rPr>
          <w:rFonts w:hint="eastAsia" w:hAnsi="宋体" w:eastAsia="宋体" w:cs="仿宋"/>
          <w:color w:val="auto"/>
          <w:sz w:val="21"/>
          <w:szCs w:val="21"/>
          <w:highlight w:val="none"/>
          <w:lang w:eastAsia="zh-CN"/>
        </w:rPr>
        <w:t>医疗保障基金使用监督检查</w:t>
      </w:r>
      <w:r>
        <w:rPr>
          <w:rFonts w:hint="eastAsia" w:hAnsi="宋体" w:eastAsia="宋体" w:cs="仿宋"/>
          <w:color w:val="auto"/>
          <w:sz w:val="21"/>
          <w:szCs w:val="21"/>
          <w:highlight w:val="none"/>
        </w:rPr>
        <w:t>合同》及《保密协议》后进行资料交接，人员安排上给予及时保障。</w:t>
      </w:r>
    </w:p>
    <w:p w14:paraId="42CDDABD">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（2）乙方不得将甲方委托的业务转包或分包给其他单位或个人，否则，甲方有权解除合同。</w:t>
      </w:r>
    </w:p>
    <w:p w14:paraId="0C79DDDC">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（3）因不可抗力原因导致项目中止的，乙方应继续协助甲方完成项目的后续工作。</w:t>
      </w:r>
    </w:p>
    <w:p w14:paraId="6DD30E83">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（4）乙方应及时完成约定的项目任务，并将全部资料和报告递交给甲方。</w:t>
      </w:r>
    </w:p>
    <w:p w14:paraId="7663BD0A">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9.违约责任</w:t>
      </w:r>
    </w:p>
    <w:p w14:paraId="6CF109B6">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lang w:val="en-US" w:eastAsia="zh-CN"/>
        </w:rPr>
      </w:pPr>
      <w:r>
        <w:rPr>
          <w:rFonts w:hint="eastAsia" w:hAnsi="宋体" w:eastAsia="宋体" w:cs="仿宋"/>
          <w:color w:val="auto"/>
          <w:sz w:val="21"/>
          <w:szCs w:val="21"/>
          <w:highlight w:val="none"/>
          <w:lang w:val="en-US" w:eastAsia="zh-CN"/>
        </w:rPr>
        <w:t xml:space="preserve">9.1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w:t>
      </w:r>
    </w:p>
    <w:p w14:paraId="3E354349">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rPr>
      </w:pPr>
      <w:r>
        <w:rPr>
          <w:rFonts w:hint="eastAsia" w:hAnsi="宋体" w:eastAsia="宋体" w:cs="仿宋"/>
          <w:color w:val="auto"/>
          <w:sz w:val="21"/>
          <w:szCs w:val="21"/>
          <w:highlight w:val="none"/>
          <w:lang w:val="en-US" w:eastAsia="zh-CN"/>
        </w:rPr>
        <w:t xml:space="preserve">9.2合同争议解决的方式：本合同在履行过程中发生的争议，由甲、乙双方当事人协商解决，协商不成的按下列第（2）种方式解决：（1）提交西安仲裁委员会仲裁；（2）依法向有管辖权的人民法院起诉。 </w:t>
      </w:r>
    </w:p>
    <w:p w14:paraId="5920D643">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10.不可抗力</w:t>
      </w:r>
    </w:p>
    <w:p w14:paraId="783F3A9C">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10.1如果合同双方因不可抗力而导致合同实施延误或合同无法实施，不应该承担误期赔偿或不能履行合同义务的责任。</w:t>
      </w:r>
    </w:p>
    <w:p w14:paraId="6B535529">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10.2本条所述的“不可抗力”系指那些双方不可预见、不可避免、不可克服的客观情况，但不包括双方的违约或疏忽。这些事件包括但不限于：战争、严重火灾、洪水、台风、地震等。</w:t>
      </w:r>
    </w:p>
    <w:p w14:paraId="7E2F772C">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10.3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4C92DDB">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11.合同纠纷的解决方式</w:t>
      </w:r>
    </w:p>
    <w:p w14:paraId="3ACEC70D">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rPr>
      </w:pPr>
      <w:r>
        <w:rPr>
          <w:rFonts w:hint="eastAsia" w:hAnsi="宋体" w:eastAsia="宋体" w:cs="仿宋"/>
          <w:color w:val="auto"/>
          <w:sz w:val="21"/>
          <w:szCs w:val="21"/>
          <w:highlight w:val="none"/>
        </w:rPr>
        <w:t>11.1合同各方应通过友好协商，解决在执行合同过程中所发生的或与合同有关的一切争端。如协商30日内不能解决，可以向采购人所在地提起诉讼。</w:t>
      </w:r>
    </w:p>
    <w:p w14:paraId="252E5B9F">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int="eastAsia" w:hAnsi="宋体" w:eastAsia="宋体" w:cs="仿宋"/>
          <w:color w:val="auto"/>
          <w:sz w:val="21"/>
          <w:szCs w:val="21"/>
          <w:highlight w:val="none"/>
        </w:rPr>
      </w:pPr>
      <w:r>
        <w:rPr>
          <w:rFonts w:hint="eastAsia" w:hAnsi="宋体" w:eastAsia="宋体" w:cs="仿宋"/>
          <w:color w:val="auto"/>
          <w:sz w:val="21"/>
          <w:szCs w:val="21"/>
          <w:highlight w:val="none"/>
        </w:rPr>
        <w:t>11.2诉讼应由甲方住所地人民法院管辖。财产保全担保保险费、财产保全申请费、律师代理费、差旅费、评估费、鉴定费及诉讼费等与仲裁或诉讼活动相关费用应由败诉方负担。</w:t>
      </w:r>
    </w:p>
    <w:p w14:paraId="1F99B288">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lang w:val="en-US" w:eastAsia="zh-CN"/>
        </w:rPr>
        <w:t>12.</w:t>
      </w:r>
      <w:r>
        <w:rPr>
          <w:rFonts w:hint="eastAsia" w:hAnsi="宋体" w:eastAsia="宋体" w:cs="仿宋"/>
          <w:b/>
          <w:color w:val="auto"/>
          <w:sz w:val="21"/>
          <w:szCs w:val="21"/>
          <w:highlight w:val="none"/>
        </w:rPr>
        <w:t>合同转让和分包</w:t>
      </w:r>
    </w:p>
    <w:p w14:paraId="705D126A">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12.1乙方不得以任何形式将合同转包，或部分或全部转让其应履行的合同义务。</w:t>
      </w:r>
    </w:p>
    <w:p w14:paraId="75613D60">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w:t>
      </w:r>
      <w:r>
        <w:rPr>
          <w:rFonts w:hint="eastAsia" w:hAnsi="宋体" w:eastAsia="宋体" w:cs="仿宋"/>
          <w:color w:val="auto"/>
          <w:sz w:val="21"/>
          <w:szCs w:val="21"/>
          <w:highlight w:val="none"/>
          <w:lang w:val="en-US" w:eastAsia="zh-CN"/>
        </w:rPr>
        <w:t>2</w:t>
      </w:r>
      <w:r>
        <w:rPr>
          <w:rFonts w:hint="eastAsia" w:hAnsi="宋体" w:eastAsia="宋体" w:cs="仿宋"/>
          <w:color w:val="auto"/>
          <w:sz w:val="21"/>
          <w:szCs w:val="21"/>
          <w:highlight w:val="none"/>
        </w:rPr>
        <w:t>.2除经甲方事先书面同意外，乙方不得以任何形式将合同分包。</w:t>
      </w:r>
    </w:p>
    <w:p w14:paraId="2E8B2023">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13.适用法律</w:t>
      </w:r>
    </w:p>
    <w:p w14:paraId="6A54997C">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13.1本合同适用中华人民共和国现行法律、行政法规和规章，如合同条款与法律、行政法规和规章不一致的，按照法律、行政法规和规章修改本合同。</w:t>
      </w:r>
    </w:p>
    <w:p w14:paraId="5AF0BA7D">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14.合同语言</w:t>
      </w:r>
    </w:p>
    <w:p w14:paraId="1DDB9DB7">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14.1本合同语言为中文。</w:t>
      </w:r>
    </w:p>
    <w:p w14:paraId="485E9DCB">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14.2双方交换的与合同有关的信件和其他文件应用合同语言书写。</w:t>
      </w:r>
    </w:p>
    <w:p w14:paraId="7AD65725">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15.合同生效</w:t>
      </w:r>
    </w:p>
    <w:p w14:paraId="545738B6">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15.1本合同应在双方签字盖章后生效。</w:t>
      </w:r>
    </w:p>
    <w:p w14:paraId="088544B9">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16.合同效力</w:t>
      </w:r>
    </w:p>
    <w:p w14:paraId="4BF4A1F5">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16.1</w:t>
      </w:r>
      <w:bookmarkStart w:id="0" w:name="_Hlk535773071"/>
      <w:r>
        <w:rPr>
          <w:rFonts w:hint="eastAsia" w:hAnsi="宋体" w:eastAsia="宋体" w:cs="仿宋"/>
          <w:color w:val="auto"/>
          <w:sz w:val="21"/>
          <w:szCs w:val="21"/>
          <w:highlight w:val="none"/>
        </w:rPr>
        <w:t>除本合同和甲乙双方书面签署的补充协议外，其他任何形式的双方约定和往来函件均不具有法律效力，对本项目无约束力。</w:t>
      </w:r>
    </w:p>
    <w:bookmarkEnd w:id="0"/>
    <w:p w14:paraId="5B53F60C">
      <w:pPr>
        <w:pStyle w:val="9"/>
        <w:keepNext w:val="0"/>
        <w:keepLines w:val="0"/>
        <w:pageBreakBefore w:val="0"/>
        <w:widowControl w:val="0"/>
        <w:kinsoku/>
        <w:wordWrap/>
        <w:overflowPunct/>
        <w:topLinePunct w:val="0"/>
        <w:bidi w:val="0"/>
        <w:snapToGrid/>
        <w:spacing w:line="360" w:lineRule="auto"/>
        <w:textAlignment w:val="auto"/>
        <w:rPr>
          <w:rFonts w:hAnsi="宋体" w:eastAsia="宋体" w:cs="仿宋"/>
          <w:b/>
          <w:color w:val="auto"/>
          <w:sz w:val="21"/>
          <w:szCs w:val="21"/>
          <w:highlight w:val="none"/>
        </w:rPr>
      </w:pPr>
      <w:r>
        <w:rPr>
          <w:rFonts w:hint="eastAsia" w:hAnsi="宋体" w:eastAsia="宋体" w:cs="仿宋"/>
          <w:b/>
          <w:color w:val="auto"/>
          <w:sz w:val="21"/>
          <w:szCs w:val="21"/>
          <w:highlight w:val="none"/>
        </w:rPr>
        <w:t>17.检查和审计</w:t>
      </w:r>
    </w:p>
    <w:p w14:paraId="0D318F1A">
      <w:pPr>
        <w:pStyle w:val="9"/>
        <w:keepNext w:val="0"/>
        <w:keepLines w:val="0"/>
        <w:pageBreakBefore w:val="0"/>
        <w:widowControl w:val="0"/>
        <w:kinsoku/>
        <w:wordWrap/>
        <w:overflowPunct/>
        <w:topLinePunct w:val="0"/>
        <w:bidi w:val="0"/>
        <w:snapToGrid/>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17.1在本合同的履行过程中，甲方有权对乙方的合同履约情况进行阶段性检查，并对乙方投标时提供的相关资料进行复核。</w:t>
      </w:r>
    </w:p>
    <w:p w14:paraId="612EEBCC">
      <w:pPr>
        <w:pStyle w:val="9"/>
        <w:keepNext w:val="0"/>
        <w:keepLines w:val="0"/>
        <w:pageBreakBefore w:val="0"/>
        <w:widowControl w:val="0"/>
        <w:kinsoku/>
        <w:wordWrap/>
        <w:overflowPunct/>
        <w:topLinePunct w:val="0"/>
        <w:bidi w:val="0"/>
        <w:snapToGrid/>
        <w:spacing w:line="360" w:lineRule="auto"/>
        <w:ind w:firstLine="420" w:firstLineChars="200"/>
        <w:textAlignment w:val="auto"/>
        <w:rPr>
          <w:color w:val="auto"/>
          <w:highlight w:val="none"/>
        </w:rPr>
      </w:pPr>
      <w:r>
        <w:rPr>
          <w:rFonts w:hint="eastAsia" w:hAnsi="宋体" w:eastAsia="宋体" w:cs="仿宋"/>
          <w:color w:val="auto"/>
          <w:sz w:val="21"/>
          <w:szCs w:val="21"/>
          <w:highlight w:val="none"/>
        </w:rPr>
        <w:t>17.2在本合同的履行过程中，如果甲乙双方发生争议或者乙方没有按照合同约定履行义务，乙方应允许甲方检查乙方与实施本合同有关的账户和记录，并由甲方指定的审计人员对其进行审计。</w:t>
      </w:r>
    </w:p>
    <w:sectPr>
      <w:headerReference r:id="rId3" w:type="default"/>
      <w:footerReference r:id="rId4" w:type="default"/>
      <w:pgSz w:w="11906" w:h="16838"/>
      <w:pgMar w:top="1440" w:right="1486"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A9EFD">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FAB685">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5FAB685">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E5F0F">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FD2142"/>
    <w:multiLevelType w:val="singleLevel"/>
    <w:tmpl w:val="B4FD214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2A51EA"/>
    <w:rsid w:val="034C108A"/>
    <w:rsid w:val="05FD1BBE"/>
    <w:rsid w:val="06AC0A0C"/>
    <w:rsid w:val="07E64C3E"/>
    <w:rsid w:val="0E422CE9"/>
    <w:rsid w:val="0E7331C3"/>
    <w:rsid w:val="0EC73F5E"/>
    <w:rsid w:val="0FA314C4"/>
    <w:rsid w:val="100C66D5"/>
    <w:rsid w:val="122A05F8"/>
    <w:rsid w:val="16FC29C4"/>
    <w:rsid w:val="17395C7D"/>
    <w:rsid w:val="18622CA6"/>
    <w:rsid w:val="18EB6B88"/>
    <w:rsid w:val="1E731794"/>
    <w:rsid w:val="20E56222"/>
    <w:rsid w:val="211511D9"/>
    <w:rsid w:val="22077ED1"/>
    <w:rsid w:val="240D341D"/>
    <w:rsid w:val="24422E26"/>
    <w:rsid w:val="26E7587D"/>
    <w:rsid w:val="29DF3391"/>
    <w:rsid w:val="2B780E96"/>
    <w:rsid w:val="2D85089F"/>
    <w:rsid w:val="2EA62314"/>
    <w:rsid w:val="30640F12"/>
    <w:rsid w:val="30DB2D00"/>
    <w:rsid w:val="31F05F32"/>
    <w:rsid w:val="3465383C"/>
    <w:rsid w:val="37322601"/>
    <w:rsid w:val="3C4B74FD"/>
    <w:rsid w:val="3CB75A27"/>
    <w:rsid w:val="3D643E0C"/>
    <w:rsid w:val="3D6E74D6"/>
    <w:rsid w:val="3FB5178A"/>
    <w:rsid w:val="40CC25C5"/>
    <w:rsid w:val="43260E58"/>
    <w:rsid w:val="4541667C"/>
    <w:rsid w:val="49787CEA"/>
    <w:rsid w:val="4AFE4EC2"/>
    <w:rsid w:val="54613836"/>
    <w:rsid w:val="54897A6D"/>
    <w:rsid w:val="5B6B56EA"/>
    <w:rsid w:val="5D5B6D2D"/>
    <w:rsid w:val="5DB91FC8"/>
    <w:rsid w:val="5E041700"/>
    <w:rsid w:val="60E0460C"/>
    <w:rsid w:val="61915623"/>
    <w:rsid w:val="623C0084"/>
    <w:rsid w:val="634C5649"/>
    <w:rsid w:val="653964D0"/>
    <w:rsid w:val="65705DC1"/>
    <w:rsid w:val="678332EB"/>
    <w:rsid w:val="68595EE4"/>
    <w:rsid w:val="69507602"/>
    <w:rsid w:val="6AC86D51"/>
    <w:rsid w:val="6C6104A5"/>
    <w:rsid w:val="6F2A51EA"/>
    <w:rsid w:val="6F364F80"/>
    <w:rsid w:val="6FAC02E5"/>
    <w:rsid w:val="710A048B"/>
    <w:rsid w:val="711F04E9"/>
    <w:rsid w:val="73D32C53"/>
    <w:rsid w:val="73F45085"/>
    <w:rsid w:val="752C5797"/>
    <w:rsid w:val="76766876"/>
    <w:rsid w:val="780C7A6F"/>
    <w:rsid w:val="7B651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
    <w:qFormat/>
    <w:uiPriority w:val="0"/>
    <w:pPr>
      <w:keepNext/>
      <w:spacing w:after="100" w:line="240" w:lineRule="auto"/>
      <w:ind w:firstLine="0" w:firstLineChars="0"/>
      <w:jc w:val="center"/>
      <w:outlineLvl w:val="0"/>
    </w:pPr>
    <w:rPr>
      <w:b/>
      <w:bCs/>
      <w:kern w:val="0"/>
      <w:sz w:val="44"/>
      <w:szCs w:val="44"/>
    </w:rPr>
  </w:style>
  <w:style w:type="paragraph" w:styleId="2">
    <w:name w:val="heading 2"/>
    <w:basedOn w:val="1"/>
    <w:next w:val="1"/>
    <w:link w:val="19"/>
    <w:semiHidden/>
    <w:unhideWhenUsed/>
    <w:qFormat/>
    <w:uiPriority w:val="0"/>
    <w:pPr>
      <w:keepNext/>
      <w:spacing w:line="240" w:lineRule="auto"/>
      <w:ind w:leftChars="200" w:firstLine="0" w:firstLineChars="0"/>
      <w:jc w:val="left"/>
      <w:outlineLvl w:val="1"/>
    </w:pPr>
    <w:rPr>
      <w:b/>
      <w:bCs/>
      <w:kern w:val="0"/>
      <w:sz w:val="32"/>
      <w:szCs w:val="32"/>
    </w:rPr>
  </w:style>
  <w:style w:type="paragraph" w:styleId="4">
    <w:name w:val="heading 3"/>
    <w:basedOn w:val="1"/>
    <w:next w:val="1"/>
    <w:link w:val="20"/>
    <w:semiHidden/>
    <w:unhideWhenUsed/>
    <w:qFormat/>
    <w:uiPriority w:val="0"/>
    <w:pPr>
      <w:keepNext/>
      <w:spacing w:line="240" w:lineRule="auto"/>
      <w:ind w:leftChars="200" w:firstLine="0" w:firstLineChars="0"/>
      <w:outlineLvl w:val="2"/>
    </w:pPr>
    <w:rPr>
      <w:b/>
      <w:bCs/>
      <w:kern w:val="0"/>
    </w:rPr>
  </w:style>
  <w:style w:type="paragraph" w:styleId="5">
    <w:name w:val="heading 4"/>
    <w:basedOn w:val="1"/>
    <w:next w:val="1"/>
    <w:link w:val="21"/>
    <w:semiHidden/>
    <w:unhideWhenUsed/>
    <w:qFormat/>
    <w:uiPriority w:val="0"/>
    <w:pPr>
      <w:keepNext/>
      <w:keepLines/>
      <w:spacing w:before="280" w:beforeLines="0" w:after="290" w:afterLines="0" w:line="240" w:lineRule="auto"/>
      <w:ind w:leftChars="0" w:firstLine="0" w:firstLineChars="0"/>
      <w:jc w:val="left"/>
      <w:outlineLvl w:val="3"/>
    </w:pPr>
    <w:rPr>
      <w:b/>
      <w:bCs/>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b/>
      <w:sz w:val="28"/>
    </w:rPr>
  </w:style>
  <w:style w:type="paragraph" w:styleId="7">
    <w:name w:val="Body Text Indent"/>
    <w:basedOn w:val="1"/>
    <w:qFormat/>
    <w:uiPriority w:val="0"/>
    <w:pPr>
      <w:spacing w:after="120" w:afterLines="0" w:afterAutospacing="0"/>
      <w:ind w:left="420" w:leftChars="200"/>
    </w:pPr>
  </w:style>
  <w:style w:type="paragraph" w:styleId="8">
    <w:name w:val="List 2"/>
    <w:basedOn w:val="1"/>
    <w:qFormat/>
    <w:uiPriority w:val="0"/>
    <w:pPr>
      <w:ind w:left="100" w:leftChars="200" w:hanging="200" w:hangingChars="200"/>
    </w:pPr>
  </w:style>
  <w:style w:type="paragraph" w:styleId="9">
    <w:name w:val="Plain Text"/>
    <w:basedOn w:val="1"/>
    <w:next w:val="1"/>
    <w:qFormat/>
    <w:uiPriority w:val="0"/>
    <w:rPr>
      <w:rFonts w:ascii="宋体" w:hAnsi="Courier New" w:eastAsia="华文宋体"/>
      <w:sz w:val="28"/>
      <w:szCs w:val="2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Body Text First Indent"/>
    <w:basedOn w:val="6"/>
    <w:qFormat/>
    <w:uiPriority w:val="0"/>
    <w:pPr>
      <w:adjustRightInd w:val="0"/>
      <w:ind w:firstLine="420"/>
      <w:jc w:val="left"/>
      <w:textAlignment w:val="baseline"/>
    </w:pPr>
    <w:rPr>
      <w:b w:val="0"/>
      <w:kern w:val="0"/>
      <w:sz w:val="21"/>
    </w:rPr>
  </w:style>
  <w:style w:type="paragraph" w:styleId="14">
    <w:name w:val="Body Text First Indent 2"/>
    <w:basedOn w:val="7"/>
    <w:qFormat/>
    <w:uiPriority w:val="0"/>
    <w:pPr>
      <w:ind w:firstLine="420" w:firstLineChars="200"/>
    </w:pPr>
  </w:style>
  <w:style w:type="character" w:styleId="17">
    <w:name w:val="annotation reference"/>
    <w:basedOn w:val="16"/>
    <w:semiHidden/>
    <w:unhideWhenUsed/>
    <w:qFormat/>
    <w:uiPriority w:val="0"/>
    <w:rPr>
      <w:sz w:val="21"/>
      <w:szCs w:val="21"/>
    </w:rPr>
  </w:style>
  <w:style w:type="character" w:customStyle="1" w:styleId="18">
    <w:name w:val="标题 1 Char"/>
    <w:link w:val="3"/>
    <w:qFormat/>
    <w:uiPriority w:val="0"/>
    <w:rPr>
      <w:rFonts w:ascii="仿宋" w:hAnsi="仿宋" w:eastAsia="仿宋" w:cs="仿宋"/>
      <w:b/>
      <w:bCs/>
      <w:kern w:val="0"/>
      <w:sz w:val="44"/>
      <w:szCs w:val="44"/>
    </w:rPr>
  </w:style>
  <w:style w:type="character" w:customStyle="1" w:styleId="19">
    <w:name w:val="标题 2 Char"/>
    <w:link w:val="2"/>
    <w:qFormat/>
    <w:uiPriority w:val="0"/>
    <w:rPr>
      <w:rFonts w:ascii="仿宋" w:hAnsi="仿宋" w:eastAsia="宋体" w:cs="宋体"/>
      <w:b/>
      <w:bCs/>
      <w:kern w:val="0"/>
      <w:sz w:val="32"/>
      <w:szCs w:val="32"/>
    </w:rPr>
  </w:style>
  <w:style w:type="character" w:customStyle="1" w:styleId="20">
    <w:name w:val="标题 3 Char"/>
    <w:link w:val="4"/>
    <w:qFormat/>
    <w:uiPriority w:val="0"/>
    <w:rPr>
      <w:rFonts w:ascii="宋体" w:hAnsi="宋体" w:eastAsia="宋体"/>
      <w:b/>
      <w:bCs/>
      <w:kern w:val="0"/>
      <w:sz w:val="28"/>
    </w:rPr>
  </w:style>
  <w:style w:type="character" w:customStyle="1" w:styleId="21">
    <w:name w:val="标题 4 Char"/>
    <w:link w:val="5"/>
    <w:qFormat/>
    <w:uiPriority w:val="0"/>
    <w:rPr>
      <w:rFonts w:ascii="宋体" w:hAnsi="宋体" w:eastAsia="宋体"/>
      <w:b/>
      <w:bCs/>
    </w:rPr>
  </w:style>
  <w:style w:type="paragraph" w:customStyle="1" w:styleId="22">
    <w:name w:val="Default"/>
    <w:qFormat/>
    <w:uiPriority w:val="99"/>
    <w:pPr>
      <w:widowControl w:val="0"/>
      <w:autoSpaceDE w:val="0"/>
      <w:autoSpaceDN w:val="0"/>
      <w:adjustRightInd w:val="0"/>
    </w:pPr>
    <w:rPr>
      <w:rFonts w:ascii="Calibri" w:hAnsi="Calibri" w:eastAsia="微软雅黑" w:cs="Calibri"/>
      <w:color w:val="000000"/>
      <w:sz w:val="24"/>
      <w:szCs w:val="24"/>
      <w:lang w:val="en-US" w:eastAsia="zh-CN" w:bidi="ar-SA"/>
    </w:rPr>
  </w:style>
  <w:style w:type="paragraph" w:customStyle="1" w:styleId="23">
    <w:name w:val="null3"/>
    <w:hidden/>
    <w:qFormat/>
    <w:uiPriority w:val="0"/>
    <w:rPr>
      <w:rFonts w:hint="eastAsia" w:asciiTheme="minorHAnsi" w:hAnsiTheme="minorHAnsi" w:eastAsiaTheme="minorEastAsia" w:cstheme="minorBidi"/>
      <w:lang w:val="en-US" w:eastAsia="zh-Hans"/>
    </w:rPr>
  </w:style>
  <w:style w:type="paragraph" w:styleId="2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3985</Words>
  <Characters>4192</Characters>
  <Lines>0</Lines>
  <Paragraphs>0</Paragraphs>
  <TotalTime>14</TotalTime>
  <ScaleCrop>false</ScaleCrop>
  <LinksUpToDate>false</LinksUpToDate>
  <CharactersWithSpaces>4259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2025-05-26T14:32:00Z</dcterms:created>
  <dc:creator>朱娟</dc:creator>
  <cp:lastModifiedBy>杜晓庆</cp:lastModifiedBy>
  <dcterms:modified xsi:type="dcterms:W3CDTF">2025-09-18T07:06:30Z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E901CF190B254FDB84609D036F281763_13</vt:lpwstr>
  </property>
  <property fmtid="{D5CDD505-2E9C-101B-9397-08002B2CF9AE}" pid="4" name="KSOTemplateDocerSaveRecord">
    <vt:lpwstr>eyJoZGlkIjoiMmY0Mzg5OTZjMjg1NWZmZWJmMjdmNjNjNjM5OGU1OGMiLCJ1c2VySWQiOiIxNzI1MzA4MDI3In0=</vt:lpwstr>
  </property>
</Properties>
</file>