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EF9A1F">
      <w:pPr>
        <w:spacing w:line="640" w:lineRule="exact"/>
        <w:ind w:left="181" w:right="658"/>
        <w:jc w:val="center"/>
        <w:rPr>
          <w:rFonts w:hint="eastAsia" w:ascii="仿宋_GB2312" w:hAnsi="仿宋_GB2312" w:eastAsia="仿宋_GB2312" w:cs="仿宋_GB2312"/>
          <w:b/>
          <w:sz w:val="52"/>
          <w:szCs w:val="52"/>
        </w:rPr>
      </w:pPr>
    </w:p>
    <w:p w14:paraId="0EE5BA82">
      <w:pPr>
        <w:spacing w:line="640" w:lineRule="exact"/>
        <w:ind w:left="181" w:right="658"/>
        <w:jc w:val="center"/>
        <w:rPr>
          <w:rFonts w:hint="eastAsia" w:ascii="仿宋_GB2312" w:hAnsi="仿宋_GB2312" w:eastAsia="仿宋_GB2312" w:cs="仿宋_GB2312"/>
          <w:b/>
          <w:sz w:val="52"/>
          <w:szCs w:val="52"/>
        </w:rPr>
      </w:pPr>
    </w:p>
    <w:p w14:paraId="77FA19F7">
      <w:pPr>
        <w:spacing w:line="640" w:lineRule="exact"/>
        <w:ind w:left="181" w:right="658"/>
        <w:jc w:val="center"/>
        <w:rPr>
          <w:rFonts w:hint="eastAsia" w:ascii="仿宋_GB2312" w:hAnsi="仿宋_GB2312" w:eastAsia="仿宋_GB2312" w:cs="仿宋_GB2312"/>
          <w:b/>
          <w:sz w:val="52"/>
          <w:szCs w:val="52"/>
        </w:rPr>
      </w:pPr>
      <w:r>
        <w:rPr>
          <w:rFonts w:hint="eastAsia" w:ascii="仿宋_GB2312" w:hAnsi="仿宋_GB2312" w:eastAsia="仿宋_GB2312" w:cs="仿宋_GB2312"/>
          <w:b/>
          <w:sz w:val="52"/>
          <w:szCs w:val="52"/>
        </w:rPr>
        <w:t>西安市中医医院掌上</w:t>
      </w:r>
    </w:p>
    <w:p w14:paraId="74191705">
      <w:pPr>
        <w:spacing w:line="640" w:lineRule="exact"/>
        <w:ind w:left="181" w:right="658"/>
        <w:jc w:val="center"/>
        <w:rPr>
          <w:rFonts w:hint="eastAsia" w:ascii="仿宋_GB2312" w:hAnsi="仿宋_GB2312" w:eastAsia="仿宋_GB2312" w:cs="仿宋_GB2312"/>
          <w:b/>
          <w:sz w:val="52"/>
          <w:szCs w:val="52"/>
        </w:rPr>
      </w:pPr>
      <w:r>
        <w:rPr>
          <w:rFonts w:hint="eastAsia" w:ascii="仿宋_GB2312" w:hAnsi="仿宋_GB2312" w:eastAsia="仿宋_GB2312" w:cs="仿宋_GB2312"/>
          <w:b/>
          <w:sz w:val="52"/>
          <w:szCs w:val="52"/>
        </w:rPr>
        <w:t>医疗移动查房项目合同</w:t>
      </w:r>
    </w:p>
    <w:p w14:paraId="4EEC4119">
      <w:pPr>
        <w:spacing w:line="360" w:lineRule="auto"/>
        <w:ind w:firstLine="3300" w:firstLineChars="1100"/>
        <w:jc w:val="center"/>
        <w:rPr>
          <w:rFonts w:hint="eastAsia" w:ascii="仿宋_GB2312" w:hAnsi="仿宋_GB2312" w:eastAsia="仿宋_GB2312" w:cs="仿宋_GB2312"/>
          <w:bCs/>
          <w:sz w:val="30"/>
          <w:szCs w:val="30"/>
        </w:rPr>
      </w:pPr>
    </w:p>
    <w:p w14:paraId="1C48A300">
      <w:pPr>
        <w:spacing w:line="360" w:lineRule="auto"/>
        <w:ind w:firstLine="3300" w:firstLineChars="1100"/>
        <w:jc w:val="center"/>
        <w:rPr>
          <w:rFonts w:hint="eastAsia" w:ascii="仿宋_GB2312" w:hAnsi="仿宋_GB2312" w:eastAsia="仿宋_GB2312" w:cs="仿宋_GB2312"/>
          <w:bCs/>
          <w:sz w:val="30"/>
          <w:szCs w:val="30"/>
        </w:rPr>
      </w:pPr>
    </w:p>
    <w:p w14:paraId="587BC4A8">
      <w:pPr>
        <w:spacing w:line="360" w:lineRule="auto"/>
        <w:ind w:firstLine="3300" w:firstLineChars="1100"/>
        <w:jc w:val="center"/>
        <w:rPr>
          <w:rFonts w:hint="eastAsia" w:ascii="仿宋_GB2312" w:hAnsi="仿宋_GB2312" w:eastAsia="仿宋_GB2312" w:cs="仿宋_GB2312"/>
          <w:bCs/>
          <w:sz w:val="30"/>
          <w:szCs w:val="30"/>
        </w:rPr>
      </w:pPr>
    </w:p>
    <w:p w14:paraId="77B79081">
      <w:pPr>
        <w:pStyle w:val="2"/>
        <w:rPr>
          <w:rFonts w:hint="eastAsia" w:ascii="仿宋_GB2312" w:hAnsi="仿宋_GB2312" w:eastAsia="仿宋_GB2312" w:cs="仿宋_GB2312"/>
          <w:bCs/>
          <w:sz w:val="30"/>
          <w:szCs w:val="30"/>
        </w:rPr>
      </w:pPr>
    </w:p>
    <w:p w14:paraId="64B27180">
      <w:pPr>
        <w:pStyle w:val="2"/>
        <w:rPr>
          <w:rFonts w:hint="eastAsia" w:ascii="仿宋_GB2312" w:hAnsi="仿宋_GB2312" w:eastAsia="仿宋_GB2312" w:cs="仿宋_GB2312"/>
          <w:bCs/>
          <w:sz w:val="30"/>
          <w:szCs w:val="30"/>
        </w:rPr>
      </w:pPr>
    </w:p>
    <w:p w14:paraId="49498567">
      <w:pPr>
        <w:spacing w:line="360" w:lineRule="auto"/>
        <w:ind w:firstLine="3300" w:firstLineChars="1100"/>
        <w:jc w:val="center"/>
        <w:rPr>
          <w:rFonts w:hint="eastAsia" w:ascii="仿宋_GB2312" w:hAnsi="仿宋_GB2312" w:eastAsia="仿宋_GB2312" w:cs="仿宋_GB2312"/>
          <w:bCs/>
          <w:sz w:val="30"/>
          <w:szCs w:val="30"/>
        </w:rPr>
      </w:pPr>
    </w:p>
    <w:p w14:paraId="274F6FFB">
      <w:pPr>
        <w:spacing w:line="360" w:lineRule="auto"/>
        <w:rPr>
          <w:rFonts w:hint="eastAsia" w:ascii="仿宋_GB2312" w:hAnsi="仿宋_GB2312" w:eastAsia="仿宋_GB2312" w:cs="仿宋_GB2312"/>
          <w:bCs/>
          <w:sz w:val="30"/>
          <w:szCs w:val="30"/>
        </w:rPr>
      </w:pPr>
    </w:p>
    <w:p w14:paraId="634BA9B9">
      <w:pPr>
        <w:rPr>
          <w:rFonts w:hint="eastAsia" w:ascii="仿宋_GB2312" w:hAnsi="仿宋_GB2312" w:eastAsia="仿宋_GB2312" w:cs="仿宋_GB2312"/>
          <w:w w:val="95"/>
        </w:rPr>
      </w:pPr>
    </w:p>
    <w:p w14:paraId="53679E56">
      <w:pPr>
        <w:pStyle w:val="6"/>
        <w:tabs>
          <w:tab w:val="left" w:pos="7261"/>
        </w:tabs>
        <w:spacing w:before="74"/>
        <w:ind w:left="0" w:firstLine="2137" w:firstLineChars="700"/>
        <w:rPr>
          <w:rFonts w:hint="eastAsia" w:ascii="仿宋_GB2312" w:hAnsi="仿宋_GB2312" w:eastAsia="仿宋_GB2312" w:cs="仿宋_GB2312"/>
          <w:sz w:val="28"/>
          <w:szCs w:val="28"/>
        </w:rPr>
      </w:pPr>
      <w:r>
        <w:rPr>
          <w:rFonts w:hint="eastAsia" w:ascii="仿宋_GB2312" w:hAnsi="仿宋_GB2312" w:eastAsia="仿宋_GB2312" w:cs="仿宋_GB2312"/>
          <w:w w:val="95"/>
          <w:sz w:val="32"/>
          <w:szCs w:val="32"/>
        </w:rPr>
        <w:t>甲    方：</w:t>
      </w:r>
      <w:r>
        <w:rPr>
          <w:rFonts w:hint="eastAsia" w:ascii="仿宋_GB2312" w:hAnsi="仿宋_GB2312" w:eastAsia="仿宋_GB2312" w:cs="仿宋_GB2312"/>
          <w:sz w:val="32"/>
          <w:szCs w:val="32"/>
        </w:rPr>
        <w:t>西安市中医医院</w:t>
      </w:r>
    </w:p>
    <w:p w14:paraId="5333E2EF">
      <w:pPr>
        <w:pStyle w:val="6"/>
        <w:tabs>
          <w:tab w:val="left" w:pos="7259"/>
        </w:tabs>
        <w:spacing w:before="74"/>
        <w:ind w:left="0" w:firstLine="2137" w:firstLineChars="700"/>
        <w:rPr>
          <w:rFonts w:hint="eastAsia" w:ascii="仿宋_GB2312" w:hAnsi="仿宋_GB2312" w:eastAsia="仿宋_GB2312" w:cs="仿宋_GB2312"/>
          <w:sz w:val="32"/>
          <w:szCs w:val="32"/>
        </w:rPr>
      </w:pPr>
      <w:r>
        <w:rPr>
          <w:rFonts w:hint="eastAsia" w:ascii="仿宋_GB2312" w:hAnsi="仿宋_GB2312" w:eastAsia="仿宋_GB2312" w:cs="仿宋_GB2312"/>
          <w:w w:val="95"/>
          <w:sz w:val="32"/>
          <w:szCs w:val="32"/>
        </w:rPr>
        <w:t>乙    方：</w:t>
      </w:r>
    </w:p>
    <w:p w14:paraId="6BBB495A">
      <w:pPr>
        <w:pStyle w:val="6"/>
        <w:tabs>
          <w:tab w:val="left" w:pos="7261"/>
        </w:tabs>
        <w:spacing w:before="74"/>
        <w:ind w:left="0" w:firstLine="2137" w:firstLineChars="700"/>
        <w:rPr>
          <w:rFonts w:hint="eastAsia" w:ascii="仿宋_GB2312" w:hAnsi="仿宋_GB2312" w:eastAsia="仿宋_GB2312" w:cs="仿宋_GB2312"/>
          <w:w w:val="95"/>
          <w:sz w:val="32"/>
          <w:szCs w:val="32"/>
        </w:rPr>
      </w:pPr>
      <w:r>
        <w:rPr>
          <w:rFonts w:hint="eastAsia" w:ascii="仿宋_GB2312" w:hAnsi="仿宋_GB2312" w:eastAsia="仿宋_GB2312" w:cs="仿宋_GB2312"/>
          <w:w w:val="95"/>
          <w:sz w:val="32"/>
          <w:szCs w:val="32"/>
        </w:rPr>
        <w:t xml:space="preserve">鉴 证 方： </w:t>
      </w:r>
    </w:p>
    <w:p w14:paraId="246C2C73">
      <w:pPr>
        <w:rPr>
          <w:rFonts w:hint="eastAsia" w:ascii="仿宋_GB2312" w:hAnsi="仿宋_GB2312" w:eastAsia="仿宋_GB2312" w:cs="仿宋_GB2312"/>
          <w:w w:val="95"/>
        </w:rPr>
      </w:pPr>
    </w:p>
    <w:p w14:paraId="201AE87D">
      <w:pPr>
        <w:pStyle w:val="2"/>
        <w:rPr>
          <w:rFonts w:hint="eastAsia" w:ascii="仿宋_GB2312" w:hAnsi="仿宋_GB2312" w:eastAsia="仿宋_GB2312" w:cs="仿宋_GB2312"/>
          <w:w w:val="95"/>
        </w:rPr>
      </w:pPr>
    </w:p>
    <w:p w14:paraId="14F64130">
      <w:pPr>
        <w:pStyle w:val="2"/>
        <w:rPr>
          <w:rFonts w:hint="eastAsia" w:ascii="仿宋_GB2312" w:hAnsi="仿宋_GB2312" w:eastAsia="仿宋_GB2312" w:cs="仿宋_GB2312"/>
          <w:w w:val="95"/>
        </w:rPr>
      </w:pPr>
    </w:p>
    <w:p w14:paraId="54D2D2C5">
      <w:pPr>
        <w:pStyle w:val="2"/>
        <w:rPr>
          <w:rFonts w:hint="eastAsia" w:ascii="仿宋_GB2312" w:hAnsi="仿宋_GB2312" w:eastAsia="仿宋_GB2312" w:cs="仿宋_GB2312"/>
          <w:w w:val="95"/>
        </w:rPr>
      </w:pPr>
    </w:p>
    <w:p w14:paraId="1C0843AC">
      <w:pPr>
        <w:pStyle w:val="2"/>
        <w:rPr>
          <w:rFonts w:hint="eastAsia" w:ascii="仿宋_GB2312" w:hAnsi="仿宋_GB2312" w:eastAsia="仿宋_GB2312" w:cs="仿宋_GB2312"/>
          <w:w w:val="95"/>
        </w:rPr>
      </w:pPr>
    </w:p>
    <w:p w14:paraId="41D095AE">
      <w:pPr>
        <w:pStyle w:val="2"/>
        <w:rPr>
          <w:rFonts w:hint="eastAsia" w:ascii="仿宋_GB2312" w:hAnsi="仿宋_GB2312" w:eastAsia="仿宋_GB2312" w:cs="仿宋_GB2312"/>
          <w:w w:val="95"/>
        </w:rPr>
      </w:pPr>
    </w:p>
    <w:p w14:paraId="33854162">
      <w:pPr>
        <w:pStyle w:val="2"/>
        <w:rPr>
          <w:rFonts w:hint="eastAsia" w:ascii="仿宋_GB2312" w:hAnsi="仿宋_GB2312" w:eastAsia="仿宋_GB2312" w:cs="仿宋_GB2312"/>
          <w:w w:val="95"/>
        </w:rPr>
      </w:pPr>
    </w:p>
    <w:p w14:paraId="7BAF0428">
      <w:pPr>
        <w:pStyle w:val="2"/>
        <w:rPr>
          <w:rFonts w:hint="eastAsia" w:ascii="仿宋_GB2312" w:hAnsi="仿宋_GB2312" w:eastAsia="仿宋_GB2312" w:cs="仿宋_GB2312"/>
          <w:w w:val="95"/>
        </w:rPr>
      </w:pPr>
    </w:p>
    <w:p w14:paraId="3F3F9758">
      <w:pPr>
        <w:pStyle w:val="2"/>
        <w:rPr>
          <w:rFonts w:hint="eastAsia" w:ascii="仿宋_GB2312" w:hAnsi="仿宋_GB2312" w:eastAsia="仿宋_GB2312" w:cs="仿宋_GB2312"/>
          <w:w w:val="95"/>
        </w:rPr>
      </w:pPr>
    </w:p>
    <w:p w14:paraId="2C5EC5CE">
      <w:pPr>
        <w:pStyle w:val="2"/>
        <w:rPr>
          <w:rFonts w:hint="eastAsia" w:ascii="仿宋_GB2312" w:hAnsi="仿宋_GB2312" w:eastAsia="仿宋_GB2312" w:cs="仿宋_GB2312"/>
          <w:w w:val="95"/>
        </w:rPr>
      </w:pPr>
    </w:p>
    <w:p w14:paraId="50385EDA">
      <w:pPr>
        <w:pStyle w:val="2"/>
        <w:rPr>
          <w:rFonts w:hint="eastAsia" w:ascii="仿宋_GB2312" w:hAnsi="仿宋_GB2312" w:eastAsia="仿宋_GB2312" w:cs="仿宋_GB2312"/>
          <w:w w:val="95"/>
        </w:rPr>
      </w:pPr>
    </w:p>
    <w:p w14:paraId="56A0FABA">
      <w:pPr>
        <w:spacing w:line="360" w:lineRule="auto"/>
        <w:ind w:firstLine="3300" w:firstLineChars="1100"/>
        <w:jc w:val="center"/>
        <w:rPr>
          <w:rFonts w:hint="eastAsia" w:ascii="仿宋_GB2312" w:hAnsi="仿宋_GB2312" w:eastAsia="仿宋_GB2312" w:cs="仿宋_GB2312"/>
          <w:bCs/>
          <w:sz w:val="30"/>
          <w:szCs w:val="30"/>
        </w:rPr>
      </w:pPr>
    </w:p>
    <w:p w14:paraId="74668E3E">
      <w:pPr>
        <w:spacing w:line="420" w:lineRule="exact"/>
        <w:ind w:firstLine="4200" w:firstLineChars="14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2025年 月</w:t>
      </w:r>
    </w:p>
    <w:p w14:paraId="301D09F7">
      <w:pPr>
        <w:pStyle w:val="8"/>
        <w:ind w:left="1470" w:right="1470"/>
        <w:rPr>
          <w:rFonts w:hint="eastAsia" w:ascii="仿宋_GB2312" w:hAnsi="仿宋_GB2312" w:eastAsia="仿宋_GB2312" w:cs="仿宋_GB2312"/>
        </w:rPr>
      </w:pPr>
    </w:p>
    <w:p w14:paraId="369D09AF">
      <w:pPr>
        <w:spacing w:line="420" w:lineRule="exact"/>
        <w:ind w:firstLine="4200" w:firstLineChars="14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中国 西安</w:t>
      </w:r>
    </w:p>
    <w:p w14:paraId="7620BD13">
      <w:pPr>
        <w:pStyle w:val="7"/>
        <w:spacing w:before="66" w:line="453" w:lineRule="auto"/>
        <w:ind w:right="697"/>
        <w:rPr>
          <w:rFonts w:hint="eastAsia" w:ascii="仿宋_GB2312" w:hAnsi="仿宋_GB2312" w:eastAsia="仿宋_GB2312" w:cs="仿宋_GB2312"/>
          <w:spacing w:val="-9"/>
          <w:lang w:val="en-US"/>
        </w:rPr>
      </w:pPr>
    </w:p>
    <w:p w14:paraId="32AD39FB">
      <w:pPr>
        <w:spacing w:line="420" w:lineRule="exact"/>
        <w:rPr>
          <w:rFonts w:hint="eastAsia" w:ascii="仿宋_GB2312" w:hAnsi="仿宋_GB2312" w:eastAsia="仿宋_GB2312" w:cs="仿宋_GB2312"/>
          <w:b/>
          <w:bCs/>
          <w:sz w:val="24"/>
          <w:szCs w:val="24"/>
        </w:rPr>
        <w:sectPr>
          <w:footerReference r:id="rId3" w:type="default"/>
          <w:pgSz w:w="11910" w:h="16840"/>
          <w:pgMar w:top="1100" w:right="1134" w:bottom="1503" w:left="1202" w:header="873" w:footer="1304" w:gutter="0"/>
          <w:pgNumType w:fmt="decimal"/>
          <w:cols w:space="720" w:num="1"/>
        </w:sectPr>
      </w:pPr>
    </w:p>
    <w:tbl>
      <w:tblPr>
        <w:tblStyle w:val="11"/>
        <w:tblpPr w:leftFromText="180" w:rightFromText="180" w:vertAnchor="text" w:horzAnchor="margin" w:tblpXSpec="right" w:tblpY="1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tblGrid>
      <w:tr w14:paraId="03E4D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778" w:type="dxa"/>
          </w:tcPr>
          <w:p w14:paraId="30ED4689">
            <w:pPr>
              <w:spacing w:line="420" w:lineRule="exact"/>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制式</w:t>
            </w:r>
          </w:p>
        </w:tc>
      </w:tr>
    </w:tbl>
    <w:p w14:paraId="4C2DD232">
      <w:pPr>
        <w:tabs>
          <w:tab w:val="left" w:pos="7051"/>
        </w:tabs>
        <w:spacing w:line="400" w:lineRule="exact"/>
        <w:ind w:left="690" w:right="2692"/>
        <w:rPr>
          <w:rFonts w:hint="eastAsia" w:ascii="仿宋_GB2312" w:hAnsi="仿宋_GB2312" w:eastAsia="仿宋_GB2312" w:cs="仿宋_GB2312"/>
          <w:spacing w:val="-17"/>
          <w:sz w:val="24"/>
        </w:rPr>
      </w:pPr>
    </w:p>
    <w:p w14:paraId="4F041DD9">
      <w:pPr>
        <w:tabs>
          <w:tab w:val="left" w:pos="7051"/>
        </w:tabs>
        <w:spacing w:line="300" w:lineRule="auto"/>
        <w:ind w:left="690" w:right="2692"/>
        <w:rPr>
          <w:rFonts w:hint="eastAsia" w:ascii="仿宋_GB2312" w:hAnsi="仿宋_GB2312" w:eastAsia="仿宋_GB2312" w:cs="仿宋_GB2312"/>
          <w:spacing w:val="-17"/>
          <w:sz w:val="24"/>
          <w:szCs w:val="24"/>
        </w:rPr>
      </w:pPr>
      <w:r>
        <w:rPr>
          <w:rFonts w:hint="eastAsia" w:ascii="仿宋_GB2312" w:hAnsi="仿宋_GB2312" w:eastAsia="仿宋_GB2312" w:cs="仿宋_GB2312"/>
          <w:spacing w:val="-17"/>
          <w:sz w:val="24"/>
          <w:szCs w:val="24"/>
        </w:rPr>
        <w:t>甲   方：西安市中医医院</w:t>
      </w:r>
    </w:p>
    <w:p w14:paraId="2712BC33">
      <w:pPr>
        <w:tabs>
          <w:tab w:val="left" w:pos="7051"/>
        </w:tabs>
        <w:spacing w:line="300" w:lineRule="auto"/>
        <w:ind w:left="690" w:right="2692"/>
        <w:rPr>
          <w:rFonts w:hint="eastAsia" w:ascii="仿宋_GB2312" w:hAnsi="仿宋_GB2312" w:eastAsia="仿宋_GB2312" w:cs="仿宋_GB2312"/>
          <w:spacing w:val="-17"/>
          <w:sz w:val="24"/>
          <w:szCs w:val="24"/>
        </w:rPr>
      </w:pPr>
      <w:r>
        <w:rPr>
          <w:rFonts w:hint="eastAsia" w:ascii="仿宋_GB2312" w:hAnsi="仿宋_GB2312" w:eastAsia="仿宋_GB2312" w:cs="仿宋_GB2312"/>
          <w:spacing w:val="-17"/>
          <w:sz w:val="24"/>
          <w:szCs w:val="24"/>
        </w:rPr>
        <w:t>乙   方：</w:t>
      </w:r>
    </w:p>
    <w:p w14:paraId="4767C4D5">
      <w:pPr>
        <w:tabs>
          <w:tab w:val="left" w:pos="7051"/>
        </w:tabs>
        <w:spacing w:line="300" w:lineRule="auto"/>
        <w:ind w:left="690" w:right="2692"/>
        <w:rPr>
          <w:rFonts w:hint="eastAsia" w:ascii="仿宋_GB2312" w:hAnsi="仿宋_GB2312" w:eastAsia="仿宋_GB2312" w:cs="仿宋_GB2312"/>
          <w:spacing w:val="-17"/>
          <w:sz w:val="24"/>
          <w:szCs w:val="24"/>
        </w:rPr>
      </w:pPr>
      <w:r>
        <w:rPr>
          <w:rFonts w:hint="eastAsia" w:ascii="仿宋_GB2312" w:hAnsi="仿宋_GB2312" w:eastAsia="仿宋_GB2312" w:cs="仿宋_GB2312"/>
          <w:spacing w:val="-17"/>
          <w:sz w:val="24"/>
          <w:szCs w:val="24"/>
        </w:rPr>
        <w:t>鉴证方：</w:t>
      </w:r>
    </w:p>
    <w:p w14:paraId="05862137">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rPr>
        <w:t>经甲乙双方协商一致，鉴证方确认，根据《中华人民共和国政府采购法》及《中华人民共和国民法典》和</w:t>
      </w:r>
      <w:r>
        <w:rPr>
          <w:rFonts w:hint="eastAsia" w:ascii="仿宋_GB2312" w:hAnsi="仿宋_GB2312" w:eastAsia="仿宋_GB2312" w:cs="仿宋_GB2312"/>
          <w:sz w:val="24"/>
          <w:szCs w:val="24"/>
          <w:lang w:val="en-US" w:eastAsia="zh-CN"/>
        </w:rPr>
        <w:t>竞争性磋商</w:t>
      </w:r>
      <w:r>
        <w:rPr>
          <w:rFonts w:hint="eastAsia" w:ascii="仿宋_GB2312" w:hAnsi="仿宋_GB2312" w:eastAsia="仿宋_GB2312" w:cs="仿宋_GB2312"/>
          <w:sz w:val="24"/>
          <w:szCs w:val="24"/>
        </w:rPr>
        <w:t>文件、成交供应商竞争性磋商响应文件等有关规定及文件，遵循平等、自愿、公平和诚信的原则，达成如下条款。（以</w:t>
      </w:r>
      <w:r>
        <w:rPr>
          <w:rFonts w:hint="eastAsia" w:ascii="仿宋_GB2312" w:hAnsi="仿宋_GB2312" w:eastAsia="仿宋_GB2312" w:cs="仿宋_GB2312"/>
          <w:sz w:val="24"/>
          <w:szCs w:val="24"/>
          <w:lang w:val="en-US" w:eastAsia="zh-CN"/>
        </w:rPr>
        <w:t>磋商响应</w:t>
      </w:r>
      <w:r>
        <w:rPr>
          <w:rFonts w:hint="eastAsia" w:ascii="仿宋_GB2312" w:hAnsi="仿宋_GB2312" w:eastAsia="仿宋_GB2312" w:cs="仿宋_GB2312"/>
          <w:sz w:val="24"/>
          <w:szCs w:val="24"/>
        </w:rPr>
        <w:t>文件正本和澄清表〈函〉为准）</w:t>
      </w:r>
    </w:p>
    <w:p w14:paraId="7AB66A38">
      <w:pPr>
        <w:pStyle w:val="6"/>
        <w:spacing w:line="300" w:lineRule="auto"/>
        <w:ind w:firstLine="482" w:firstLineChars="200"/>
        <w:rPr>
          <w:rFonts w:hint="eastAsia" w:ascii="仿宋_GB2312" w:hAnsi="仿宋_GB2312" w:eastAsia="仿宋_GB2312" w:cs="仿宋_GB2312"/>
        </w:rPr>
      </w:pPr>
      <w:r>
        <w:rPr>
          <w:rFonts w:hint="eastAsia" w:ascii="仿宋_GB2312" w:hAnsi="仿宋_GB2312" w:eastAsia="仿宋_GB2312" w:cs="仿宋_GB2312"/>
        </w:rPr>
        <w:t>一、项目概况</w:t>
      </w:r>
    </w:p>
    <w:p w14:paraId="145DC43F">
      <w:pPr>
        <w:pStyle w:val="7"/>
        <w:tabs>
          <w:tab w:val="left" w:pos="7051"/>
        </w:tabs>
        <w:spacing w:line="300" w:lineRule="auto"/>
        <w:ind w:left="691"/>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1.项目名称：</w:t>
      </w:r>
      <w:r>
        <w:rPr>
          <w:rFonts w:hint="eastAsia" w:ascii="仿宋_GB2312" w:hAnsi="仿宋_GB2312" w:eastAsia="仿宋_GB2312" w:cs="仿宋_GB2312"/>
          <w:sz w:val="24"/>
          <w:szCs w:val="24"/>
          <w:u w:val="single"/>
        </w:rPr>
        <w:t>掌上医疗移动查房系统项目</w:t>
      </w:r>
    </w:p>
    <w:p w14:paraId="11FE6959">
      <w:pPr>
        <w:tabs>
          <w:tab w:val="left" w:pos="7051"/>
        </w:tabs>
        <w:spacing w:line="300" w:lineRule="auto"/>
        <w:ind w:left="690" w:right="2692"/>
        <w:rPr>
          <w:rFonts w:hint="eastAsia" w:ascii="仿宋_GB2312" w:hAnsi="仿宋_GB2312" w:eastAsia="仿宋_GB2312" w:cs="仿宋_GB2312"/>
          <w:sz w:val="24"/>
          <w:szCs w:val="24"/>
          <w:u w:val="single"/>
        </w:rPr>
      </w:pPr>
      <w:r>
        <w:rPr>
          <w:rFonts w:hint="eastAsia" w:ascii="仿宋_GB2312" w:hAnsi="仿宋_GB2312" w:eastAsia="仿宋_GB2312" w:cs="仿宋_GB2312"/>
          <w:sz w:val="24"/>
          <w:szCs w:val="24"/>
        </w:rPr>
        <w:t>2.项目地点：</w:t>
      </w:r>
      <w:r>
        <w:rPr>
          <w:rFonts w:hint="eastAsia" w:ascii="仿宋_GB2312" w:hAnsi="仿宋_GB2312" w:eastAsia="仿宋_GB2312" w:cs="仿宋_GB2312"/>
          <w:sz w:val="24"/>
          <w:szCs w:val="24"/>
          <w:u w:val="single"/>
        </w:rPr>
        <w:t>西安市中医医院及各分院</w:t>
      </w:r>
    </w:p>
    <w:p w14:paraId="0B2909C7">
      <w:pPr>
        <w:pStyle w:val="6"/>
        <w:spacing w:line="300" w:lineRule="auto"/>
        <w:ind w:firstLine="482" w:firstLineChars="200"/>
        <w:rPr>
          <w:rFonts w:hint="eastAsia" w:ascii="仿宋_GB2312" w:hAnsi="仿宋_GB2312" w:eastAsia="仿宋_GB2312" w:cs="仿宋_GB2312"/>
        </w:rPr>
      </w:pPr>
      <w:r>
        <w:rPr>
          <w:rFonts w:hint="eastAsia" w:ascii="仿宋_GB2312" w:hAnsi="仿宋_GB2312" w:eastAsia="仿宋_GB2312" w:cs="仿宋_GB2312"/>
        </w:rPr>
        <w:t>二、组成本合同的文件</w:t>
      </w:r>
    </w:p>
    <w:p w14:paraId="7217EC9F">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1.合同；</w:t>
      </w:r>
    </w:p>
    <w:p w14:paraId="7BB4ACCE">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2.</w:t>
      </w:r>
      <w:r>
        <w:rPr>
          <w:rFonts w:hint="eastAsia" w:ascii="仿宋_GB2312" w:hAnsi="仿宋_GB2312" w:eastAsia="仿宋_GB2312" w:cs="仿宋_GB2312"/>
          <w:sz w:val="24"/>
          <w:szCs w:val="24"/>
          <w:lang w:val="en-US" w:eastAsia="zh-CN"/>
        </w:rPr>
        <w:t>成交</w:t>
      </w:r>
      <w:r>
        <w:rPr>
          <w:rFonts w:hint="eastAsia" w:ascii="仿宋_GB2312" w:hAnsi="仿宋_GB2312" w:eastAsia="仿宋_GB2312" w:cs="仿宋_GB2312"/>
          <w:sz w:val="24"/>
          <w:szCs w:val="24"/>
          <w:lang w:val="en-US"/>
        </w:rPr>
        <w:t>通知书、</w:t>
      </w:r>
      <w:r>
        <w:rPr>
          <w:rFonts w:hint="eastAsia" w:ascii="仿宋_GB2312" w:hAnsi="仿宋_GB2312" w:eastAsia="仿宋_GB2312" w:cs="仿宋_GB2312"/>
          <w:sz w:val="24"/>
          <w:szCs w:val="24"/>
          <w:lang w:val="en-US" w:eastAsia="zh-CN"/>
        </w:rPr>
        <w:t>磋商响应</w:t>
      </w:r>
      <w:r>
        <w:rPr>
          <w:rFonts w:hint="eastAsia" w:ascii="仿宋_GB2312" w:hAnsi="仿宋_GB2312" w:eastAsia="仿宋_GB2312" w:cs="仿宋_GB2312"/>
          <w:sz w:val="24"/>
          <w:szCs w:val="24"/>
          <w:lang w:val="en-US"/>
        </w:rPr>
        <w:t>文件、</w:t>
      </w:r>
      <w:r>
        <w:rPr>
          <w:rFonts w:hint="eastAsia" w:ascii="仿宋_GB2312" w:hAnsi="仿宋_GB2312" w:eastAsia="仿宋_GB2312" w:cs="仿宋_GB2312"/>
          <w:sz w:val="24"/>
          <w:szCs w:val="24"/>
          <w:lang w:val="en-US" w:eastAsia="zh-CN"/>
        </w:rPr>
        <w:t>磋商</w:t>
      </w:r>
      <w:r>
        <w:rPr>
          <w:rFonts w:hint="eastAsia" w:ascii="仿宋_GB2312" w:hAnsi="仿宋_GB2312" w:eastAsia="仿宋_GB2312" w:cs="仿宋_GB2312"/>
          <w:sz w:val="24"/>
          <w:szCs w:val="24"/>
          <w:lang w:val="en-US"/>
        </w:rPr>
        <w:t>文件、澄清、补充文件；</w:t>
      </w:r>
    </w:p>
    <w:p w14:paraId="502885BC">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本合同签订后，双方依法签订的补充协议也是本合同文件的组成部分。</w:t>
      </w:r>
    </w:p>
    <w:p w14:paraId="4037C29F">
      <w:pPr>
        <w:pStyle w:val="6"/>
        <w:spacing w:line="300" w:lineRule="auto"/>
        <w:ind w:firstLine="482" w:firstLineChars="200"/>
        <w:rPr>
          <w:rFonts w:hint="eastAsia" w:ascii="仿宋_GB2312" w:hAnsi="仿宋_GB2312" w:eastAsia="仿宋_GB2312" w:cs="仿宋_GB2312"/>
        </w:rPr>
      </w:pPr>
      <w:r>
        <w:rPr>
          <w:rFonts w:hint="eastAsia" w:ascii="仿宋_GB2312" w:hAnsi="仿宋_GB2312" w:eastAsia="仿宋_GB2312" w:cs="仿宋_GB2312"/>
        </w:rPr>
        <w:t>三、合同金额</w:t>
      </w:r>
    </w:p>
    <w:p w14:paraId="7A933FF1">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1.合同总金额：</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lang w:val="en-US"/>
        </w:rPr>
        <w:t>元（大写：</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lang w:val="en-US"/>
        </w:rPr>
        <w:t>元整）；</w:t>
      </w:r>
    </w:p>
    <w:p w14:paraId="516276A6">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2.该价格包含所有系统功能要求、自验收之日起三年质保、与各个业务系统的接口费用、税费、培训费、甲方本院区及各个分院区安装调试实施费用及其他不可预见的费用等，合同总价一次性包死，不受市场价格变化因素的影响。产品相关功能及配置</w:t>
      </w:r>
      <w:r>
        <w:rPr>
          <w:rFonts w:hint="eastAsia" w:ascii="仿宋_GB2312" w:hAnsi="仿宋_GB2312" w:eastAsia="仿宋_GB2312" w:cs="仿宋_GB2312"/>
          <w:sz w:val="24"/>
          <w:szCs w:val="24"/>
          <w:lang w:val="en-US" w:eastAsia="zh-CN"/>
        </w:rPr>
        <w:t>见附件</w:t>
      </w:r>
      <w:r>
        <w:rPr>
          <w:rFonts w:hint="eastAsia" w:ascii="仿宋_GB2312" w:hAnsi="仿宋_GB2312" w:eastAsia="仿宋_GB2312" w:cs="仿宋_GB2312"/>
          <w:sz w:val="24"/>
          <w:szCs w:val="24"/>
          <w:lang w:val="en-US"/>
        </w:rPr>
        <w:t>。</w:t>
      </w:r>
    </w:p>
    <w:p w14:paraId="42BE38EB">
      <w:pPr>
        <w:pStyle w:val="6"/>
        <w:spacing w:line="300" w:lineRule="auto"/>
        <w:ind w:firstLine="482" w:firstLineChars="200"/>
        <w:rPr>
          <w:rFonts w:hint="eastAsia" w:ascii="仿宋_GB2312" w:hAnsi="仿宋_GB2312" w:eastAsia="仿宋_GB2312" w:cs="仿宋_GB2312"/>
        </w:rPr>
      </w:pPr>
      <w:r>
        <w:rPr>
          <w:rFonts w:hint="eastAsia" w:ascii="仿宋_GB2312" w:hAnsi="仿宋_GB2312" w:eastAsia="仿宋_GB2312" w:cs="仿宋_GB2312"/>
        </w:rPr>
        <w:t>四、付款方式</w:t>
      </w:r>
    </w:p>
    <w:p w14:paraId="6E94F15D">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合同签订后，达到付款条件起30日内，支付合同总金额的</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lang w:val="en-US"/>
        </w:rPr>
        <w:t>0.00%；中标方按照招标要求完成项目的建设(提交上线报告)且验收合格后，达到付款条件起30日</w:t>
      </w:r>
      <w:bookmarkStart w:id="1" w:name="_GoBack"/>
      <w:bookmarkEnd w:id="1"/>
      <w:r>
        <w:rPr>
          <w:rFonts w:hint="eastAsia" w:ascii="仿宋_GB2312" w:hAnsi="仿宋_GB2312" w:eastAsia="仿宋_GB2312" w:cs="仿宋_GB2312"/>
          <w:sz w:val="24"/>
          <w:szCs w:val="24"/>
          <w:lang w:val="en-US"/>
        </w:rPr>
        <w:t>内，支付合同总金额的</w:t>
      </w: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lang w:val="en-US"/>
        </w:rPr>
        <w:t>0.00%；项目通过验收且正常运行满一年后，达到付款条件起30日内，支付合同总金额的5.00%；项目通过验收且正常运行满三年后，达到付款条件起30日内，支付合同总金额的5.00%。</w:t>
      </w:r>
    </w:p>
    <w:p w14:paraId="58EA2C91">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4、结算方式:银行转账</w:t>
      </w:r>
    </w:p>
    <w:p w14:paraId="439CFF83">
      <w:pPr>
        <w:pStyle w:val="6"/>
        <w:spacing w:line="300" w:lineRule="auto"/>
        <w:ind w:firstLine="482" w:firstLineChars="200"/>
        <w:rPr>
          <w:rFonts w:hint="eastAsia" w:ascii="仿宋_GB2312" w:hAnsi="仿宋_GB2312" w:eastAsia="仿宋_GB2312" w:cs="仿宋_GB2312"/>
        </w:rPr>
      </w:pPr>
      <w:r>
        <w:rPr>
          <w:rFonts w:hint="eastAsia" w:ascii="仿宋_GB2312" w:hAnsi="仿宋_GB2312" w:eastAsia="仿宋_GB2312" w:cs="仿宋_GB2312"/>
        </w:rPr>
        <w:t>五、项目验收要求</w:t>
      </w:r>
    </w:p>
    <w:p w14:paraId="138FDDA4">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1.本项目在甲方指定地点及时间内完成开发实施、调试，乙方完成项目建设内容自检测试合格后并出具自检报告，给甲方提交验收申请后，甲方邀请专家进行验收，验收时乙方应派人员参加，共同对验收结果进行确认，并承担相关责任。验收合格后，填写履约验收单作为对项目的最终认可。</w:t>
      </w:r>
    </w:p>
    <w:p w14:paraId="68EF0D36">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2.对系统功能内容进行确认，经检验无误签署交接单后，移交甲方使用，必须将本项目全部产品的所有权和使用权一并转移至甲方。</w:t>
      </w:r>
    </w:p>
    <w:p w14:paraId="53624939">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3.验收依据</w:t>
      </w:r>
    </w:p>
    <w:p w14:paraId="49885362">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①</w:t>
      </w:r>
      <w:r>
        <w:rPr>
          <w:rFonts w:hint="eastAsia" w:ascii="仿宋_GB2312" w:hAnsi="仿宋_GB2312" w:eastAsia="仿宋_GB2312" w:cs="仿宋_GB2312"/>
          <w:sz w:val="24"/>
          <w:szCs w:val="24"/>
          <w:lang w:val="en-US" w:eastAsia="zh-CN"/>
        </w:rPr>
        <w:t>磋商</w:t>
      </w:r>
      <w:r>
        <w:rPr>
          <w:rFonts w:hint="eastAsia" w:ascii="仿宋_GB2312" w:hAnsi="仿宋_GB2312" w:eastAsia="仿宋_GB2312" w:cs="仿宋_GB2312"/>
          <w:sz w:val="24"/>
          <w:szCs w:val="24"/>
          <w:lang w:val="en-US"/>
        </w:rPr>
        <w:t>文件、</w:t>
      </w:r>
      <w:r>
        <w:rPr>
          <w:rFonts w:hint="eastAsia" w:ascii="仿宋_GB2312" w:hAnsi="仿宋_GB2312" w:eastAsia="仿宋_GB2312" w:cs="仿宋_GB2312"/>
          <w:sz w:val="24"/>
          <w:szCs w:val="24"/>
          <w:lang w:val="en-US" w:eastAsia="zh-CN"/>
        </w:rPr>
        <w:t>磋商响应</w:t>
      </w:r>
      <w:r>
        <w:rPr>
          <w:rFonts w:hint="eastAsia" w:ascii="仿宋_GB2312" w:hAnsi="仿宋_GB2312" w:eastAsia="仿宋_GB2312" w:cs="仿宋_GB2312"/>
          <w:sz w:val="24"/>
          <w:szCs w:val="24"/>
          <w:lang w:val="en-US"/>
        </w:rPr>
        <w:t>文件，澄清表（函）；</w:t>
      </w:r>
    </w:p>
    <w:p w14:paraId="13B45B3C">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②国家有关的验收标准及规范；</w:t>
      </w:r>
    </w:p>
    <w:p w14:paraId="6F6D7464">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③合同及附件文本；</w:t>
      </w:r>
    </w:p>
    <w:p w14:paraId="4627D60D">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④其他资料。</w:t>
      </w:r>
    </w:p>
    <w:p w14:paraId="1A42F647">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4.乙方向甲方提交项目实施过程中的所有资料，以便甲方日后管理和维护。交付资料应提供纸质版及电子文档，涵盖以下内容：</w:t>
      </w:r>
    </w:p>
    <w:p w14:paraId="0D7F79A8">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1）系统的体系架构及描述；</w:t>
      </w:r>
    </w:p>
    <w:p w14:paraId="4BA52E5B">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2）提供的其它技术手册，包括需求分析报告、进度表、开工报告、培训签到表、系统试运行报告、自测报告、用户使用手册、管理员使用手册、常用问题处理手册、项目验收报告。</w:t>
      </w:r>
    </w:p>
    <w:p w14:paraId="7C3FA3E7">
      <w:pPr>
        <w:pStyle w:val="6"/>
        <w:spacing w:line="300" w:lineRule="auto"/>
        <w:ind w:firstLine="482" w:firstLineChars="200"/>
        <w:rPr>
          <w:rFonts w:hint="eastAsia" w:ascii="仿宋_GB2312" w:hAnsi="仿宋_GB2312" w:eastAsia="仿宋_GB2312" w:cs="仿宋_GB2312"/>
        </w:rPr>
      </w:pPr>
      <w:r>
        <w:rPr>
          <w:rFonts w:hint="eastAsia" w:ascii="仿宋_GB2312" w:hAnsi="仿宋_GB2312" w:eastAsia="仿宋_GB2312" w:cs="仿宋_GB2312"/>
        </w:rPr>
        <w:t>六、服务要求</w:t>
      </w:r>
    </w:p>
    <w:p w14:paraId="37BF820E">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1.交货服务期：合同签定后</w:t>
      </w:r>
      <w:r>
        <w:rPr>
          <w:rFonts w:hint="eastAsia" w:ascii="仿宋_GB2312" w:hAnsi="仿宋_GB2312" w:eastAsia="仿宋_GB2312" w:cs="仿宋_GB2312"/>
          <w:sz w:val="24"/>
          <w:szCs w:val="24"/>
          <w:u w:val="single"/>
          <w:lang w:val="en-US" w:eastAsia="zh-CN"/>
        </w:rPr>
        <w:t xml:space="preserve"> 6 </w:t>
      </w:r>
      <w:r>
        <w:rPr>
          <w:rFonts w:hint="eastAsia" w:ascii="仿宋_GB2312" w:hAnsi="仿宋_GB2312" w:eastAsia="仿宋_GB2312" w:cs="仿宋_GB2312"/>
          <w:sz w:val="24"/>
          <w:szCs w:val="24"/>
          <w:lang w:val="en-US"/>
        </w:rPr>
        <w:t>个月内完成系统建设工作，</w:t>
      </w:r>
      <w:r>
        <w:rPr>
          <w:rFonts w:hint="eastAsia" w:ascii="仿宋_GB2312" w:hAnsi="仿宋_GB2312" w:eastAsia="仿宋_GB2312" w:cs="仿宋_GB2312"/>
          <w:sz w:val="24"/>
          <w:szCs w:val="24"/>
        </w:rPr>
        <w:t>包括系统开发和各类功能建设、试运行与验收。</w:t>
      </w:r>
      <w:r>
        <w:rPr>
          <w:rFonts w:hint="eastAsia" w:ascii="仿宋_GB2312" w:hAnsi="仿宋_GB2312" w:eastAsia="仿宋_GB2312" w:cs="仿宋_GB2312"/>
          <w:sz w:val="24"/>
          <w:szCs w:val="24"/>
          <w:lang w:val="en-US"/>
        </w:rPr>
        <w:t>自终验合格后提供为期三年的免费服务。</w:t>
      </w:r>
    </w:p>
    <w:p w14:paraId="14D1E92C">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2.乙方根据本次</w:t>
      </w:r>
      <w:r>
        <w:rPr>
          <w:rFonts w:hint="eastAsia" w:ascii="仿宋_GB2312" w:hAnsi="仿宋_GB2312" w:eastAsia="仿宋_GB2312" w:cs="仿宋_GB2312"/>
          <w:sz w:val="24"/>
          <w:szCs w:val="24"/>
          <w:lang w:val="en-US" w:eastAsia="zh-CN"/>
        </w:rPr>
        <w:t>磋商</w:t>
      </w:r>
      <w:r>
        <w:rPr>
          <w:rFonts w:hint="eastAsia" w:ascii="仿宋_GB2312" w:hAnsi="仿宋_GB2312" w:eastAsia="仿宋_GB2312" w:cs="仿宋_GB2312"/>
          <w:sz w:val="24"/>
          <w:szCs w:val="24"/>
          <w:lang w:val="en-US"/>
        </w:rPr>
        <w:t>文件所制定的目标和范围，提出相应的服务方案，服务方式包括但不限于电话支持、邮件支持、现场支持等。乙方售后服务内容：包括免费升级、功能完善、软件日常维护、故障排除、定期巡检、性能调优、技术咨询等，负责系统的开发、处理，协调与各系统软件等生产厂商的关系。</w:t>
      </w:r>
    </w:p>
    <w:p w14:paraId="2640615E">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3.技术支持要求：乙方承诺项目验收后提供7*24小时售后技术服务。服务期内出现问题，1小时内做出明确响应和安排，2小时内到达现场，24小时内解决问题，提供不间断的服务直到系统正常运行；</w:t>
      </w:r>
      <w:r>
        <w:rPr>
          <w:rFonts w:hint="eastAsia" w:ascii="仿宋_GB2312" w:hAnsi="仿宋_GB2312" w:eastAsia="仿宋_GB2312" w:cs="仿宋_GB2312"/>
          <w:sz w:val="24"/>
          <w:szCs w:val="24"/>
        </w:rPr>
        <w:t>项目实施期间内，技术人员不得更换。</w:t>
      </w:r>
    </w:p>
    <w:p w14:paraId="0440F067">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4.此次系统建成后存在数据变动、业务流程变化、软硬件升级等方面的扩充与升级的可能，不允许出现硬件加密造成后续数据无法迁移等问题。</w:t>
      </w:r>
    </w:p>
    <w:p w14:paraId="5C5090DA">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5.免费升级服务：在服务期内，乙方应提供系统性能优化、数据库维护等服务。并负责系统的开发、处理、协调与各系统软件等生产厂商的关系。</w:t>
      </w:r>
    </w:p>
    <w:p w14:paraId="7E0D2261">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6.免费培训服务：向甲方提供相关培训，保证用户能够进行产品的操作、维护等工作。本项目所涉及的所有产品的基本原理、技术特性、操作、使用方法、管理维护等，以及乙方认为需要培训的内容。</w:t>
      </w:r>
    </w:p>
    <w:p w14:paraId="58D6162A">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7.在项目建设过程中不得随意乱动非系统资料信息，不得泄露甲方资料信息。在对任何数据修改、删除前须和信息科沟通，以免造成不必要的损失。遇特殊情况应及时告知科室。</w:t>
      </w:r>
    </w:p>
    <w:p w14:paraId="0E03C646">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8.用户账户的安全性需要在系统以及运行管理机制上予以保证，对某些关键数据需要采用高可靠的、防篡改的国产密码加密算法。</w:t>
      </w:r>
    </w:p>
    <w:p w14:paraId="73A2B6D1">
      <w:pPr>
        <w:pStyle w:val="7"/>
        <w:spacing w:line="300" w:lineRule="auto"/>
        <w:ind w:left="215" w:right="636" w:firstLine="48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rPr>
        <w:t>9.</w:t>
      </w:r>
      <w:r>
        <w:rPr>
          <w:rFonts w:hint="eastAsia" w:ascii="仿宋_GB2312" w:hAnsi="仿宋_GB2312" w:eastAsia="仿宋_GB2312" w:cs="仿宋_GB2312"/>
          <w:sz w:val="24"/>
          <w:szCs w:val="24"/>
          <w:lang w:val="en-US" w:eastAsia="zh-CN"/>
        </w:rPr>
        <w:t>在合同期内，提供与上级机构和政策要求的对接接口开发服务。</w:t>
      </w:r>
    </w:p>
    <w:p w14:paraId="229175B6">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10.满足多院区管理。</w:t>
      </w:r>
    </w:p>
    <w:p w14:paraId="1A12C4B1">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11.生产厂商承诺按照国家信息安全等级保护三级认证要求建设。</w:t>
      </w:r>
    </w:p>
    <w:p w14:paraId="5F862887">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12.质保期满后的服务费，乙方须说明质保期外服务内容及收费标准，每年金额不超过项目总额的6%。</w:t>
      </w:r>
    </w:p>
    <w:p w14:paraId="139C1E1F">
      <w:pPr>
        <w:pStyle w:val="6"/>
        <w:spacing w:line="300" w:lineRule="auto"/>
        <w:ind w:firstLine="482" w:firstLineChars="200"/>
        <w:rPr>
          <w:rFonts w:hint="eastAsia" w:ascii="仿宋_GB2312" w:hAnsi="仿宋_GB2312" w:eastAsia="仿宋_GB2312" w:cs="仿宋_GB2312"/>
        </w:rPr>
      </w:pPr>
      <w:r>
        <w:rPr>
          <w:rFonts w:hint="eastAsia" w:ascii="仿宋_GB2312" w:hAnsi="仿宋_GB2312" w:eastAsia="仿宋_GB2312" w:cs="仿宋_GB2312"/>
        </w:rPr>
        <w:t>七、项目组织管理要求</w:t>
      </w:r>
    </w:p>
    <w:p w14:paraId="5CDCA392">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1.乙方应充分考虑满足项目的建设要求，提出完整的项目管理、项目实施、项目培训、项目验收、售后服务方案。</w:t>
      </w:r>
    </w:p>
    <w:p w14:paraId="54F8CDA0">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2.乙方必须提供可靠的售后服务保障，保证提供长期、稳定的技术支持服务。</w:t>
      </w:r>
    </w:p>
    <w:p w14:paraId="6FE13195">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3.乙方应保证，在中华人民共和国境内使用</w:t>
      </w:r>
      <w:r>
        <w:rPr>
          <w:rFonts w:hint="eastAsia" w:ascii="仿宋_GB2312" w:hAnsi="仿宋_GB2312" w:eastAsia="仿宋_GB2312" w:cs="仿宋_GB2312"/>
          <w:sz w:val="24"/>
          <w:szCs w:val="24"/>
          <w:lang w:val="en-US" w:eastAsia="zh-CN"/>
        </w:rPr>
        <w:t>磋商响应提供的</w:t>
      </w:r>
      <w:r>
        <w:rPr>
          <w:rFonts w:hint="eastAsia" w:ascii="仿宋_GB2312" w:hAnsi="仿宋_GB2312" w:eastAsia="仿宋_GB2312" w:cs="仿宋_GB2312"/>
          <w:sz w:val="24"/>
          <w:szCs w:val="24"/>
          <w:lang w:val="en-US"/>
        </w:rPr>
        <w:t>技术、服务或其任何一部分时，不会产生因第三方提出侵犯其专利权、商标权或其它知识产权而引起的法律和经济纠纷。如乙方不拥有相应的知识产权，则在</w:t>
      </w:r>
      <w:r>
        <w:rPr>
          <w:rFonts w:hint="eastAsia" w:ascii="仿宋_GB2312" w:hAnsi="仿宋_GB2312" w:eastAsia="仿宋_GB2312" w:cs="仿宋_GB2312"/>
          <w:sz w:val="24"/>
          <w:szCs w:val="24"/>
          <w:lang w:val="en-US" w:eastAsia="zh-CN"/>
        </w:rPr>
        <w:t>磋商报</w:t>
      </w:r>
      <w:r>
        <w:rPr>
          <w:rFonts w:hint="eastAsia" w:ascii="仿宋_GB2312" w:hAnsi="仿宋_GB2312" w:eastAsia="仿宋_GB2312" w:cs="仿宋_GB2312"/>
          <w:sz w:val="24"/>
          <w:szCs w:val="24"/>
          <w:lang w:val="en-US"/>
        </w:rPr>
        <w:t>价中必须包括合法获取该知识产权的相关证明文件。</w:t>
      </w:r>
    </w:p>
    <w:p w14:paraId="146AE9FE">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4.乙方应当保证所供全部产品的来源渠道正常，且完全符合</w:t>
      </w:r>
      <w:r>
        <w:rPr>
          <w:rFonts w:hint="eastAsia" w:ascii="仿宋_GB2312" w:hAnsi="仿宋_GB2312" w:eastAsia="仿宋_GB2312" w:cs="仿宋_GB2312"/>
          <w:sz w:val="24"/>
          <w:szCs w:val="24"/>
          <w:lang w:val="en-US" w:eastAsia="zh-CN"/>
        </w:rPr>
        <w:t>磋商</w:t>
      </w:r>
      <w:r>
        <w:rPr>
          <w:rFonts w:hint="eastAsia" w:ascii="仿宋_GB2312" w:hAnsi="仿宋_GB2312" w:eastAsia="仿宋_GB2312" w:cs="仿宋_GB2312"/>
          <w:sz w:val="24"/>
          <w:szCs w:val="24"/>
          <w:lang w:val="en-US"/>
        </w:rPr>
        <w:t>文件规定的质量、规格、指标等要求，并对质量问题负完全责任。</w:t>
      </w:r>
    </w:p>
    <w:p w14:paraId="259A1D15">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5.乙方承诺所提供产品符合国家有关规定，乙方所提供产品具有合法的知识产权，如在本项目范围内使用过程中出现版权或使用权纠纷，应由乙方负责，甲方不承担责任。乙方必须保证解决项目所涉及的技术问题，如因技术原因无法满足甲方需求，由此产生的风险由乙方承担。</w:t>
      </w:r>
    </w:p>
    <w:p w14:paraId="2C1BEAE9">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6.乙方必须保证合同约定项目建设内容满足</w:t>
      </w:r>
      <w:r>
        <w:rPr>
          <w:rFonts w:hint="eastAsia" w:ascii="仿宋_GB2312" w:hAnsi="仿宋_GB2312" w:eastAsia="仿宋_GB2312" w:cs="仿宋_GB2312"/>
          <w:sz w:val="24"/>
          <w:szCs w:val="24"/>
          <w:lang w:val="en-US" w:eastAsia="zh-CN"/>
        </w:rPr>
        <w:t>磋商</w:t>
      </w:r>
      <w:r>
        <w:rPr>
          <w:rFonts w:hint="eastAsia" w:ascii="仿宋_GB2312" w:hAnsi="仿宋_GB2312" w:eastAsia="仿宋_GB2312" w:cs="仿宋_GB2312"/>
          <w:sz w:val="24"/>
          <w:szCs w:val="24"/>
          <w:lang w:val="en-US"/>
        </w:rPr>
        <w:t>文件的建设和服务要求。</w:t>
      </w:r>
    </w:p>
    <w:p w14:paraId="5AE7BCF2">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7.自软件上线终验之日起，乙方负责对所提供的产品进行为期3年的免费纠错性维护，保证系统的正常运行。</w:t>
      </w:r>
    </w:p>
    <w:p w14:paraId="5749006F">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8.乙方保证针对该合同中提到的所有内容均由产品供应商提供安装、培训、维保、升级等服务。</w:t>
      </w:r>
    </w:p>
    <w:p w14:paraId="2B3ABAC0">
      <w:pPr>
        <w:pStyle w:val="6"/>
        <w:spacing w:line="300" w:lineRule="auto"/>
        <w:ind w:firstLine="482" w:firstLineChars="200"/>
        <w:rPr>
          <w:rFonts w:hint="eastAsia" w:ascii="仿宋_GB2312" w:hAnsi="仿宋_GB2312" w:eastAsia="仿宋_GB2312" w:cs="仿宋_GB2312"/>
        </w:rPr>
      </w:pPr>
      <w:r>
        <w:rPr>
          <w:rFonts w:hint="eastAsia" w:ascii="仿宋_GB2312" w:hAnsi="仿宋_GB2312" w:eastAsia="仿宋_GB2312" w:cs="仿宋_GB2312"/>
        </w:rPr>
        <w:t>八、双方权利及义务</w:t>
      </w:r>
    </w:p>
    <w:p w14:paraId="62AEFB0D">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1.甲乙双方必须遵守本合同并执行合同中的各项规定，保证本合同的正常履行。</w:t>
      </w:r>
    </w:p>
    <w:p w14:paraId="0860603E">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2.本合同签订后甲乙双方不得单方终止合同。</w:t>
      </w:r>
    </w:p>
    <w:p w14:paraId="6973D4A4">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3.如因乙方存在以下行为，甲方有权终止合同，乙方向甲方承担全部赔偿责任，并报请政府采购监督管理机关进行相应的行政处罚。</w:t>
      </w:r>
    </w:p>
    <w:p w14:paraId="1D2D8358">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①网络舆情或媒体报道存在不规范操作行为；</w:t>
      </w:r>
    </w:p>
    <w:p w14:paraId="406062E7">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②存在弄虚作假、传递虚假信息等违法违规行为；</w:t>
      </w:r>
    </w:p>
    <w:p w14:paraId="0FADF633">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③基础设施及人员仪器设备不能满足需要，提出后拒不整改；</w:t>
      </w:r>
    </w:p>
    <w:p w14:paraId="1EB251B1">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④未全面履行合同义务或者发生违约；</w:t>
      </w:r>
    </w:p>
    <w:p w14:paraId="707490D8">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4.甲方违约的，应当赔偿给乙方造成的直接经济损失。</w:t>
      </w:r>
    </w:p>
    <w:p w14:paraId="4ED2CCF8">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5.甲方提供服务器及网络环境，乙方全权负责系统运行环境、软件平台及系统运行的其它要求等，以满足乙方软件产品安装。</w:t>
      </w:r>
    </w:p>
    <w:p w14:paraId="7B346866">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6、本合同未经双方同意，任何一方不得以任何形式公开本合同及附件内容，以确保双方的商业机密。</w:t>
      </w:r>
    </w:p>
    <w:p w14:paraId="79088E17">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7.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482D4AB2">
      <w:pPr>
        <w:pStyle w:val="6"/>
        <w:spacing w:line="300" w:lineRule="auto"/>
        <w:ind w:firstLine="482" w:firstLineChars="200"/>
        <w:rPr>
          <w:rFonts w:hint="eastAsia" w:ascii="仿宋_GB2312" w:hAnsi="仿宋_GB2312" w:eastAsia="仿宋_GB2312" w:cs="仿宋_GB2312"/>
        </w:rPr>
      </w:pPr>
      <w:r>
        <w:rPr>
          <w:rFonts w:hint="eastAsia" w:ascii="仿宋_GB2312" w:hAnsi="仿宋_GB2312" w:eastAsia="仿宋_GB2312" w:cs="仿宋_GB2312"/>
        </w:rPr>
        <w:t>九.保密</w:t>
      </w:r>
    </w:p>
    <w:p w14:paraId="29C38C73">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对工作中了解到的甲方的技术、机密等进行严格保密，不得向他人泄漏。本合同的解除或终止不免除乙方应承担的保密义务。</w:t>
      </w:r>
    </w:p>
    <w:p w14:paraId="38BA323C">
      <w:pPr>
        <w:pStyle w:val="6"/>
        <w:spacing w:line="300" w:lineRule="auto"/>
        <w:ind w:firstLine="482" w:firstLineChars="200"/>
        <w:rPr>
          <w:rFonts w:hint="eastAsia" w:ascii="仿宋_GB2312" w:hAnsi="仿宋_GB2312" w:eastAsia="仿宋_GB2312" w:cs="仿宋_GB2312"/>
        </w:rPr>
      </w:pPr>
      <w:r>
        <w:rPr>
          <w:rFonts w:hint="eastAsia" w:ascii="仿宋_GB2312" w:hAnsi="仿宋_GB2312" w:eastAsia="仿宋_GB2312" w:cs="仿宋_GB2312"/>
        </w:rPr>
        <w:t>十、知识产权</w:t>
      </w:r>
    </w:p>
    <w:p w14:paraId="7D8D5724">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给甲方造成损失的，由乙方一并赔偿。</w:t>
      </w:r>
    </w:p>
    <w:p w14:paraId="4D81CB5C">
      <w:pPr>
        <w:pStyle w:val="6"/>
        <w:spacing w:line="300" w:lineRule="auto"/>
        <w:ind w:firstLine="482" w:firstLineChars="200"/>
        <w:rPr>
          <w:rFonts w:hint="eastAsia" w:ascii="仿宋_GB2312" w:hAnsi="仿宋_GB2312" w:eastAsia="仿宋_GB2312" w:cs="仿宋_GB2312"/>
        </w:rPr>
      </w:pPr>
      <w:r>
        <w:rPr>
          <w:rFonts w:hint="eastAsia" w:ascii="仿宋_GB2312" w:hAnsi="仿宋_GB2312" w:eastAsia="仿宋_GB2312" w:cs="仿宋_GB2312"/>
        </w:rPr>
        <w:t>十一、合同争议的解决</w:t>
      </w:r>
    </w:p>
    <w:p w14:paraId="23DB50F3">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合同执行中发生争议的，当事人双方应协商解决。协商达不成一致时，向甲方所在地人民法院提请诉讼。</w:t>
      </w:r>
    </w:p>
    <w:p w14:paraId="4910CFB6">
      <w:pPr>
        <w:pStyle w:val="6"/>
        <w:spacing w:line="300" w:lineRule="auto"/>
        <w:ind w:firstLine="482" w:firstLineChars="200"/>
        <w:rPr>
          <w:rFonts w:hint="eastAsia" w:ascii="仿宋_GB2312" w:hAnsi="仿宋_GB2312" w:eastAsia="仿宋_GB2312" w:cs="仿宋_GB2312"/>
        </w:rPr>
      </w:pPr>
      <w:r>
        <w:rPr>
          <w:rFonts w:hint="eastAsia" w:ascii="仿宋_GB2312" w:hAnsi="仿宋_GB2312" w:eastAsia="仿宋_GB2312" w:cs="仿宋_GB2312"/>
        </w:rPr>
        <w:t>十二、不可抗力情况下的免责约定</w:t>
      </w:r>
    </w:p>
    <w:p w14:paraId="5716D7D6">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1、如果本协议的其中一方因受战争、火灾、洪水、地震、国内骚乱或其它灾害影响，而不能履行本协议，则履约时间应被延长，而且对于因延时而造成的损失，任何一方都不必承担责任。</w:t>
      </w:r>
    </w:p>
    <w:p w14:paraId="392F6E80">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2、受阻的一方应在不可抗力因素发生后尽可能短时间内通过传真、电话、邮件等形式通知另一方，并在此后十四个日历日内，将有关部门签发的书面证明作为证据发送给另一方。</w:t>
      </w:r>
    </w:p>
    <w:p w14:paraId="49D7892F">
      <w:pPr>
        <w:pStyle w:val="6"/>
        <w:spacing w:line="300" w:lineRule="auto"/>
        <w:ind w:firstLine="482" w:firstLineChars="200"/>
        <w:rPr>
          <w:rFonts w:hint="eastAsia" w:ascii="仿宋_GB2312" w:hAnsi="仿宋_GB2312" w:eastAsia="仿宋_GB2312" w:cs="仿宋_GB2312"/>
        </w:rPr>
      </w:pPr>
      <w:r>
        <w:rPr>
          <w:rFonts w:hint="eastAsia" w:ascii="仿宋_GB2312" w:hAnsi="仿宋_GB2312" w:eastAsia="仿宋_GB2312" w:cs="仿宋_GB2312"/>
        </w:rPr>
        <w:t>十三、违约责任</w:t>
      </w:r>
    </w:p>
    <w:p w14:paraId="23F0D2BB">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依据《中华人民共和国民法典》、《中华人民共和国政府采购法》、《中华人民共和国政府采购法实施条例》的相关条款和本合同约定，乙方未全面履行合同义务或者发生违约，甲方会同采购代理机构有权终止合同，依法向乙方进行经济索赔，并报请政府采购监督管理机关进行相应的行政处罚。甲方违约的，应当赔偿给乙方造成的经济损失。</w:t>
      </w:r>
    </w:p>
    <w:p w14:paraId="51B07B7B">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1.乙方工作人员在服务过程中，因其工作失职造成甲方损失的，乙方应按损失的价值照价赔偿，如无法计算实际价值的，按照最高不超过合同总价百分之五给予赔偿。</w:t>
      </w:r>
    </w:p>
    <w:p w14:paraId="3301AD26">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2.乙方不能按</w:t>
      </w:r>
      <w:r>
        <w:rPr>
          <w:rFonts w:hint="eastAsia" w:ascii="仿宋_GB2312" w:hAnsi="仿宋_GB2312" w:eastAsia="仿宋_GB2312" w:cs="仿宋_GB2312"/>
          <w:sz w:val="24"/>
          <w:szCs w:val="24"/>
          <w:lang w:val="en-US" w:eastAsia="zh-CN"/>
        </w:rPr>
        <w:t>磋商</w:t>
      </w:r>
      <w:r>
        <w:rPr>
          <w:rFonts w:hint="eastAsia" w:ascii="仿宋_GB2312" w:hAnsi="仿宋_GB2312" w:eastAsia="仿宋_GB2312" w:cs="仿宋_GB2312"/>
          <w:sz w:val="24"/>
          <w:szCs w:val="24"/>
          <w:lang w:val="en-US"/>
        </w:rPr>
        <w:t>文件要求及投标承诺提供服务的，向甲方每日偿付合同总价千分之二的违约金，经甲方督促仍不予改进的，甲方有权终止合同。</w:t>
      </w:r>
    </w:p>
    <w:p w14:paraId="5E6B0DF1">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3.乙方应根据甲方要求在规定时间内完成软件的定制开发，因乙方原因未能按时交付的，乙方向甲方每日偿付合同总价千分之二的违约金，乙方逾期30日未完成软件的定制开发，视为乙方不能履行合同，甲方有权解除合同。</w:t>
      </w:r>
    </w:p>
    <w:p w14:paraId="26A3B52B">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4.乙方工作人员在服务过程中严格对客户的数据履行保密义务，不得泄漏甲方相关数据，如违约甲方有权终止合同，要求乙方赔偿一切损失并承担相应的法律责任。</w:t>
      </w:r>
    </w:p>
    <w:p w14:paraId="1F7359D1">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5.乙方逾期履行合同的，自逾期之日起，向甲方每日偿付合同总价千分之二的滞纳金。</w:t>
      </w:r>
    </w:p>
    <w:p w14:paraId="1366A962">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6.项目上线且验收合格后，甲方逾期支付货款的，应向乙方每日偿付合同总价千分之二的滞纳金。甲方无正当理由拒收货物、拒付货款的，应向乙方偿付合同总价百分之五的违约金。</w:t>
      </w:r>
    </w:p>
    <w:p w14:paraId="2BB2B0FA">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7.甲方无故拖延支付货款超过合同规定支付时间的，乙方可按照有关规定向甲方直接发起支付申请，并要求当地有关部门对其违规情况予以处理。</w:t>
      </w:r>
    </w:p>
    <w:p w14:paraId="2632EB47">
      <w:pPr>
        <w:pStyle w:val="7"/>
        <w:spacing w:line="300" w:lineRule="auto"/>
        <w:ind w:left="215" w:right="636" w:firstLine="48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rPr>
        <w:t>8.如因一方违约，双方未能就赔偿损失达成协议，引起诉讼时，违约方除应赔偿对方经济损失外，还应承担对方因诉讼所支付的律师代理费等相关费用。</w:t>
      </w:r>
    </w:p>
    <w:p w14:paraId="0258D552">
      <w:pPr>
        <w:pStyle w:val="6"/>
        <w:spacing w:line="300" w:lineRule="auto"/>
        <w:ind w:firstLine="482" w:firstLineChars="200"/>
        <w:rPr>
          <w:rFonts w:hint="eastAsia" w:ascii="仿宋_GB2312" w:hAnsi="仿宋_GB2312" w:eastAsia="仿宋_GB2312" w:cs="仿宋_GB2312"/>
        </w:rPr>
      </w:pPr>
      <w:bookmarkStart w:id="0" w:name="第四章_竞争性磋商内容及服务要求"/>
      <w:bookmarkEnd w:id="0"/>
      <w:r>
        <w:rPr>
          <w:rFonts w:hint="eastAsia" w:ascii="仿宋_GB2312" w:hAnsi="仿宋_GB2312" w:eastAsia="仿宋_GB2312" w:cs="仿宋_GB2312"/>
        </w:rPr>
        <w:t>十四、项目联系人及方式</w:t>
      </w:r>
    </w:p>
    <w:p w14:paraId="0CE033E4">
      <w:pPr>
        <w:pStyle w:val="7"/>
        <w:tabs>
          <w:tab w:val="left" w:pos="6211"/>
        </w:tabs>
        <w:spacing w:line="300" w:lineRule="auto"/>
        <w:ind w:firstLine="720" w:firstLineChars="30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rPr>
        <w:t>甲方项目联系人：</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             乙方项目联系人：</w:t>
      </w:r>
    </w:p>
    <w:p w14:paraId="36698027">
      <w:pPr>
        <w:pStyle w:val="7"/>
        <w:tabs>
          <w:tab w:val="left" w:pos="6211"/>
        </w:tabs>
        <w:spacing w:line="300" w:lineRule="auto"/>
        <w:ind w:firstLine="720" w:firstLineChars="3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联系电话：</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联系电话：</w:t>
      </w:r>
    </w:p>
    <w:p w14:paraId="4205906F">
      <w:pPr>
        <w:pStyle w:val="7"/>
        <w:tabs>
          <w:tab w:val="left" w:pos="6211"/>
        </w:tabs>
        <w:spacing w:line="300" w:lineRule="auto"/>
        <w:ind w:firstLine="720" w:firstLineChars="300"/>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rPr>
        <w:t>联系邮箱</w:t>
      </w:r>
      <w:r>
        <w:rPr>
          <w:rFonts w:hint="eastAsia" w:ascii="仿宋_GB2312" w:hAnsi="仿宋_GB2312" w:eastAsia="仿宋_GB2312" w:cs="仿宋_GB2312"/>
          <w:sz w:val="24"/>
          <w:szCs w:val="24"/>
          <w:lang w:val="en-US"/>
        </w:rPr>
        <w:t>：</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val="en-US"/>
        </w:rPr>
        <w:t xml:space="preserve">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联系邮箱</w:t>
      </w:r>
      <w:r>
        <w:rPr>
          <w:rFonts w:hint="eastAsia" w:ascii="仿宋_GB2312" w:hAnsi="仿宋_GB2312" w:eastAsia="仿宋_GB2312" w:cs="仿宋_GB2312"/>
          <w:sz w:val="24"/>
          <w:szCs w:val="24"/>
          <w:lang w:val="en-US"/>
        </w:rPr>
        <w:t>：</w:t>
      </w:r>
    </w:p>
    <w:p w14:paraId="3D181C83">
      <w:pPr>
        <w:pStyle w:val="7"/>
        <w:spacing w:line="300" w:lineRule="auto"/>
        <w:ind w:left="215" w:right="697" w:firstLine="480"/>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双方确定，在本合同有效期内，甲方指定</w:t>
      </w:r>
      <w:r>
        <w:rPr>
          <w:rFonts w:hint="eastAsia" w:ascii="仿宋_GB2312" w:hAnsi="仿宋_GB2312" w:eastAsia="仿宋_GB2312" w:cs="仿宋_GB2312"/>
          <w:spacing w:val="-5"/>
          <w:sz w:val="24"/>
          <w:szCs w:val="24"/>
          <w:u w:val="single"/>
        </w:rPr>
        <w:t xml:space="preserve"> </w:t>
      </w:r>
      <w:r>
        <w:rPr>
          <w:rFonts w:hint="eastAsia" w:ascii="仿宋_GB2312" w:hAnsi="仿宋_GB2312" w:eastAsia="仿宋_GB2312" w:cs="仿宋_GB2312"/>
          <w:spacing w:val="-5"/>
          <w:sz w:val="24"/>
          <w:szCs w:val="24"/>
          <w:u w:val="single"/>
          <w:lang w:val="en-US" w:eastAsia="zh-CN"/>
        </w:rPr>
        <w:t xml:space="preserve">   </w:t>
      </w:r>
      <w:r>
        <w:rPr>
          <w:rFonts w:hint="eastAsia" w:ascii="仿宋_GB2312" w:hAnsi="仿宋_GB2312" w:eastAsia="仿宋_GB2312" w:cs="仿宋_GB2312"/>
          <w:spacing w:val="-5"/>
          <w:sz w:val="24"/>
          <w:szCs w:val="24"/>
          <w:u w:val="single"/>
        </w:rPr>
        <w:t xml:space="preserve"> </w:t>
      </w:r>
      <w:r>
        <w:rPr>
          <w:rFonts w:hint="eastAsia" w:ascii="仿宋_GB2312" w:hAnsi="仿宋_GB2312" w:eastAsia="仿宋_GB2312" w:cs="仿宋_GB2312"/>
          <w:spacing w:val="-5"/>
          <w:sz w:val="24"/>
          <w:szCs w:val="24"/>
        </w:rPr>
        <w:t>为甲方项目联系人，乙方指定</w:t>
      </w:r>
      <w:r>
        <w:rPr>
          <w:rFonts w:hint="eastAsia" w:ascii="仿宋_GB2312" w:hAnsi="仿宋_GB2312" w:eastAsia="仿宋_GB2312" w:cs="仿宋_GB2312"/>
          <w:spacing w:val="-5"/>
          <w:sz w:val="24"/>
          <w:szCs w:val="24"/>
          <w:u w:val="single"/>
        </w:rPr>
        <w:t xml:space="preserve"> </w:t>
      </w:r>
      <w:r>
        <w:rPr>
          <w:rFonts w:hint="eastAsia" w:ascii="仿宋_GB2312" w:hAnsi="仿宋_GB2312" w:eastAsia="仿宋_GB2312" w:cs="仿宋_GB2312"/>
          <w:spacing w:val="-5"/>
          <w:sz w:val="24"/>
          <w:szCs w:val="24"/>
          <w:u w:val="single"/>
          <w:lang w:val="en-US" w:eastAsia="zh-CN"/>
        </w:rPr>
        <w:t xml:space="preserve">   </w:t>
      </w:r>
      <w:r>
        <w:rPr>
          <w:rFonts w:hint="eastAsia" w:ascii="仿宋_GB2312" w:hAnsi="仿宋_GB2312" w:eastAsia="仿宋_GB2312" w:cs="仿宋_GB2312"/>
          <w:spacing w:val="-5"/>
          <w:sz w:val="24"/>
          <w:szCs w:val="24"/>
          <w:u w:val="single"/>
          <w:lang w:val="en-US"/>
        </w:rPr>
        <w:t xml:space="preserve"> </w:t>
      </w:r>
      <w:r>
        <w:rPr>
          <w:rFonts w:hint="eastAsia" w:ascii="仿宋_GB2312" w:hAnsi="仿宋_GB2312" w:eastAsia="仿宋_GB2312" w:cs="仿宋_GB2312"/>
          <w:spacing w:val="-5"/>
          <w:sz w:val="24"/>
          <w:szCs w:val="24"/>
        </w:rPr>
        <w:t>为乙方项目联系人。一方变更项目联系人的，应当及时以书面形式通知另一方。未及时通知并影响本合同履行或造成损失的，应承担相应的责任。</w:t>
      </w:r>
    </w:p>
    <w:p w14:paraId="34E8D5DB">
      <w:pPr>
        <w:pStyle w:val="6"/>
        <w:spacing w:line="300" w:lineRule="auto"/>
        <w:ind w:firstLine="482" w:firstLineChars="200"/>
        <w:rPr>
          <w:rFonts w:hint="eastAsia" w:ascii="仿宋_GB2312" w:hAnsi="仿宋_GB2312" w:eastAsia="仿宋_GB2312" w:cs="仿宋_GB2312"/>
        </w:rPr>
      </w:pPr>
      <w:r>
        <w:rPr>
          <w:rFonts w:hint="eastAsia" w:ascii="仿宋_GB2312" w:hAnsi="仿宋_GB2312" w:eastAsia="仿宋_GB2312" w:cs="仿宋_GB2312"/>
        </w:rPr>
        <w:t>十五、合同订立</w:t>
      </w:r>
    </w:p>
    <w:p w14:paraId="26D5A906">
      <w:pPr>
        <w:pStyle w:val="7"/>
        <w:spacing w:line="300" w:lineRule="auto"/>
        <w:ind w:left="215" w:right="697" w:firstLine="480"/>
        <w:rPr>
          <w:rFonts w:hint="eastAsia" w:ascii="仿宋_GB2312" w:hAnsi="仿宋_GB2312" w:eastAsia="仿宋_GB2312" w:cs="仿宋_GB2312"/>
          <w:spacing w:val="-5"/>
          <w:sz w:val="24"/>
          <w:szCs w:val="24"/>
        </w:rPr>
      </w:pPr>
      <w:r>
        <w:rPr>
          <w:rFonts w:hint="eastAsia" w:ascii="仿宋_GB2312" w:hAnsi="仿宋_GB2312" w:eastAsia="仿宋_GB2312" w:cs="仿宋_GB2312"/>
          <w:spacing w:val="-5"/>
          <w:sz w:val="24"/>
          <w:szCs w:val="24"/>
        </w:rPr>
        <w:t>1.订立地点：</w:t>
      </w:r>
      <w:r>
        <w:rPr>
          <w:rFonts w:hint="eastAsia" w:ascii="仿宋_GB2312" w:hAnsi="仿宋_GB2312" w:eastAsia="仿宋_GB2312" w:cs="仿宋_GB2312"/>
          <w:spacing w:val="-5"/>
          <w:sz w:val="24"/>
          <w:szCs w:val="24"/>
          <w:lang w:val="en-US"/>
        </w:rPr>
        <w:t>西安市中医医院及分院</w:t>
      </w:r>
      <w:r>
        <w:rPr>
          <w:rFonts w:hint="eastAsia" w:ascii="仿宋_GB2312" w:hAnsi="仿宋_GB2312" w:eastAsia="仿宋_GB2312" w:cs="仿宋_GB2312"/>
          <w:spacing w:val="-5"/>
          <w:sz w:val="24"/>
          <w:szCs w:val="24"/>
        </w:rPr>
        <w:t>。</w:t>
      </w:r>
    </w:p>
    <w:p w14:paraId="28D84051">
      <w:pPr>
        <w:pStyle w:val="7"/>
        <w:spacing w:line="300" w:lineRule="auto"/>
        <w:ind w:left="215" w:right="697" w:firstLine="480"/>
        <w:rPr>
          <w:rFonts w:hint="eastAsia" w:ascii="仿宋_GB2312" w:hAnsi="仿宋_GB2312" w:eastAsia="仿宋_GB2312" w:cs="仿宋_GB2312"/>
          <w:spacing w:val="-5"/>
          <w:sz w:val="24"/>
          <w:szCs w:val="24"/>
        </w:rPr>
      </w:pPr>
      <w:r>
        <w:rPr>
          <w:rFonts w:hint="eastAsia" w:ascii="仿宋_GB2312" w:hAnsi="仿宋_GB2312" w:eastAsia="仿宋_GB2312" w:cs="仿宋_GB2312"/>
          <w:spacing w:val="-5"/>
          <w:sz w:val="24"/>
          <w:szCs w:val="24"/>
        </w:rPr>
        <w:t>2.</w:t>
      </w:r>
      <w:r>
        <w:rPr>
          <w:rFonts w:hint="eastAsia" w:ascii="仿宋_GB2312" w:hAnsi="仿宋_GB2312" w:eastAsia="仿宋_GB2312" w:cs="仿宋_GB2312"/>
          <w:spacing w:val="-5"/>
          <w:sz w:val="24"/>
          <w:szCs w:val="24"/>
          <w:lang w:val="en-US"/>
        </w:rPr>
        <w:t>若在合同期内某一方违反本合同规定，另一方有权提出书面陈述甚至终止本合同，费用结算按照实际服务量据实结算。</w:t>
      </w:r>
    </w:p>
    <w:p w14:paraId="794F30C3">
      <w:pPr>
        <w:pStyle w:val="7"/>
        <w:spacing w:line="300" w:lineRule="auto"/>
        <w:ind w:left="215" w:right="697" w:firstLine="480"/>
        <w:rPr>
          <w:rFonts w:hint="eastAsia" w:ascii="仿宋_GB2312" w:hAnsi="仿宋_GB2312" w:eastAsia="仿宋_GB2312" w:cs="仿宋_GB2312"/>
          <w:spacing w:val="-5"/>
          <w:sz w:val="24"/>
          <w:szCs w:val="24"/>
        </w:rPr>
      </w:pPr>
      <w:r>
        <w:rPr>
          <w:rFonts w:hint="eastAsia" w:ascii="仿宋_GB2312" w:hAnsi="仿宋_GB2312" w:eastAsia="仿宋_GB2312" w:cs="仿宋_GB2312"/>
          <w:spacing w:val="-5"/>
          <w:sz w:val="24"/>
          <w:szCs w:val="24"/>
        </w:rPr>
        <w:t>3.</w:t>
      </w:r>
      <w:r>
        <w:rPr>
          <w:rFonts w:hint="eastAsia" w:ascii="仿宋_GB2312" w:hAnsi="仿宋_GB2312" w:eastAsia="仿宋_GB2312" w:cs="仿宋_GB2312"/>
          <w:sz w:val="24"/>
          <w:szCs w:val="24"/>
        </w:rPr>
        <w:t>本合同一式</w:t>
      </w:r>
      <w:r>
        <w:rPr>
          <w:rFonts w:hint="eastAsia" w:ascii="仿宋_GB2312" w:hAnsi="仿宋_GB2312" w:eastAsia="仿宋_GB2312" w:cs="仿宋_GB2312"/>
          <w:sz w:val="24"/>
          <w:szCs w:val="24"/>
          <w:u w:val="single"/>
        </w:rPr>
        <w:t xml:space="preserve"> 拾 </w:t>
      </w:r>
      <w:r>
        <w:rPr>
          <w:rFonts w:hint="eastAsia" w:ascii="仿宋_GB2312" w:hAnsi="仿宋_GB2312" w:eastAsia="仿宋_GB2312" w:cs="仿宋_GB2312"/>
          <w:sz w:val="24"/>
          <w:szCs w:val="24"/>
        </w:rPr>
        <w:t>份，具有同等法律效力，甲方</w:t>
      </w:r>
      <w:r>
        <w:rPr>
          <w:rFonts w:hint="eastAsia" w:ascii="仿宋_GB2312" w:hAnsi="仿宋_GB2312" w:eastAsia="仿宋_GB2312" w:cs="仿宋_GB2312"/>
          <w:sz w:val="24"/>
          <w:szCs w:val="24"/>
          <w:u w:val="single"/>
        </w:rPr>
        <w:t xml:space="preserve"> 柒 </w:t>
      </w:r>
      <w:r>
        <w:rPr>
          <w:rFonts w:hint="eastAsia" w:ascii="仿宋_GB2312" w:hAnsi="仿宋_GB2312" w:eastAsia="仿宋_GB2312" w:cs="仿宋_GB2312"/>
          <w:sz w:val="24"/>
          <w:szCs w:val="24"/>
        </w:rPr>
        <w:t>份、乙方</w:t>
      </w:r>
      <w:r>
        <w:rPr>
          <w:rFonts w:hint="eastAsia" w:ascii="仿宋_GB2312" w:hAnsi="仿宋_GB2312" w:eastAsia="仿宋_GB2312" w:cs="仿宋_GB2312"/>
          <w:sz w:val="24"/>
          <w:szCs w:val="24"/>
          <w:u w:val="single"/>
        </w:rPr>
        <w:t xml:space="preserve"> 壹 </w:t>
      </w:r>
      <w:r>
        <w:rPr>
          <w:rFonts w:hint="eastAsia" w:ascii="仿宋_GB2312" w:hAnsi="仿宋_GB2312" w:eastAsia="仿宋_GB2312" w:cs="仿宋_GB2312"/>
          <w:sz w:val="24"/>
          <w:szCs w:val="24"/>
        </w:rPr>
        <w:t>份，监管部门备案</w:t>
      </w:r>
      <w:r>
        <w:rPr>
          <w:rFonts w:hint="eastAsia" w:ascii="仿宋_GB2312" w:hAnsi="仿宋_GB2312" w:eastAsia="仿宋_GB2312" w:cs="仿宋_GB2312"/>
          <w:sz w:val="24"/>
          <w:szCs w:val="24"/>
          <w:u w:val="single"/>
        </w:rPr>
        <w:t xml:space="preserve"> 壹 </w:t>
      </w:r>
      <w:r>
        <w:rPr>
          <w:rFonts w:hint="eastAsia" w:ascii="仿宋_GB2312" w:hAnsi="仿宋_GB2312" w:eastAsia="仿宋_GB2312" w:cs="仿宋_GB2312"/>
          <w:sz w:val="24"/>
          <w:szCs w:val="24"/>
        </w:rPr>
        <w:t>份、采购代理机构存档</w:t>
      </w:r>
      <w:r>
        <w:rPr>
          <w:rFonts w:hint="eastAsia" w:ascii="仿宋_GB2312" w:hAnsi="仿宋_GB2312" w:eastAsia="仿宋_GB2312" w:cs="仿宋_GB2312"/>
          <w:sz w:val="24"/>
          <w:szCs w:val="24"/>
          <w:u w:val="single"/>
        </w:rPr>
        <w:t xml:space="preserve"> 壹 </w:t>
      </w:r>
      <w:r>
        <w:rPr>
          <w:rFonts w:hint="eastAsia" w:ascii="仿宋_GB2312" w:hAnsi="仿宋_GB2312" w:eastAsia="仿宋_GB2312" w:cs="仿宋_GB2312"/>
          <w:sz w:val="24"/>
          <w:szCs w:val="24"/>
        </w:rPr>
        <w:t>份。各方签字并盖章后生效，合同的服务承诺则长期有效。合同未尽事宜，由甲、乙双方协商，作为合同补充，与原合同具有同等法律效力。</w:t>
      </w:r>
    </w:p>
    <w:p w14:paraId="35CBE6A0">
      <w:pPr>
        <w:pStyle w:val="6"/>
        <w:spacing w:line="300" w:lineRule="auto"/>
        <w:ind w:firstLine="482" w:firstLineChars="200"/>
        <w:rPr>
          <w:rFonts w:hint="eastAsia" w:ascii="仿宋_GB2312" w:hAnsi="仿宋_GB2312" w:eastAsia="仿宋_GB2312" w:cs="仿宋_GB2312"/>
        </w:rPr>
      </w:pPr>
      <w:r>
        <w:rPr>
          <w:rFonts w:hint="eastAsia" w:ascii="仿宋_GB2312" w:hAnsi="仿宋_GB2312" w:eastAsia="仿宋_GB2312" w:cs="仿宋_GB2312"/>
        </w:rPr>
        <w:t>十六、乙方账户信息</w:t>
      </w:r>
    </w:p>
    <w:p w14:paraId="51ABBAB7">
      <w:pPr>
        <w:pStyle w:val="7"/>
        <w:spacing w:line="300" w:lineRule="auto"/>
        <w:ind w:left="215" w:right="697" w:firstLine="480"/>
        <w:rPr>
          <w:rFonts w:hint="eastAsia" w:ascii="仿宋_GB2312" w:hAnsi="仿宋_GB2312" w:eastAsia="仿宋_GB2312" w:cs="仿宋_GB2312"/>
          <w:color w:val="000000"/>
        </w:rPr>
      </w:pPr>
      <w:r>
        <w:rPr>
          <w:rFonts w:hint="eastAsia" w:ascii="仿宋_GB2312" w:hAnsi="仿宋_GB2312" w:eastAsia="仿宋_GB2312" w:cs="仿宋_GB2312"/>
          <w:spacing w:val="-5"/>
        </w:rPr>
        <w:t>开户银行：</w:t>
      </w:r>
    </w:p>
    <w:p w14:paraId="6F0EF512">
      <w:pPr>
        <w:pStyle w:val="7"/>
        <w:spacing w:line="300" w:lineRule="auto"/>
        <w:ind w:left="215" w:right="697" w:firstLine="480"/>
        <w:rPr>
          <w:rFonts w:hint="eastAsia" w:ascii="仿宋_GB2312" w:hAnsi="仿宋_GB2312" w:eastAsia="仿宋_GB2312" w:cs="仿宋_GB2312"/>
          <w:color w:val="000000"/>
        </w:rPr>
      </w:pPr>
      <w:r>
        <w:rPr>
          <w:rFonts w:hint="eastAsia" w:ascii="仿宋_GB2312" w:hAnsi="仿宋_GB2312" w:eastAsia="仿宋_GB2312" w:cs="仿宋_GB2312"/>
          <w:spacing w:val="-5"/>
        </w:rPr>
        <w:t>帐号：</w:t>
      </w:r>
    </w:p>
    <w:p w14:paraId="2EA0DD83">
      <w:pPr>
        <w:pStyle w:val="7"/>
        <w:spacing w:line="300" w:lineRule="auto"/>
        <w:ind w:left="215" w:right="697" w:firstLine="480"/>
        <w:rPr>
          <w:rFonts w:hint="eastAsia" w:ascii="仿宋_GB2312" w:hAnsi="仿宋_GB2312" w:eastAsia="仿宋_GB2312" w:cs="仿宋_GB2312"/>
          <w:spacing w:val="-5"/>
        </w:rPr>
      </w:pPr>
      <w:r>
        <w:rPr>
          <w:rFonts w:hint="eastAsia" w:ascii="仿宋_GB2312" w:hAnsi="仿宋_GB2312" w:eastAsia="仿宋_GB2312" w:cs="仿宋_GB2312"/>
          <w:color w:val="000000"/>
        </w:rPr>
        <w:t>纳税人识别号：</w:t>
      </w:r>
      <w:r>
        <w:rPr>
          <w:rFonts w:hint="eastAsia" w:ascii="仿宋_GB2312" w:hAnsi="仿宋_GB2312" w:eastAsia="仿宋_GB2312" w:cs="仿宋_GB2312"/>
          <w:spacing w:val="-5"/>
        </w:rPr>
        <w:t xml:space="preserve"> </w:t>
      </w:r>
    </w:p>
    <w:p w14:paraId="0058CBAC">
      <w:pPr>
        <w:pStyle w:val="7"/>
        <w:ind w:left="215" w:right="634"/>
        <w:rPr>
          <w:rFonts w:hint="eastAsia" w:ascii="仿宋_GB2312" w:hAnsi="仿宋_GB2312" w:eastAsia="仿宋_GB2312" w:cs="仿宋_GB2312"/>
          <w:b/>
        </w:rPr>
      </w:pPr>
      <w:r>
        <w:rPr>
          <w:rFonts w:hint="eastAsia" w:ascii="仿宋_GB2312" w:hAnsi="仿宋_GB2312" w:eastAsia="仿宋_GB2312" w:cs="仿宋_GB2312"/>
          <w:b/>
        </w:rPr>
        <w:t>（以下无正文）</w:t>
      </w:r>
    </w:p>
    <w:tbl>
      <w:tblPr>
        <w:tblStyle w:val="11"/>
        <w:tblW w:w="97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95"/>
        <w:gridCol w:w="3331"/>
        <w:gridCol w:w="3332"/>
      </w:tblGrid>
      <w:tr w14:paraId="4FD9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3095" w:type="dxa"/>
            <w:vAlign w:val="center"/>
          </w:tcPr>
          <w:p w14:paraId="758E695E">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甲方</w:t>
            </w:r>
          </w:p>
        </w:tc>
        <w:tc>
          <w:tcPr>
            <w:tcW w:w="3331" w:type="dxa"/>
            <w:vAlign w:val="center"/>
          </w:tcPr>
          <w:p w14:paraId="5127AD30">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乙方</w:t>
            </w:r>
          </w:p>
        </w:tc>
        <w:tc>
          <w:tcPr>
            <w:tcW w:w="3332" w:type="dxa"/>
            <w:vAlign w:val="center"/>
          </w:tcPr>
          <w:p w14:paraId="62AB7CF5">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鉴证方</w:t>
            </w:r>
          </w:p>
        </w:tc>
      </w:tr>
      <w:tr w14:paraId="2A02C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73" w:hRule="atLeast"/>
        </w:trPr>
        <w:tc>
          <w:tcPr>
            <w:tcW w:w="3095" w:type="dxa"/>
            <w:vAlign w:val="center"/>
          </w:tcPr>
          <w:p w14:paraId="1355252F">
            <w:pPr>
              <w:jc w:val="center"/>
              <w:rPr>
                <w:rFonts w:hint="eastAsia" w:ascii="仿宋_GB2312" w:hAnsi="仿宋_GB2312" w:eastAsia="仿宋_GB2312" w:cs="仿宋_GB2312"/>
                <w:sz w:val="24"/>
                <w:szCs w:val="24"/>
              </w:rPr>
            </w:pPr>
          </w:p>
          <w:p w14:paraId="516051CD">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西安市中医医院</w:t>
            </w:r>
          </w:p>
          <w:p w14:paraId="772227DA">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（盖章）:</w:t>
            </w:r>
          </w:p>
          <w:p w14:paraId="5113E8F1">
            <w:pPr>
              <w:rPr>
                <w:rFonts w:hint="eastAsia" w:ascii="仿宋_GB2312" w:hAnsi="仿宋_GB2312" w:eastAsia="仿宋_GB2312" w:cs="仿宋_GB2312"/>
                <w:sz w:val="24"/>
                <w:szCs w:val="24"/>
              </w:rPr>
            </w:pPr>
          </w:p>
          <w:p w14:paraId="1884938E">
            <w:pPr>
              <w:pStyle w:val="2"/>
              <w:ind w:firstLine="0"/>
              <w:rPr>
                <w:rFonts w:hint="eastAsia" w:ascii="仿宋_GB2312" w:hAnsi="仿宋_GB2312" w:eastAsia="仿宋_GB2312" w:cs="仿宋_GB2312"/>
                <w:sz w:val="24"/>
                <w:szCs w:val="24"/>
              </w:rPr>
            </w:pPr>
          </w:p>
          <w:p w14:paraId="0E66D49D">
            <w:pPr>
              <w:pStyle w:val="2"/>
              <w:ind w:firstLine="0"/>
              <w:rPr>
                <w:rFonts w:hint="eastAsia" w:ascii="仿宋_GB2312" w:hAnsi="仿宋_GB2312" w:eastAsia="仿宋_GB2312" w:cs="仿宋_GB2312"/>
                <w:sz w:val="24"/>
                <w:szCs w:val="24"/>
              </w:rPr>
            </w:pPr>
          </w:p>
        </w:tc>
        <w:tc>
          <w:tcPr>
            <w:tcW w:w="3331" w:type="dxa"/>
            <w:vAlign w:val="center"/>
          </w:tcPr>
          <w:p w14:paraId="00EFF898">
            <w:pPr>
              <w:jc w:val="center"/>
              <w:rPr>
                <w:rFonts w:hint="eastAsia" w:ascii="仿宋_GB2312" w:hAnsi="仿宋_GB2312" w:eastAsia="仿宋_GB2312" w:cs="仿宋_GB2312"/>
                <w:color w:val="000000"/>
                <w:spacing w:val="-2"/>
                <w:sz w:val="24"/>
                <w:szCs w:val="24"/>
              </w:rPr>
            </w:pPr>
          </w:p>
          <w:p w14:paraId="43F36F88">
            <w:pPr>
              <w:jc w:val="center"/>
              <w:rPr>
                <w:rFonts w:hint="eastAsia" w:ascii="仿宋_GB2312" w:hAnsi="仿宋_GB2312" w:eastAsia="仿宋_GB2312" w:cs="仿宋_GB2312"/>
                <w:color w:val="000000"/>
                <w:spacing w:val="-2"/>
                <w:sz w:val="24"/>
                <w:szCs w:val="24"/>
              </w:rPr>
            </w:pPr>
            <w:r>
              <w:rPr>
                <w:rFonts w:hint="eastAsia" w:ascii="仿宋_GB2312" w:hAnsi="仿宋_GB2312" w:eastAsia="仿宋_GB2312" w:cs="仿宋_GB2312"/>
                <w:color w:val="000000"/>
                <w:spacing w:val="-2"/>
                <w:sz w:val="24"/>
                <w:szCs w:val="24"/>
              </w:rPr>
              <w:t>（盖章）:</w:t>
            </w:r>
          </w:p>
          <w:p w14:paraId="43DEB9FB">
            <w:pPr>
              <w:pStyle w:val="2"/>
              <w:ind w:firstLine="0"/>
              <w:rPr>
                <w:rFonts w:hint="eastAsia" w:ascii="仿宋_GB2312" w:hAnsi="仿宋_GB2312" w:eastAsia="仿宋_GB2312" w:cs="仿宋_GB2312"/>
                <w:sz w:val="24"/>
                <w:szCs w:val="24"/>
              </w:rPr>
            </w:pPr>
          </w:p>
          <w:p w14:paraId="471AAF5A">
            <w:pPr>
              <w:rPr>
                <w:rFonts w:hint="eastAsia" w:ascii="仿宋_GB2312" w:hAnsi="仿宋_GB2312" w:eastAsia="仿宋_GB2312" w:cs="仿宋_GB2312"/>
                <w:color w:val="000000"/>
                <w:spacing w:val="-2"/>
                <w:sz w:val="24"/>
                <w:szCs w:val="24"/>
              </w:rPr>
            </w:pPr>
          </w:p>
          <w:p w14:paraId="6E7AB2D8">
            <w:pPr>
              <w:rPr>
                <w:rFonts w:hint="eastAsia" w:ascii="仿宋_GB2312" w:hAnsi="仿宋_GB2312" w:eastAsia="仿宋_GB2312" w:cs="仿宋_GB2312"/>
                <w:color w:val="000000"/>
                <w:sz w:val="24"/>
                <w:szCs w:val="24"/>
              </w:rPr>
            </w:pPr>
          </w:p>
        </w:tc>
        <w:tc>
          <w:tcPr>
            <w:tcW w:w="3332" w:type="dxa"/>
            <w:vAlign w:val="center"/>
          </w:tcPr>
          <w:p w14:paraId="260C9A1F">
            <w:pPr>
              <w:jc w:val="center"/>
              <w:rPr>
                <w:rFonts w:hint="eastAsia" w:ascii="仿宋_GB2312" w:hAnsi="仿宋_GB2312" w:eastAsia="仿宋_GB2312" w:cs="仿宋_GB2312"/>
                <w:color w:val="000000"/>
                <w:spacing w:val="-2"/>
                <w:sz w:val="24"/>
                <w:szCs w:val="24"/>
              </w:rPr>
            </w:pPr>
          </w:p>
          <w:p w14:paraId="7EB9721E">
            <w:pPr>
              <w:jc w:val="center"/>
              <w:rPr>
                <w:rFonts w:hint="eastAsia" w:ascii="仿宋_GB2312" w:hAnsi="仿宋_GB2312" w:eastAsia="仿宋_GB2312" w:cs="仿宋_GB2312"/>
                <w:color w:val="000000"/>
                <w:spacing w:val="-2"/>
                <w:sz w:val="24"/>
                <w:szCs w:val="24"/>
              </w:rPr>
            </w:pPr>
          </w:p>
          <w:p w14:paraId="635019C4">
            <w:pPr>
              <w:jc w:val="center"/>
              <w:rPr>
                <w:rFonts w:hint="eastAsia" w:ascii="仿宋_GB2312" w:hAnsi="仿宋_GB2312" w:eastAsia="仿宋_GB2312" w:cs="仿宋_GB2312"/>
                <w:color w:val="000000"/>
                <w:spacing w:val="-2"/>
                <w:sz w:val="24"/>
                <w:szCs w:val="24"/>
              </w:rPr>
            </w:pPr>
            <w:r>
              <w:rPr>
                <w:rFonts w:hint="eastAsia" w:ascii="仿宋_GB2312" w:hAnsi="仿宋_GB2312" w:eastAsia="仿宋_GB2312" w:cs="仿宋_GB2312"/>
                <w:color w:val="000000"/>
                <w:spacing w:val="-2"/>
                <w:sz w:val="24"/>
                <w:szCs w:val="24"/>
              </w:rPr>
              <w:t>（盖章）:</w:t>
            </w:r>
          </w:p>
          <w:p w14:paraId="407D439F">
            <w:pPr>
              <w:rPr>
                <w:rFonts w:hint="eastAsia" w:ascii="仿宋_GB2312" w:hAnsi="仿宋_GB2312" w:eastAsia="仿宋_GB2312" w:cs="仿宋_GB2312"/>
                <w:color w:val="000000"/>
                <w:spacing w:val="-2"/>
                <w:sz w:val="24"/>
                <w:szCs w:val="24"/>
              </w:rPr>
            </w:pPr>
          </w:p>
          <w:p w14:paraId="576FB30B">
            <w:pPr>
              <w:rPr>
                <w:rFonts w:hint="eastAsia" w:ascii="仿宋_GB2312" w:hAnsi="仿宋_GB2312" w:eastAsia="仿宋_GB2312" w:cs="仿宋_GB2312"/>
                <w:color w:val="000000"/>
                <w:spacing w:val="-2"/>
                <w:sz w:val="24"/>
                <w:szCs w:val="24"/>
              </w:rPr>
            </w:pPr>
          </w:p>
          <w:p w14:paraId="7355FC2F">
            <w:pPr>
              <w:rPr>
                <w:rFonts w:hint="eastAsia" w:ascii="仿宋_GB2312" w:hAnsi="仿宋_GB2312" w:eastAsia="仿宋_GB2312" w:cs="仿宋_GB2312"/>
                <w:color w:val="000000"/>
                <w:sz w:val="24"/>
                <w:szCs w:val="24"/>
              </w:rPr>
            </w:pPr>
          </w:p>
        </w:tc>
      </w:tr>
      <w:tr w14:paraId="3F1C5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3095" w:type="dxa"/>
            <w:vAlign w:val="center"/>
          </w:tcPr>
          <w:p w14:paraId="3742793D">
            <w:pPr>
              <w:widowControl/>
              <w:snapToGrid w:val="0"/>
              <w:spacing w:line="360" w:lineRule="auto"/>
              <w:ind w:right="-153"/>
              <w:textAlignment w:val="bottom"/>
              <w:rPr>
                <w:rFonts w:hint="eastAsia" w:ascii="仿宋_GB2312" w:hAnsi="仿宋_GB2312" w:eastAsia="仿宋_GB2312" w:cs="仿宋_GB2312"/>
                <w:color w:val="000000"/>
                <w:spacing w:val="-2"/>
                <w:sz w:val="24"/>
                <w:szCs w:val="24"/>
              </w:rPr>
            </w:pPr>
            <w:r>
              <w:rPr>
                <w:rFonts w:hint="eastAsia" w:ascii="仿宋_GB2312" w:hAnsi="仿宋_GB2312" w:eastAsia="仿宋_GB2312" w:cs="仿宋_GB2312"/>
                <w:color w:val="000000"/>
                <w:spacing w:val="-2"/>
                <w:sz w:val="24"/>
                <w:szCs w:val="24"/>
              </w:rPr>
              <w:t>地址：西安市未央区凤城八</w:t>
            </w:r>
          </w:p>
          <w:p w14:paraId="7CEFEAA7">
            <w:pPr>
              <w:widowControl/>
              <w:snapToGrid w:val="0"/>
              <w:spacing w:line="360" w:lineRule="auto"/>
              <w:ind w:right="-153"/>
              <w:textAlignment w:val="bottom"/>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pacing w:val="-2"/>
                <w:sz w:val="24"/>
                <w:szCs w:val="24"/>
              </w:rPr>
              <w:t>路69号</w:t>
            </w:r>
          </w:p>
        </w:tc>
        <w:tc>
          <w:tcPr>
            <w:tcW w:w="3331" w:type="dxa"/>
            <w:vAlign w:val="center"/>
          </w:tcPr>
          <w:p w14:paraId="13997A4F">
            <w:pPr>
              <w:widowControl/>
              <w:snapToGrid w:val="0"/>
              <w:spacing w:line="360" w:lineRule="auto"/>
              <w:ind w:right="-153"/>
              <w:textAlignment w:val="bottom"/>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pacing w:val="-2"/>
                <w:sz w:val="24"/>
                <w:szCs w:val="24"/>
              </w:rPr>
              <w:t>地址：</w:t>
            </w:r>
          </w:p>
        </w:tc>
        <w:tc>
          <w:tcPr>
            <w:tcW w:w="3332" w:type="dxa"/>
            <w:vAlign w:val="center"/>
          </w:tcPr>
          <w:p w14:paraId="56B665A9">
            <w:pPr>
              <w:widowControl/>
              <w:snapToGrid w:val="0"/>
              <w:spacing w:line="360" w:lineRule="auto"/>
              <w:ind w:right="-153"/>
              <w:textAlignment w:val="bottom"/>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pacing w:val="-2"/>
                <w:sz w:val="24"/>
                <w:szCs w:val="24"/>
              </w:rPr>
              <w:t>地址：</w:t>
            </w:r>
          </w:p>
          <w:p w14:paraId="31F85306">
            <w:pPr>
              <w:widowControl/>
              <w:snapToGrid w:val="0"/>
              <w:spacing w:line="360" w:lineRule="auto"/>
              <w:ind w:right="-153"/>
              <w:textAlignment w:val="bottom"/>
              <w:rPr>
                <w:rFonts w:hint="eastAsia" w:ascii="仿宋_GB2312" w:hAnsi="仿宋_GB2312" w:eastAsia="仿宋_GB2312" w:cs="仿宋_GB2312"/>
                <w:color w:val="000000"/>
                <w:sz w:val="24"/>
                <w:szCs w:val="24"/>
              </w:rPr>
            </w:pPr>
          </w:p>
        </w:tc>
      </w:tr>
      <w:tr w14:paraId="3401C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3095" w:type="dxa"/>
            <w:vAlign w:val="center"/>
          </w:tcPr>
          <w:p w14:paraId="40A5A172">
            <w:pPr>
              <w:rPr>
                <w:rFonts w:hint="eastAsia" w:ascii="仿宋_GB2312" w:hAnsi="仿宋_GB2312" w:eastAsia="仿宋_GB2312" w:cs="仿宋_GB2312"/>
                <w:color w:val="000000"/>
                <w:spacing w:val="-2"/>
                <w:sz w:val="24"/>
                <w:szCs w:val="24"/>
              </w:rPr>
            </w:pPr>
            <w:r>
              <w:rPr>
                <w:rFonts w:hint="eastAsia" w:ascii="仿宋_GB2312" w:hAnsi="仿宋_GB2312" w:eastAsia="仿宋_GB2312" w:cs="仿宋_GB2312"/>
                <w:color w:val="000000"/>
                <w:sz w:val="24"/>
                <w:szCs w:val="24"/>
              </w:rPr>
              <w:t>法定代表人</w:t>
            </w:r>
            <w:r>
              <w:rPr>
                <w:rFonts w:hint="eastAsia" w:ascii="仿宋_GB2312" w:hAnsi="仿宋_GB2312" w:eastAsia="仿宋_GB2312" w:cs="仿宋_GB2312"/>
                <w:color w:val="000000"/>
                <w:spacing w:val="-2"/>
                <w:sz w:val="24"/>
                <w:szCs w:val="24"/>
              </w:rPr>
              <w:t>（签章）：</w:t>
            </w:r>
          </w:p>
          <w:p w14:paraId="78CF318A">
            <w:pPr>
              <w:pStyle w:val="2"/>
              <w:ind w:firstLine="480"/>
              <w:rPr>
                <w:rFonts w:hint="eastAsia" w:ascii="仿宋_GB2312" w:hAnsi="仿宋_GB2312" w:eastAsia="仿宋_GB2312" w:cs="仿宋_GB2312"/>
                <w:sz w:val="24"/>
                <w:szCs w:val="24"/>
              </w:rPr>
            </w:pPr>
          </w:p>
        </w:tc>
        <w:tc>
          <w:tcPr>
            <w:tcW w:w="3331" w:type="dxa"/>
            <w:vAlign w:val="center"/>
          </w:tcPr>
          <w:p w14:paraId="70B981CE">
            <w:pPr>
              <w:rPr>
                <w:rFonts w:hint="eastAsia" w:ascii="仿宋_GB2312" w:hAnsi="仿宋_GB2312" w:eastAsia="仿宋_GB2312" w:cs="仿宋_GB2312"/>
                <w:color w:val="000000"/>
                <w:spacing w:val="-2"/>
                <w:sz w:val="24"/>
                <w:szCs w:val="24"/>
              </w:rPr>
            </w:pPr>
            <w:r>
              <w:rPr>
                <w:rFonts w:hint="eastAsia" w:ascii="仿宋_GB2312" w:hAnsi="仿宋_GB2312" w:eastAsia="仿宋_GB2312" w:cs="仿宋_GB2312"/>
                <w:color w:val="000000"/>
                <w:sz w:val="24"/>
                <w:szCs w:val="24"/>
              </w:rPr>
              <w:t>法定代表人</w:t>
            </w:r>
            <w:r>
              <w:rPr>
                <w:rFonts w:hint="eastAsia" w:ascii="仿宋_GB2312" w:hAnsi="仿宋_GB2312" w:eastAsia="仿宋_GB2312" w:cs="仿宋_GB2312"/>
                <w:color w:val="000000"/>
                <w:spacing w:val="-2"/>
                <w:sz w:val="24"/>
                <w:szCs w:val="24"/>
              </w:rPr>
              <w:t>（签章）：</w:t>
            </w:r>
          </w:p>
          <w:p w14:paraId="298FDFBD">
            <w:pPr>
              <w:pStyle w:val="2"/>
              <w:ind w:firstLine="480"/>
              <w:rPr>
                <w:rFonts w:hint="eastAsia" w:ascii="仿宋_GB2312" w:hAnsi="仿宋_GB2312" w:eastAsia="仿宋_GB2312" w:cs="仿宋_GB2312"/>
                <w:sz w:val="24"/>
                <w:szCs w:val="24"/>
              </w:rPr>
            </w:pPr>
          </w:p>
        </w:tc>
        <w:tc>
          <w:tcPr>
            <w:tcW w:w="3332" w:type="dxa"/>
            <w:vAlign w:val="center"/>
          </w:tcPr>
          <w:p w14:paraId="1C7CA629">
            <w:pPr>
              <w:rPr>
                <w:rFonts w:hint="eastAsia" w:ascii="仿宋_GB2312" w:hAnsi="仿宋_GB2312" w:eastAsia="仿宋_GB2312" w:cs="仿宋_GB2312"/>
                <w:color w:val="000000"/>
                <w:spacing w:val="-2"/>
                <w:sz w:val="24"/>
                <w:szCs w:val="24"/>
              </w:rPr>
            </w:pPr>
            <w:r>
              <w:rPr>
                <w:rFonts w:hint="eastAsia" w:ascii="仿宋_GB2312" w:hAnsi="仿宋_GB2312" w:eastAsia="仿宋_GB2312" w:cs="仿宋_GB2312"/>
                <w:color w:val="000000"/>
                <w:sz w:val="24"/>
                <w:szCs w:val="24"/>
              </w:rPr>
              <w:t>法定代表人</w:t>
            </w:r>
            <w:r>
              <w:rPr>
                <w:rFonts w:hint="eastAsia" w:ascii="仿宋_GB2312" w:hAnsi="仿宋_GB2312" w:eastAsia="仿宋_GB2312" w:cs="仿宋_GB2312"/>
                <w:color w:val="000000"/>
                <w:spacing w:val="-2"/>
                <w:sz w:val="24"/>
                <w:szCs w:val="24"/>
              </w:rPr>
              <w:t>（签章）：</w:t>
            </w:r>
          </w:p>
          <w:p w14:paraId="2B652C60">
            <w:pPr>
              <w:pStyle w:val="2"/>
              <w:ind w:firstLine="480"/>
              <w:rPr>
                <w:rFonts w:hint="eastAsia" w:ascii="仿宋_GB2312" w:hAnsi="仿宋_GB2312" w:eastAsia="仿宋_GB2312" w:cs="仿宋_GB2312"/>
                <w:sz w:val="24"/>
                <w:szCs w:val="24"/>
              </w:rPr>
            </w:pPr>
          </w:p>
        </w:tc>
      </w:tr>
      <w:tr w14:paraId="6C03E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3095" w:type="dxa"/>
            <w:vAlign w:val="center"/>
          </w:tcPr>
          <w:p w14:paraId="515B6244">
            <w:pP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主管院长：</w:t>
            </w:r>
          </w:p>
        </w:tc>
        <w:tc>
          <w:tcPr>
            <w:tcW w:w="3331" w:type="dxa"/>
            <w:vAlign w:val="center"/>
          </w:tcPr>
          <w:p w14:paraId="0267BBBE">
            <w:pPr>
              <w:rPr>
                <w:rFonts w:hint="eastAsia" w:ascii="仿宋_GB2312" w:hAnsi="仿宋_GB2312" w:eastAsia="仿宋_GB2312" w:cs="仿宋_GB2312"/>
                <w:color w:val="000000"/>
                <w:sz w:val="24"/>
                <w:szCs w:val="24"/>
              </w:rPr>
            </w:pPr>
          </w:p>
        </w:tc>
        <w:tc>
          <w:tcPr>
            <w:tcW w:w="3332" w:type="dxa"/>
            <w:vAlign w:val="center"/>
          </w:tcPr>
          <w:p w14:paraId="54F2C872">
            <w:pPr>
              <w:rPr>
                <w:rFonts w:hint="eastAsia" w:ascii="仿宋_GB2312" w:hAnsi="仿宋_GB2312" w:eastAsia="仿宋_GB2312" w:cs="仿宋_GB2312"/>
                <w:color w:val="000000"/>
                <w:sz w:val="24"/>
                <w:szCs w:val="24"/>
              </w:rPr>
            </w:pPr>
          </w:p>
        </w:tc>
      </w:tr>
      <w:tr w14:paraId="71365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3095" w:type="dxa"/>
            <w:vAlign w:val="center"/>
          </w:tcPr>
          <w:p w14:paraId="63D96566">
            <w:pP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代理人：</w:t>
            </w:r>
          </w:p>
        </w:tc>
        <w:tc>
          <w:tcPr>
            <w:tcW w:w="3331" w:type="dxa"/>
            <w:vAlign w:val="center"/>
          </w:tcPr>
          <w:p w14:paraId="42F27449">
            <w:pP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代理人：</w:t>
            </w:r>
          </w:p>
        </w:tc>
        <w:tc>
          <w:tcPr>
            <w:tcW w:w="3332" w:type="dxa"/>
            <w:vAlign w:val="center"/>
          </w:tcPr>
          <w:p w14:paraId="0F3424D6">
            <w:pPr>
              <w:rPr>
                <w:rFonts w:hint="eastAsia" w:ascii="仿宋_GB2312" w:hAnsi="仿宋_GB2312" w:eastAsia="仿宋_GB2312" w:cs="仿宋_GB2312"/>
                <w:color w:val="000000"/>
                <w:sz w:val="24"/>
                <w:szCs w:val="24"/>
              </w:rPr>
            </w:pPr>
          </w:p>
        </w:tc>
      </w:tr>
      <w:tr w14:paraId="5F3D4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trPr>
        <w:tc>
          <w:tcPr>
            <w:tcW w:w="3095" w:type="dxa"/>
            <w:vAlign w:val="center"/>
          </w:tcPr>
          <w:p w14:paraId="1D68D32B">
            <w:pP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经办人</w:t>
            </w:r>
            <w:r>
              <w:rPr>
                <w:rFonts w:hint="eastAsia" w:ascii="仿宋_GB2312" w:hAnsi="仿宋_GB2312" w:eastAsia="仿宋_GB2312" w:cs="仿宋_GB2312"/>
                <w:color w:val="000000"/>
                <w:spacing w:val="-2"/>
                <w:sz w:val="24"/>
                <w:szCs w:val="24"/>
              </w:rPr>
              <w:t>（签字）</w:t>
            </w:r>
            <w:r>
              <w:rPr>
                <w:rFonts w:hint="eastAsia" w:ascii="仿宋_GB2312" w:hAnsi="仿宋_GB2312" w:eastAsia="仿宋_GB2312" w:cs="仿宋_GB2312"/>
                <w:color w:val="000000"/>
                <w:sz w:val="24"/>
                <w:szCs w:val="24"/>
              </w:rPr>
              <w:t>：</w:t>
            </w:r>
          </w:p>
          <w:p w14:paraId="7C994306">
            <w:pPr>
              <w:rPr>
                <w:rFonts w:hint="eastAsia" w:ascii="仿宋_GB2312" w:hAnsi="仿宋_GB2312" w:eastAsia="仿宋_GB2312" w:cs="仿宋_GB2312"/>
                <w:color w:val="000000"/>
                <w:sz w:val="24"/>
                <w:szCs w:val="24"/>
              </w:rPr>
            </w:pPr>
          </w:p>
        </w:tc>
        <w:tc>
          <w:tcPr>
            <w:tcW w:w="3331" w:type="dxa"/>
            <w:vAlign w:val="center"/>
          </w:tcPr>
          <w:p w14:paraId="06A464D7">
            <w:pP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经办人</w:t>
            </w:r>
            <w:r>
              <w:rPr>
                <w:rFonts w:hint="eastAsia" w:ascii="仿宋_GB2312" w:hAnsi="仿宋_GB2312" w:eastAsia="仿宋_GB2312" w:cs="仿宋_GB2312"/>
                <w:color w:val="000000"/>
                <w:spacing w:val="-2"/>
                <w:sz w:val="24"/>
                <w:szCs w:val="24"/>
              </w:rPr>
              <w:t>（签字）</w:t>
            </w:r>
            <w:r>
              <w:rPr>
                <w:rFonts w:hint="eastAsia" w:ascii="仿宋_GB2312" w:hAnsi="仿宋_GB2312" w:eastAsia="仿宋_GB2312" w:cs="仿宋_GB2312"/>
                <w:color w:val="000000"/>
                <w:sz w:val="24"/>
                <w:szCs w:val="24"/>
              </w:rPr>
              <w:t>：</w:t>
            </w:r>
          </w:p>
          <w:p w14:paraId="104F0D1F">
            <w:pPr>
              <w:rPr>
                <w:rFonts w:hint="eastAsia" w:ascii="仿宋_GB2312" w:hAnsi="仿宋_GB2312" w:eastAsia="仿宋_GB2312" w:cs="仿宋_GB2312"/>
                <w:color w:val="000000"/>
                <w:sz w:val="24"/>
                <w:szCs w:val="24"/>
              </w:rPr>
            </w:pPr>
          </w:p>
        </w:tc>
        <w:tc>
          <w:tcPr>
            <w:tcW w:w="3332" w:type="dxa"/>
            <w:vAlign w:val="center"/>
          </w:tcPr>
          <w:p w14:paraId="080A6B7A">
            <w:pP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经办人</w:t>
            </w:r>
            <w:r>
              <w:rPr>
                <w:rFonts w:hint="eastAsia" w:ascii="仿宋_GB2312" w:hAnsi="仿宋_GB2312" w:eastAsia="仿宋_GB2312" w:cs="仿宋_GB2312"/>
                <w:color w:val="000000"/>
                <w:spacing w:val="-2"/>
                <w:sz w:val="24"/>
                <w:szCs w:val="24"/>
              </w:rPr>
              <w:t>（签字）</w:t>
            </w:r>
            <w:r>
              <w:rPr>
                <w:rFonts w:hint="eastAsia" w:ascii="仿宋_GB2312" w:hAnsi="仿宋_GB2312" w:eastAsia="仿宋_GB2312" w:cs="仿宋_GB2312"/>
                <w:color w:val="000000"/>
                <w:sz w:val="24"/>
                <w:szCs w:val="24"/>
              </w:rPr>
              <w:t>：</w:t>
            </w:r>
          </w:p>
          <w:p w14:paraId="74D021BF">
            <w:pPr>
              <w:rPr>
                <w:rFonts w:hint="eastAsia" w:ascii="仿宋_GB2312" w:hAnsi="仿宋_GB2312" w:eastAsia="仿宋_GB2312" w:cs="仿宋_GB2312"/>
                <w:color w:val="000000"/>
                <w:sz w:val="24"/>
                <w:szCs w:val="24"/>
              </w:rPr>
            </w:pPr>
          </w:p>
        </w:tc>
      </w:tr>
      <w:tr w14:paraId="47458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trPr>
        <w:tc>
          <w:tcPr>
            <w:tcW w:w="3095" w:type="dxa"/>
            <w:vAlign w:val="center"/>
          </w:tcPr>
          <w:p w14:paraId="4F9C390B">
            <w:pP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联系电话：</w:t>
            </w:r>
          </w:p>
        </w:tc>
        <w:tc>
          <w:tcPr>
            <w:tcW w:w="3331" w:type="dxa"/>
            <w:vAlign w:val="center"/>
          </w:tcPr>
          <w:p w14:paraId="1CB85291">
            <w:pP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联系电话：</w:t>
            </w:r>
          </w:p>
        </w:tc>
        <w:tc>
          <w:tcPr>
            <w:tcW w:w="3332" w:type="dxa"/>
            <w:vAlign w:val="center"/>
          </w:tcPr>
          <w:p w14:paraId="0C265C3E">
            <w:pP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联系电话：</w:t>
            </w:r>
          </w:p>
        </w:tc>
      </w:tr>
      <w:tr w14:paraId="65E86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3095" w:type="dxa"/>
            <w:vAlign w:val="center"/>
          </w:tcPr>
          <w:p w14:paraId="761ABA69">
            <w:pP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日期：</w:t>
            </w:r>
          </w:p>
        </w:tc>
        <w:tc>
          <w:tcPr>
            <w:tcW w:w="3331" w:type="dxa"/>
            <w:vAlign w:val="center"/>
          </w:tcPr>
          <w:p w14:paraId="3B0B1906">
            <w:pP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日期：</w:t>
            </w:r>
          </w:p>
        </w:tc>
        <w:tc>
          <w:tcPr>
            <w:tcW w:w="3332" w:type="dxa"/>
            <w:vAlign w:val="center"/>
          </w:tcPr>
          <w:p w14:paraId="0D855246">
            <w:pP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日期： </w:t>
            </w:r>
          </w:p>
        </w:tc>
      </w:tr>
    </w:tbl>
    <w:p w14:paraId="45B43D7C">
      <w:pPr>
        <w:pStyle w:val="2"/>
        <w:ind w:firstLine="0"/>
        <w:rPr>
          <w:rFonts w:hint="eastAsia" w:ascii="仿宋_GB2312" w:hAnsi="仿宋_GB2312" w:eastAsia="仿宋_GB2312" w:cs="仿宋_GB2312"/>
        </w:rPr>
      </w:pPr>
    </w:p>
    <w:p w14:paraId="13AF7460">
      <w:pPr>
        <w:pStyle w:val="2"/>
        <w:ind w:firstLine="440"/>
        <w:rPr>
          <w:rFonts w:hint="eastAsia" w:ascii="仿宋_GB2312" w:hAnsi="仿宋_GB2312" w:eastAsia="仿宋_GB2312" w:cs="仿宋_GB2312"/>
        </w:rPr>
      </w:pPr>
      <w:r>
        <w:rPr>
          <w:rFonts w:hint="eastAsia" w:ascii="仿宋_GB2312" w:hAnsi="仿宋_GB2312" w:eastAsia="仿宋_GB2312" w:cs="仿宋_GB2312"/>
        </w:rPr>
        <w:br w:type="page"/>
      </w:r>
    </w:p>
    <w:p w14:paraId="3D0A0A8F">
      <w:pPr>
        <w:pStyle w:val="6"/>
        <w:spacing w:line="300" w:lineRule="auto"/>
        <w:ind w:firstLine="482" w:firstLineChars="200"/>
        <w:rPr>
          <w:rFonts w:hint="eastAsia" w:ascii="仿宋_GB2312" w:hAnsi="仿宋_GB2312" w:eastAsia="仿宋_GB2312" w:cs="仿宋_GB2312"/>
        </w:rPr>
      </w:pPr>
      <w:r>
        <w:rPr>
          <w:rFonts w:hint="eastAsia" w:ascii="仿宋_GB2312" w:hAnsi="仿宋_GB2312" w:eastAsia="仿宋_GB2312" w:cs="仿宋_GB2312"/>
        </w:rPr>
        <w:t>附录</w:t>
      </w:r>
    </w:p>
    <w:p w14:paraId="70FE45D0">
      <w:pPr>
        <w:spacing w:line="300" w:lineRule="auto"/>
        <w:ind w:firstLine="575" w:firstLineChars="250"/>
        <w:rPr>
          <w:rFonts w:hint="eastAsia" w:ascii="仿宋_GB2312" w:hAnsi="仿宋_GB2312" w:eastAsia="仿宋_GB2312" w:cs="仿宋_GB2312"/>
          <w:spacing w:val="-5"/>
          <w:sz w:val="24"/>
          <w:szCs w:val="24"/>
        </w:rPr>
      </w:pPr>
      <w:r>
        <w:rPr>
          <w:rFonts w:hint="eastAsia" w:ascii="仿宋_GB2312" w:hAnsi="仿宋_GB2312" w:eastAsia="仿宋_GB2312" w:cs="仿宋_GB2312"/>
          <w:spacing w:val="-5"/>
          <w:sz w:val="24"/>
          <w:szCs w:val="24"/>
        </w:rPr>
        <w:t>（产品相关功能及配置）</w:t>
      </w:r>
    </w:p>
    <w:p w14:paraId="24271DBE">
      <w:pPr>
        <w:pStyle w:val="2"/>
        <w:ind w:firstLine="48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总体要求：</w:t>
      </w:r>
    </w:p>
    <w:p w14:paraId="34CB23DB">
      <w:pPr>
        <w:spacing w:line="40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1、具有安全机制完成用户的认证、授权和数据保密，提供服务访问权限控制。</w:t>
      </w:r>
    </w:p>
    <w:p w14:paraId="3FA9246D">
      <w:pPr>
        <w:spacing w:line="40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2、提供不同级别，不同故障情况下的应用系统的技术实现方案，避免因故障导致的医疗工作的延迟和医疗差错。</w:t>
      </w:r>
    </w:p>
    <w:p w14:paraId="478FD630">
      <w:pPr>
        <w:spacing w:line="40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3、软件产品稳定，具有自主知识产权，功能模块齐全，符合应用规范，满足业务需求。</w:t>
      </w:r>
    </w:p>
    <w:p w14:paraId="4000F160">
      <w:pPr>
        <w:spacing w:line="40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终端用户操作性能指标：系统要体现易于理解掌握、操作简单、提示清晰、逻辑性强、直观简洁等特点。并针对医院查看项目的特点对查看顺序专门定制，保证操作人员以最快速度和最少的击键次数完成工作。</w:t>
      </w:r>
    </w:p>
    <w:p w14:paraId="4F72CCC7">
      <w:pPr>
        <w:spacing w:line="40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5、支持至少1000人同时登录系统，页面响应时间小于5秒。</w:t>
      </w:r>
    </w:p>
    <w:p w14:paraId="1F84A89B">
      <w:pPr>
        <w:spacing w:line="40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6、刷新功能：支持页面刷新，用于查看患者最新信息。</w:t>
      </w:r>
    </w:p>
    <w:p w14:paraId="4AEFB1D0">
      <w:pPr>
        <w:spacing w:line="400" w:lineRule="exact"/>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sz w:val="24"/>
          <w:szCs w:val="24"/>
        </w:rPr>
        <w:t>7、放大功能：为方便医务人员查看密集型数据，针对报告页面可进行一定比例的放大操作。</w:t>
      </w:r>
    </w:p>
    <w:tbl>
      <w:tblPr>
        <w:tblStyle w:val="11"/>
        <w:tblW w:w="8080" w:type="dxa"/>
        <w:tblInd w:w="137" w:type="dxa"/>
        <w:tblLayout w:type="autofit"/>
        <w:tblCellMar>
          <w:top w:w="0" w:type="dxa"/>
          <w:left w:w="108" w:type="dxa"/>
          <w:bottom w:w="0" w:type="dxa"/>
          <w:right w:w="108" w:type="dxa"/>
        </w:tblCellMar>
      </w:tblPr>
      <w:tblGrid>
        <w:gridCol w:w="1276"/>
        <w:gridCol w:w="1701"/>
        <w:gridCol w:w="5103"/>
      </w:tblGrid>
      <w:tr w14:paraId="3583209C">
        <w:tblPrEx>
          <w:tblCellMar>
            <w:top w:w="0" w:type="dxa"/>
            <w:left w:w="108" w:type="dxa"/>
            <w:bottom w:w="0" w:type="dxa"/>
            <w:right w:w="108" w:type="dxa"/>
          </w:tblCellMar>
        </w:tblPrEx>
        <w:trPr>
          <w:trHeight w:val="312" w:hRule="atLeast"/>
        </w:trPr>
        <w:tc>
          <w:tcPr>
            <w:tcW w:w="1276" w:type="dxa"/>
            <w:tcBorders>
              <w:top w:val="single" w:color="auto" w:sz="4" w:space="0"/>
              <w:left w:val="single" w:color="auto" w:sz="4" w:space="0"/>
              <w:bottom w:val="single" w:color="auto" w:sz="4" w:space="0"/>
              <w:right w:val="single" w:color="auto" w:sz="4" w:space="0"/>
            </w:tcBorders>
            <w:shd w:val="clear" w:color="000000" w:fill="auto"/>
            <w:vAlign w:val="center"/>
          </w:tcPr>
          <w:p w14:paraId="4DA7E6D5">
            <w:pPr>
              <w:widowControl/>
              <w:jc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模块</w:t>
            </w:r>
          </w:p>
        </w:tc>
        <w:tc>
          <w:tcPr>
            <w:tcW w:w="1701" w:type="dxa"/>
            <w:tcBorders>
              <w:top w:val="single" w:color="auto" w:sz="4" w:space="0"/>
              <w:left w:val="nil"/>
              <w:bottom w:val="single" w:color="auto" w:sz="4" w:space="0"/>
              <w:right w:val="single" w:color="auto" w:sz="4" w:space="0"/>
            </w:tcBorders>
            <w:shd w:val="clear" w:color="000000" w:fill="auto"/>
            <w:vAlign w:val="center"/>
          </w:tcPr>
          <w:p w14:paraId="36CAF456">
            <w:pPr>
              <w:widowControl/>
              <w:jc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功能</w:t>
            </w:r>
          </w:p>
        </w:tc>
        <w:tc>
          <w:tcPr>
            <w:tcW w:w="5103" w:type="dxa"/>
            <w:tcBorders>
              <w:top w:val="single" w:color="auto" w:sz="4" w:space="0"/>
              <w:left w:val="nil"/>
              <w:bottom w:val="single" w:color="auto" w:sz="4" w:space="0"/>
              <w:right w:val="single" w:color="auto" w:sz="4" w:space="0"/>
            </w:tcBorders>
            <w:shd w:val="clear" w:color="000000" w:fill="auto"/>
            <w:vAlign w:val="center"/>
          </w:tcPr>
          <w:p w14:paraId="78646A5A">
            <w:pPr>
              <w:widowControl/>
              <w:jc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要求</w:t>
            </w:r>
          </w:p>
        </w:tc>
      </w:tr>
      <w:tr w14:paraId="4041BF3E">
        <w:tblPrEx>
          <w:tblCellMar>
            <w:top w:w="0" w:type="dxa"/>
            <w:left w:w="108" w:type="dxa"/>
            <w:bottom w:w="0" w:type="dxa"/>
            <w:right w:w="108" w:type="dxa"/>
          </w:tblCellMar>
        </w:tblPrEx>
        <w:trPr>
          <w:trHeight w:val="1248" w:hRule="atLeast"/>
        </w:trPr>
        <w:tc>
          <w:tcPr>
            <w:tcW w:w="1276" w:type="dxa"/>
            <w:vMerge w:val="restart"/>
            <w:tcBorders>
              <w:top w:val="nil"/>
              <w:left w:val="single" w:color="auto" w:sz="4" w:space="0"/>
              <w:bottom w:val="single" w:color="auto" w:sz="4" w:space="0"/>
              <w:right w:val="single" w:color="auto" w:sz="4" w:space="0"/>
            </w:tcBorders>
            <w:shd w:val="clear" w:color="auto" w:fill="auto"/>
            <w:vAlign w:val="center"/>
          </w:tcPr>
          <w:p w14:paraId="165F03FF">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1、基础平台</w:t>
            </w:r>
          </w:p>
        </w:tc>
        <w:tc>
          <w:tcPr>
            <w:tcW w:w="1701" w:type="dxa"/>
            <w:tcBorders>
              <w:top w:val="nil"/>
              <w:left w:val="nil"/>
              <w:bottom w:val="single" w:color="auto" w:sz="4" w:space="0"/>
              <w:right w:val="single" w:color="auto" w:sz="4" w:space="0"/>
            </w:tcBorders>
            <w:shd w:val="clear" w:color="auto" w:fill="auto"/>
            <w:vAlign w:val="center"/>
          </w:tcPr>
          <w:p w14:paraId="03711AEE">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1.1移动端</w:t>
            </w:r>
          </w:p>
        </w:tc>
        <w:tc>
          <w:tcPr>
            <w:tcW w:w="5103" w:type="dxa"/>
            <w:tcBorders>
              <w:top w:val="nil"/>
              <w:left w:val="nil"/>
              <w:bottom w:val="single" w:color="auto" w:sz="4" w:space="0"/>
              <w:right w:val="single" w:color="auto" w:sz="4" w:space="0"/>
            </w:tcBorders>
            <w:shd w:val="clear" w:color="auto" w:fill="auto"/>
            <w:vAlign w:val="center"/>
          </w:tcPr>
          <w:p w14:paraId="61932B32">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实现在移动端查看患者各类信息，包括在Android平台、IOS平台、鸿蒙平台等移动设备终端上运行。</w:t>
            </w:r>
          </w:p>
        </w:tc>
      </w:tr>
      <w:tr w14:paraId="40B44390">
        <w:tblPrEx>
          <w:tblCellMar>
            <w:top w:w="0" w:type="dxa"/>
            <w:left w:w="108" w:type="dxa"/>
            <w:bottom w:w="0" w:type="dxa"/>
            <w:right w:w="108" w:type="dxa"/>
          </w:tblCellMar>
        </w:tblPrEx>
        <w:trPr>
          <w:trHeight w:val="764" w:hRule="atLeast"/>
        </w:trPr>
        <w:tc>
          <w:tcPr>
            <w:tcW w:w="1276" w:type="dxa"/>
            <w:vMerge w:val="continue"/>
            <w:tcBorders>
              <w:top w:val="nil"/>
              <w:left w:val="single" w:color="auto" w:sz="4" w:space="0"/>
              <w:bottom w:val="single" w:color="auto" w:sz="4" w:space="0"/>
              <w:right w:val="single" w:color="auto" w:sz="4" w:space="0"/>
            </w:tcBorders>
            <w:vAlign w:val="center"/>
          </w:tcPr>
          <w:p w14:paraId="66033C80">
            <w:pPr>
              <w:widowControl/>
              <w:rPr>
                <w:rFonts w:hint="eastAsia" w:ascii="仿宋_GB2312" w:hAnsi="仿宋_GB2312" w:eastAsia="仿宋_GB2312" w:cs="仿宋_GB2312"/>
                <w:color w:val="000000"/>
                <w:sz w:val="24"/>
                <w:szCs w:val="24"/>
              </w:rPr>
            </w:pP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2EF35C5B">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1.2后台管理</w:t>
            </w:r>
          </w:p>
        </w:tc>
        <w:tc>
          <w:tcPr>
            <w:tcW w:w="5103" w:type="dxa"/>
            <w:tcBorders>
              <w:top w:val="nil"/>
              <w:left w:val="nil"/>
              <w:bottom w:val="single" w:color="auto" w:sz="4" w:space="0"/>
              <w:right w:val="single" w:color="auto" w:sz="4" w:space="0"/>
            </w:tcBorders>
            <w:shd w:val="clear" w:color="auto" w:fill="auto"/>
            <w:vAlign w:val="center"/>
          </w:tcPr>
          <w:p w14:paraId="22E63BA1">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实现后台管理对用户进行管理，包括鉴权和权限管理。</w:t>
            </w:r>
          </w:p>
        </w:tc>
      </w:tr>
      <w:tr w14:paraId="7660201B">
        <w:tblPrEx>
          <w:tblCellMar>
            <w:top w:w="0" w:type="dxa"/>
            <w:left w:w="108" w:type="dxa"/>
            <w:bottom w:w="0" w:type="dxa"/>
            <w:right w:w="108" w:type="dxa"/>
          </w:tblCellMar>
        </w:tblPrEx>
        <w:trPr>
          <w:trHeight w:val="704" w:hRule="atLeast"/>
        </w:trPr>
        <w:tc>
          <w:tcPr>
            <w:tcW w:w="1276" w:type="dxa"/>
            <w:vMerge w:val="continue"/>
            <w:tcBorders>
              <w:top w:val="nil"/>
              <w:left w:val="single" w:color="auto" w:sz="4" w:space="0"/>
              <w:bottom w:val="single" w:color="auto" w:sz="4" w:space="0"/>
              <w:right w:val="single" w:color="auto" w:sz="4" w:space="0"/>
            </w:tcBorders>
            <w:vAlign w:val="center"/>
          </w:tcPr>
          <w:p w14:paraId="645F3D45">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2D602F02">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041795E6">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实现对医生权限进行增加、修改、删除等操作。</w:t>
            </w:r>
          </w:p>
        </w:tc>
      </w:tr>
      <w:tr w14:paraId="4ACAD6EA">
        <w:tblPrEx>
          <w:tblCellMar>
            <w:top w:w="0" w:type="dxa"/>
            <w:left w:w="108" w:type="dxa"/>
            <w:bottom w:w="0" w:type="dxa"/>
            <w:right w:w="108" w:type="dxa"/>
          </w:tblCellMar>
        </w:tblPrEx>
        <w:trPr>
          <w:trHeight w:val="1560" w:hRule="atLeast"/>
        </w:trPr>
        <w:tc>
          <w:tcPr>
            <w:tcW w:w="1276" w:type="dxa"/>
            <w:vMerge w:val="continue"/>
            <w:tcBorders>
              <w:top w:val="nil"/>
              <w:left w:val="single" w:color="auto" w:sz="4" w:space="0"/>
              <w:bottom w:val="single" w:color="auto" w:sz="4" w:space="0"/>
              <w:right w:val="single" w:color="auto" w:sz="4" w:space="0"/>
            </w:tcBorders>
            <w:vAlign w:val="center"/>
          </w:tcPr>
          <w:p w14:paraId="1A93CD05">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2BF58CE9">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37506EEB">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实现对医务人员数据的维护功能，如同一个用户分配多个院区/科室，使其登录系统时随着不同的登录院区/科室而查看权限下的患者各类信息。</w:t>
            </w:r>
          </w:p>
        </w:tc>
      </w:tr>
      <w:tr w14:paraId="38655E42">
        <w:tblPrEx>
          <w:tblCellMar>
            <w:top w:w="0" w:type="dxa"/>
            <w:left w:w="108" w:type="dxa"/>
            <w:bottom w:w="0" w:type="dxa"/>
            <w:right w:w="108" w:type="dxa"/>
          </w:tblCellMar>
        </w:tblPrEx>
        <w:trPr>
          <w:trHeight w:val="936" w:hRule="atLeast"/>
        </w:trPr>
        <w:tc>
          <w:tcPr>
            <w:tcW w:w="1276" w:type="dxa"/>
            <w:vMerge w:val="continue"/>
            <w:tcBorders>
              <w:top w:val="nil"/>
              <w:left w:val="single" w:color="auto" w:sz="4" w:space="0"/>
              <w:bottom w:val="single" w:color="auto" w:sz="4" w:space="0"/>
              <w:right w:val="single" w:color="auto" w:sz="4" w:space="0"/>
            </w:tcBorders>
            <w:vAlign w:val="center"/>
          </w:tcPr>
          <w:p w14:paraId="4FBEF852">
            <w:pPr>
              <w:widowControl/>
              <w:rPr>
                <w:rFonts w:hint="eastAsia" w:ascii="仿宋_GB2312" w:hAnsi="仿宋_GB2312" w:eastAsia="仿宋_GB2312" w:cs="仿宋_GB2312"/>
                <w:color w:val="000000"/>
                <w:sz w:val="24"/>
                <w:szCs w:val="24"/>
              </w:rPr>
            </w:pPr>
          </w:p>
        </w:tc>
        <w:tc>
          <w:tcPr>
            <w:tcW w:w="1701" w:type="dxa"/>
            <w:tcBorders>
              <w:top w:val="nil"/>
              <w:left w:val="nil"/>
              <w:bottom w:val="single" w:color="auto" w:sz="4" w:space="0"/>
              <w:right w:val="single" w:color="auto" w:sz="4" w:space="0"/>
            </w:tcBorders>
            <w:shd w:val="clear" w:color="auto" w:fill="auto"/>
            <w:vAlign w:val="center"/>
          </w:tcPr>
          <w:p w14:paraId="320C6776">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1.3移动设备管理</w:t>
            </w:r>
          </w:p>
        </w:tc>
        <w:tc>
          <w:tcPr>
            <w:tcW w:w="5103" w:type="dxa"/>
            <w:tcBorders>
              <w:top w:val="nil"/>
              <w:left w:val="nil"/>
              <w:bottom w:val="single" w:color="auto" w:sz="4" w:space="0"/>
              <w:right w:val="single" w:color="auto" w:sz="4" w:space="0"/>
            </w:tcBorders>
            <w:shd w:val="clear" w:color="auto" w:fill="auto"/>
            <w:vAlign w:val="center"/>
          </w:tcPr>
          <w:p w14:paraId="55019418">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对用户使用的移动设备进行管理，管理内容包括增加、删除、修改等操作。</w:t>
            </w:r>
          </w:p>
        </w:tc>
      </w:tr>
      <w:tr w14:paraId="308948D0">
        <w:tblPrEx>
          <w:tblCellMar>
            <w:top w:w="0" w:type="dxa"/>
            <w:left w:w="108" w:type="dxa"/>
            <w:bottom w:w="0" w:type="dxa"/>
            <w:right w:w="108" w:type="dxa"/>
          </w:tblCellMar>
        </w:tblPrEx>
        <w:trPr>
          <w:trHeight w:val="624" w:hRule="atLeast"/>
        </w:trPr>
        <w:tc>
          <w:tcPr>
            <w:tcW w:w="1276" w:type="dxa"/>
            <w:vMerge w:val="continue"/>
            <w:tcBorders>
              <w:top w:val="nil"/>
              <w:left w:val="single" w:color="auto" w:sz="4" w:space="0"/>
              <w:bottom w:val="single" w:color="auto" w:sz="4" w:space="0"/>
              <w:right w:val="single" w:color="auto" w:sz="4" w:space="0"/>
            </w:tcBorders>
            <w:vAlign w:val="center"/>
          </w:tcPr>
          <w:p w14:paraId="00EC4406">
            <w:pPr>
              <w:widowControl/>
              <w:rPr>
                <w:rFonts w:hint="eastAsia" w:ascii="仿宋_GB2312" w:hAnsi="仿宋_GB2312" w:eastAsia="仿宋_GB2312" w:cs="仿宋_GB2312"/>
                <w:color w:val="000000"/>
                <w:sz w:val="24"/>
                <w:szCs w:val="24"/>
              </w:rPr>
            </w:pPr>
          </w:p>
        </w:tc>
        <w:tc>
          <w:tcPr>
            <w:tcW w:w="1701" w:type="dxa"/>
            <w:tcBorders>
              <w:top w:val="nil"/>
              <w:left w:val="nil"/>
              <w:bottom w:val="single" w:color="auto" w:sz="4" w:space="0"/>
              <w:right w:val="single" w:color="auto" w:sz="4" w:space="0"/>
            </w:tcBorders>
            <w:shd w:val="clear" w:color="auto" w:fill="auto"/>
            <w:vAlign w:val="center"/>
          </w:tcPr>
          <w:p w14:paraId="1524E2E3">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1.4访问管理</w:t>
            </w:r>
          </w:p>
        </w:tc>
        <w:tc>
          <w:tcPr>
            <w:tcW w:w="5103" w:type="dxa"/>
            <w:tcBorders>
              <w:top w:val="nil"/>
              <w:left w:val="nil"/>
              <w:bottom w:val="single" w:color="auto" w:sz="4" w:space="0"/>
              <w:right w:val="single" w:color="auto" w:sz="4" w:space="0"/>
            </w:tcBorders>
            <w:shd w:val="clear" w:color="auto" w:fill="auto"/>
            <w:vAlign w:val="center"/>
          </w:tcPr>
          <w:p w14:paraId="33B017FF">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对用户敏感访问行为进行日志留痕。</w:t>
            </w:r>
          </w:p>
        </w:tc>
      </w:tr>
      <w:tr w14:paraId="3C2F2BA7">
        <w:tblPrEx>
          <w:tblCellMar>
            <w:top w:w="0" w:type="dxa"/>
            <w:left w:w="108" w:type="dxa"/>
            <w:bottom w:w="0" w:type="dxa"/>
            <w:right w:w="108" w:type="dxa"/>
          </w:tblCellMar>
        </w:tblPrEx>
        <w:trPr>
          <w:trHeight w:val="936" w:hRule="atLeast"/>
        </w:trPr>
        <w:tc>
          <w:tcPr>
            <w:tcW w:w="1276" w:type="dxa"/>
            <w:vMerge w:val="restart"/>
            <w:tcBorders>
              <w:top w:val="nil"/>
              <w:left w:val="single" w:color="auto" w:sz="4" w:space="0"/>
              <w:bottom w:val="single" w:color="auto" w:sz="4" w:space="0"/>
              <w:right w:val="single" w:color="auto" w:sz="4" w:space="0"/>
            </w:tcBorders>
            <w:shd w:val="clear" w:color="auto" w:fill="auto"/>
            <w:vAlign w:val="center"/>
          </w:tcPr>
          <w:p w14:paraId="2F238346">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2、安全防护</w:t>
            </w:r>
          </w:p>
        </w:tc>
        <w:tc>
          <w:tcPr>
            <w:tcW w:w="1701" w:type="dxa"/>
            <w:tcBorders>
              <w:top w:val="nil"/>
              <w:left w:val="nil"/>
              <w:bottom w:val="single" w:color="auto" w:sz="4" w:space="0"/>
              <w:right w:val="single" w:color="auto" w:sz="4" w:space="0"/>
            </w:tcBorders>
            <w:shd w:val="clear" w:color="auto" w:fill="auto"/>
            <w:vAlign w:val="center"/>
          </w:tcPr>
          <w:p w14:paraId="02133BFE">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2.1页面水印</w:t>
            </w:r>
          </w:p>
        </w:tc>
        <w:tc>
          <w:tcPr>
            <w:tcW w:w="5103" w:type="dxa"/>
            <w:tcBorders>
              <w:top w:val="nil"/>
              <w:left w:val="nil"/>
              <w:bottom w:val="single" w:color="auto" w:sz="4" w:space="0"/>
              <w:right w:val="single" w:color="auto" w:sz="4" w:space="0"/>
            </w:tcBorders>
            <w:shd w:val="clear" w:color="auto" w:fill="auto"/>
            <w:vAlign w:val="center"/>
          </w:tcPr>
          <w:p w14:paraId="68448CA9">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在所有涉及患者信息的页面，背景水印显示当前登录用户信息。</w:t>
            </w:r>
          </w:p>
        </w:tc>
      </w:tr>
      <w:tr w14:paraId="5EAEBEE6">
        <w:tblPrEx>
          <w:tblCellMar>
            <w:top w:w="0" w:type="dxa"/>
            <w:left w:w="108" w:type="dxa"/>
            <w:bottom w:w="0" w:type="dxa"/>
            <w:right w:w="108" w:type="dxa"/>
          </w:tblCellMar>
        </w:tblPrEx>
        <w:trPr>
          <w:trHeight w:val="891" w:hRule="atLeast"/>
        </w:trPr>
        <w:tc>
          <w:tcPr>
            <w:tcW w:w="1276" w:type="dxa"/>
            <w:vMerge w:val="continue"/>
            <w:tcBorders>
              <w:top w:val="nil"/>
              <w:left w:val="single" w:color="auto" w:sz="4" w:space="0"/>
              <w:bottom w:val="single" w:color="auto" w:sz="4" w:space="0"/>
              <w:right w:val="single" w:color="auto" w:sz="4" w:space="0"/>
            </w:tcBorders>
            <w:vAlign w:val="center"/>
          </w:tcPr>
          <w:p w14:paraId="7BF1E057">
            <w:pPr>
              <w:widowControl/>
              <w:rPr>
                <w:rFonts w:hint="eastAsia" w:ascii="仿宋_GB2312" w:hAnsi="仿宋_GB2312" w:eastAsia="仿宋_GB2312" w:cs="仿宋_GB2312"/>
                <w:color w:val="000000"/>
                <w:sz w:val="24"/>
                <w:szCs w:val="24"/>
              </w:rPr>
            </w:pP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38013892">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2.2登录安全</w:t>
            </w:r>
          </w:p>
        </w:tc>
        <w:tc>
          <w:tcPr>
            <w:tcW w:w="5103" w:type="dxa"/>
            <w:tcBorders>
              <w:top w:val="nil"/>
              <w:left w:val="nil"/>
              <w:bottom w:val="single" w:color="auto" w:sz="4" w:space="0"/>
              <w:right w:val="single" w:color="auto" w:sz="4" w:space="0"/>
            </w:tcBorders>
            <w:shd w:val="clear" w:color="auto" w:fill="auto"/>
            <w:vAlign w:val="center"/>
          </w:tcPr>
          <w:p w14:paraId="7DDD925C">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通过用户名、移动设备进行绑定，同时对用户登录时进行密码验证。</w:t>
            </w:r>
          </w:p>
        </w:tc>
      </w:tr>
      <w:tr w14:paraId="1B2AE754">
        <w:tblPrEx>
          <w:tblCellMar>
            <w:top w:w="0" w:type="dxa"/>
            <w:left w:w="108" w:type="dxa"/>
            <w:bottom w:w="0" w:type="dxa"/>
            <w:right w:w="108" w:type="dxa"/>
          </w:tblCellMar>
        </w:tblPrEx>
        <w:trPr>
          <w:trHeight w:val="1576" w:hRule="atLeast"/>
        </w:trPr>
        <w:tc>
          <w:tcPr>
            <w:tcW w:w="1276" w:type="dxa"/>
            <w:vMerge w:val="continue"/>
            <w:tcBorders>
              <w:top w:val="nil"/>
              <w:left w:val="single" w:color="auto" w:sz="4" w:space="0"/>
              <w:bottom w:val="single" w:color="auto" w:sz="4" w:space="0"/>
              <w:right w:val="single" w:color="auto" w:sz="4" w:space="0"/>
            </w:tcBorders>
            <w:vAlign w:val="center"/>
          </w:tcPr>
          <w:p w14:paraId="200683D5">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6412A770">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004E3880">
            <w:pPr>
              <w:widowControl w:val="0"/>
              <w:tabs>
                <w:tab w:val="left" w:pos="1022"/>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sz w:val="24"/>
                <w:szCs w:val="24"/>
              </w:rPr>
              <w:t>手机用户在首次登录时，输入用户名（医生工号）和手机号码，通过发送短息验证码进行验证，强制修改密码，并对密码复杂度进行验证，如要求字母+数字+特殊符号等。</w:t>
            </w:r>
            <w:r>
              <w:rPr>
                <w:rFonts w:hint="eastAsia" w:ascii="仿宋_GB2312" w:hAnsi="仿宋_GB2312" w:eastAsia="仿宋_GB2312" w:cs="仿宋_GB2312"/>
                <w:sz w:val="24"/>
                <w:szCs w:val="24"/>
              </w:rPr>
              <w:t>提醒90天至少更新密码一次。</w:t>
            </w:r>
          </w:p>
        </w:tc>
      </w:tr>
      <w:tr w14:paraId="0DA55632">
        <w:tblPrEx>
          <w:tblCellMar>
            <w:top w:w="0" w:type="dxa"/>
            <w:left w:w="108" w:type="dxa"/>
            <w:bottom w:w="0" w:type="dxa"/>
            <w:right w:w="108" w:type="dxa"/>
          </w:tblCellMar>
        </w:tblPrEx>
        <w:trPr>
          <w:trHeight w:val="624" w:hRule="atLeast"/>
        </w:trPr>
        <w:tc>
          <w:tcPr>
            <w:tcW w:w="1276" w:type="dxa"/>
            <w:vMerge w:val="continue"/>
            <w:tcBorders>
              <w:top w:val="nil"/>
              <w:left w:val="single" w:color="auto" w:sz="4" w:space="0"/>
              <w:bottom w:val="single" w:color="auto" w:sz="4" w:space="0"/>
              <w:right w:val="single" w:color="auto" w:sz="4" w:space="0"/>
            </w:tcBorders>
            <w:vAlign w:val="center"/>
          </w:tcPr>
          <w:p w14:paraId="07ED2FF8">
            <w:pPr>
              <w:widowControl/>
              <w:rPr>
                <w:rFonts w:hint="eastAsia" w:ascii="仿宋_GB2312" w:hAnsi="仿宋_GB2312" w:eastAsia="仿宋_GB2312" w:cs="仿宋_GB2312"/>
                <w:color w:val="000000"/>
                <w:sz w:val="24"/>
                <w:szCs w:val="24"/>
              </w:rPr>
            </w:pP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666A8F53">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2.3设备绑定</w:t>
            </w:r>
          </w:p>
        </w:tc>
        <w:tc>
          <w:tcPr>
            <w:tcW w:w="5103" w:type="dxa"/>
            <w:tcBorders>
              <w:top w:val="nil"/>
              <w:left w:val="nil"/>
              <w:bottom w:val="single" w:color="auto" w:sz="4" w:space="0"/>
              <w:right w:val="single" w:color="auto" w:sz="4" w:space="0"/>
            </w:tcBorders>
            <w:shd w:val="clear" w:color="auto" w:fill="auto"/>
            <w:vAlign w:val="center"/>
          </w:tcPr>
          <w:p w14:paraId="65EDAF4C">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通过设备号绑定移动设备，后台授权确认。</w:t>
            </w:r>
          </w:p>
        </w:tc>
      </w:tr>
      <w:tr w14:paraId="5BAADDD4">
        <w:tblPrEx>
          <w:tblCellMar>
            <w:top w:w="0" w:type="dxa"/>
            <w:left w:w="108" w:type="dxa"/>
            <w:bottom w:w="0" w:type="dxa"/>
            <w:right w:w="108" w:type="dxa"/>
          </w:tblCellMar>
        </w:tblPrEx>
        <w:trPr>
          <w:trHeight w:val="936" w:hRule="atLeast"/>
        </w:trPr>
        <w:tc>
          <w:tcPr>
            <w:tcW w:w="1276" w:type="dxa"/>
            <w:vMerge w:val="continue"/>
            <w:tcBorders>
              <w:top w:val="nil"/>
              <w:left w:val="single" w:color="auto" w:sz="4" w:space="0"/>
              <w:bottom w:val="single" w:color="auto" w:sz="4" w:space="0"/>
              <w:right w:val="single" w:color="auto" w:sz="4" w:space="0"/>
            </w:tcBorders>
            <w:vAlign w:val="center"/>
          </w:tcPr>
          <w:p w14:paraId="5E4B49B6">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59ABEBB5">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23E9A423">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用户用不同的移动设备登录时，需要通过后台管理员授权，修改设备用户绑定关系。</w:t>
            </w:r>
          </w:p>
        </w:tc>
      </w:tr>
      <w:tr w14:paraId="5E3A6805">
        <w:tblPrEx>
          <w:tblCellMar>
            <w:top w:w="0" w:type="dxa"/>
            <w:left w:w="108" w:type="dxa"/>
            <w:bottom w:w="0" w:type="dxa"/>
            <w:right w:w="108" w:type="dxa"/>
          </w:tblCellMar>
        </w:tblPrEx>
        <w:trPr>
          <w:trHeight w:val="936" w:hRule="atLeast"/>
        </w:trPr>
        <w:tc>
          <w:tcPr>
            <w:tcW w:w="1276" w:type="dxa"/>
            <w:vMerge w:val="restart"/>
            <w:tcBorders>
              <w:top w:val="nil"/>
              <w:left w:val="single" w:color="auto" w:sz="4" w:space="0"/>
              <w:bottom w:val="single" w:color="auto" w:sz="4" w:space="0"/>
              <w:right w:val="single" w:color="auto" w:sz="4" w:space="0"/>
            </w:tcBorders>
            <w:shd w:val="clear" w:color="auto" w:fill="auto"/>
            <w:vAlign w:val="center"/>
          </w:tcPr>
          <w:p w14:paraId="149986E0">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3、手机端查看功能</w:t>
            </w: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25F2DBF5">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3.1注册</w:t>
            </w:r>
          </w:p>
        </w:tc>
        <w:tc>
          <w:tcPr>
            <w:tcW w:w="5103" w:type="dxa"/>
            <w:tcBorders>
              <w:top w:val="nil"/>
              <w:left w:val="nil"/>
              <w:bottom w:val="single" w:color="auto" w:sz="4" w:space="0"/>
              <w:right w:val="single" w:color="auto" w:sz="4" w:space="0"/>
            </w:tcBorders>
            <w:shd w:val="clear" w:color="auto" w:fill="auto"/>
            <w:vAlign w:val="center"/>
          </w:tcPr>
          <w:p w14:paraId="6FE5D593">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实现用户通过用户名（医生工号）、手机号码、密码三者信息合并注册医生端APP。</w:t>
            </w:r>
          </w:p>
        </w:tc>
      </w:tr>
      <w:tr w14:paraId="156DF916">
        <w:tblPrEx>
          <w:tblCellMar>
            <w:top w:w="0" w:type="dxa"/>
            <w:left w:w="108" w:type="dxa"/>
            <w:bottom w:w="0" w:type="dxa"/>
            <w:right w:w="108" w:type="dxa"/>
          </w:tblCellMar>
        </w:tblPrEx>
        <w:trPr>
          <w:trHeight w:val="869" w:hRule="atLeast"/>
        </w:trPr>
        <w:tc>
          <w:tcPr>
            <w:tcW w:w="1276" w:type="dxa"/>
            <w:vMerge w:val="continue"/>
            <w:tcBorders>
              <w:top w:val="nil"/>
              <w:left w:val="single" w:color="auto" w:sz="4" w:space="0"/>
              <w:bottom w:val="single" w:color="auto" w:sz="4" w:space="0"/>
              <w:right w:val="single" w:color="auto" w:sz="4" w:space="0"/>
            </w:tcBorders>
            <w:vAlign w:val="center"/>
          </w:tcPr>
          <w:p w14:paraId="6746E8DD">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7BF18EA9">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5BDC5CBF">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实现通过后台web端查询、配置医生端APP登录账号。</w:t>
            </w:r>
          </w:p>
        </w:tc>
      </w:tr>
      <w:tr w14:paraId="38C5A926">
        <w:tblPrEx>
          <w:tblCellMar>
            <w:top w:w="0" w:type="dxa"/>
            <w:left w:w="108" w:type="dxa"/>
            <w:bottom w:w="0" w:type="dxa"/>
            <w:right w:w="108" w:type="dxa"/>
          </w:tblCellMar>
        </w:tblPrEx>
        <w:trPr>
          <w:trHeight w:val="981" w:hRule="atLeast"/>
        </w:trPr>
        <w:tc>
          <w:tcPr>
            <w:tcW w:w="1276" w:type="dxa"/>
            <w:vMerge w:val="continue"/>
            <w:tcBorders>
              <w:top w:val="nil"/>
              <w:left w:val="single" w:color="auto" w:sz="4" w:space="0"/>
              <w:bottom w:val="single" w:color="auto" w:sz="4" w:space="0"/>
              <w:right w:val="single" w:color="auto" w:sz="4" w:space="0"/>
            </w:tcBorders>
            <w:vAlign w:val="center"/>
          </w:tcPr>
          <w:p w14:paraId="315B028C">
            <w:pPr>
              <w:widowControl/>
              <w:rPr>
                <w:rFonts w:hint="eastAsia" w:ascii="仿宋_GB2312" w:hAnsi="仿宋_GB2312" w:eastAsia="仿宋_GB2312" w:cs="仿宋_GB2312"/>
                <w:color w:val="000000"/>
                <w:sz w:val="24"/>
                <w:szCs w:val="24"/>
              </w:rPr>
            </w:pPr>
          </w:p>
        </w:tc>
        <w:tc>
          <w:tcPr>
            <w:tcW w:w="1701" w:type="dxa"/>
            <w:tcBorders>
              <w:top w:val="nil"/>
              <w:left w:val="nil"/>
              <w:bottom w:val="single" w:color="auto" w:sz="4" w:space="0"/>
              <w:right w:val="single" w:color="auto" w:sz="4" w:space="0"/>
            </w:tcBorders>
            <w:shd w:val="clear" w:color="auto" w:fill="auto"/>
            <w:vAlign w:val="center"/>
          </w:tcPr>
          <w:p w14:paraId="3A8DA092">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3.2登录</w:t>
            </w:r>
          </w:p>
        </w:tc>
        <w:tc>
          <w:tcPr>
            <w:tcW w:w="5103" w:type="dxa"/>
            <w:tcBorders>
              <w:top w:val="nil"/>
              <w:left w:val="nil"/>
              <w:bottom w:val="single" w:color="auto" w:sz="4" w:space="0"/>
              <w:right w:val="single" w:color="auto" w:sz="4" w:space="0"/>
            </w:tcBorders>
            <w:shd w:val="clear" w:color="auto" w:fill="auto"/>
            <w:vAlign w:val="center"/>
          </w:tcPr>
          <w:p w14:paraId="42CE15E6">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实现用户通过用户名（医生工号）+手机号码+密码的方式登录医生端APP；实现安全设置。</w:t>
            </w:r>
          </w:p>
        </w:tc>
      </w:tr>
      <w:tr w14:paraId="379A89F4">
        <w:tblPrEx>
          <w:tblCellMar>
            <w:top w:w="0" w:type="dxa"/>
            <w:left w:w="108" w:type="dxa"/>
            <w:bottom w:w="0" w:type="dxa"/>
            <w:right w:w="108" w:type="dxa"/>
          </w:tblCellMar>
        </w:tblPrEx>
        <w:trPr>
          <w:trHeight w:val="624" w:hRule="atLeast"/>
        </w:trPr>
        <w:tc>
          <w:tcPr>
            <w:tcW w:w="1276" w:type="dxa"/>
            <w:vMerge w:val="continue"/>
            <w:tcBorders>
              <w:top w:val="nil"/>
              <w:left w:val="single" w:color="auto" w:sz="4" w:space="0"/>
              <w:bottom w:val="single" w:color="auto" w:sz="4" w:space="0"/>
              <w:right w:val="single" w:color="auto" w:sz="4" w:space="0"/>
            </w:tcBorders>
            <w:vAlign w:val="center"/>
          </w:tcPr>
          <w:p w14:paraId="036B4523">
            <w:pPr>
              <w:widowControl/>
              <w:rPr>
                <w:rFonts w:hint="eastAsia" w:ascii="仿宋_GB2312" w:hAnsi="仿宋_GB2312" w:eastAsia="仿宋_GB2312" w:cs="仿宋_GB2312"/>
                <w:color w:val="000000"/>
                <w:sz w:val="24"/>
                <w:szCs w:val="24"/>
              </w:rPr>
            </w:pPr>
          </w:p>
        </w:tc>
        <w:tc>
          <w:tcPr>
            <w:tcW w:w="1701" w:type="dxa"/>
            <w:tcBorders>
              <w:top w:val="nil"/>
              <w:left w:val="nil"/>
              <w:bottom w:val="single" w:color="auto" w:sz="4" w:space="0"/>
              <w:right w:val="single" w:color="auto" w:sz="4" w:space="0"/>
            </w:tcBorders>
            <w:shd w:val="clear" w:color="auto" w:fill="auto"/>
            <w:vAlign w:val="center"/>
          </w:tcPr>
          <w:p w14:paraId="4F700E8A">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3.3退出登录</w:t>
            </w:r>
          </w:p>
        </w:tc>
        <w:tc>
          <w:tcPr>
            <w:tcW w:w="5103" w:type="dxa"/>
            <w:tcBorders>
              <w:top w:val="nil"/>
              <w:left w:val="nil"/>
              <w:bottom w:val="single" w:color="auto" w:sz="4" w:space="0"/>
              <w:right w:val="single" w:color="auto" w:sz="4" w:space="0"/>
            </w:tcBorders>
            <w:shd w:val="clear" w:color="auto" w:fill="auto"/>
            <w:vAlign w:val="center"/>
          </w:tcPr>
          <w:p w14:paraId="4B132844">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点击关闭键实现退出当前登录的账号。</w:t>
            </w:r>
          </w:p>
        </w:tc>
      </w:tr>
      <w:tr w14:paraId="273AF4D1">
        <w:tblPrEx>
          <w:tblCellMar>
            <w:top w:w="0" w:type="dxa"/>
            <w:left w:w="108" w:type="dxa"/>
            <w:bottom w:w="0" w:type="dxa"/>
            <w:right w:w="108" w:type="dxa"/>
          </w:tblCellMar>
        </w:tblPrEx>
        <w:trPr>
          <w:trHeight w:val="778" w:hRule="atLeast"/>
        </w:trPr>
        <w:tc>
          <w:tcPr>
            <w:tcW w:w="1276" w:type="dxa"/>
            <w:vMerge w:val="continue"/>
            <w:tcBorders>
              <w:top w:val="nil"/>
              <w:left w:val="single" w:color="auto" w:sz="4" w:space="0"/>
              <w:bottom w:val="single" w:color="auto" w:sz="4" w:space="0"/>
              <w:right w:val="single" w:color="auto" w:sz="4" w:space="0"/>
            </w:tcBorders>
            <w:vAlign w:val="center"/>
          </w:tcPr>
          <w:p w14:paraId="49CB5FB6">
            <w:pPr>
              <w:widowControl/>
              <w:rPr>
                <w:rFonts w:hint="eastAsia" w:ascii="仿宋_GB2312" w:hAnsi="仿宋_GB2312" w:eastAsia="仿宋_GB2312" w:cs="仿宋_GB2312"/>
                <w:color w:val="000000"/>
                <w:sz w:val="24"/>
                <w:szCs w:val="24"/>
              </w:rPr>
            </w:pPr>
          </w:p>
        </w:tc>
        <w:tc>
          <w:tcPr>
            <w:tcW w:w="1701" w:type="dxa"/>
            <w:tcBorders>
              <w:top w:val="nil"/>
              <w:left w:val="nil"/>
              <w:bottom w:val="single" w:color="auto" w:sz="4" w:space="0"/>
              <w:right w:val="single" w:color="auto" w:sz="4" w:space="0"/>
            </w:tcBorders>
            <w:shd w:val="clear" w:color="auto" w:fill="auto"/>
            <w:vAlign w:val="center"/>
          </w:tcPr>
          <w:p w14:paraId="36601ACC">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3.4搜索</w:t>
            </w:r>
          </w:p>
        </w:tc>
        <w:tc>
          <w:tcPr>
            <w:tcW w:w="5103" w:type="dxa"/>
            <w:tcBorders>
              <w:top w:val="nil"/>
              <w:left w:val="nil"/>
              <w:bottom w:val="single" w:color="auto" w:sz="4" w:space="0"/>
              <w:right w:val="single" w:color="auto" w:sz="4" w:space="0"/>
            </w:tcBorders>
            <w:shd w:val="clear" w:color="auto" w:fill="auto"/>
            <w:vAlign w:val="center"/>
          </w:tcPr>
          <w:p w14:paraId="7382185C">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实现按照患者姓名或住院号等方式搜索定位患者。</w:t>
            </w:r>
          </w:p>
        </w:tc>
      </w:tr>
      <w:tr w14:paraId="194B28E7">
        <w:tblPrEx>
          <w:tblCellMar>
            <w:top w:w="0" w:type="dxa"/>
            <w:left w:w="108" w:type="dxa"/>
            <w:bottom w:w="0" w:type="dxa"/>
            <w:right w:w="108" w:type="dxa"/>
          </w:tblCellMar>
        </w:tblPrEx>
        <w:trPr>
          <w:trHeight w:val="846" w:hRule="atLeast"/>
        </w:trPr>
        <w:tc>
          <w:tcPr>
            <w:tcW w:w="1276" w:type="dxa"/>
            <w:vMerge w:val="continue"/>
            <w:tcBorders>
              <w:top w:val="nil"/>
              <w:left w:val="single" w:color="auto" w:sz="4" w:space="0"/>
              <w:bottom w:val="single" w:color="auto" w:sz="4" w:space="0"/>
              <w:right w:val="single" w:color="auto" w:sz="4" w:space="0"/>
            </w:tcBorders>
            <w:vAlign w:val="center"/>
          </w:tcPr>
          <w:p w14:paraId="7CC1543C">
            <w:pPr>
              <w:widowControl/>
              <w:rPr>
                <w:rFonts w:hint="eastAsia" w:ascii="仿宋_GB2312" w:hAnsi="仿宋_GB2312" w:eastAsia="仿宋_GB2312" w:cs="仿宋_GB2312"/>
                <w:color w:val="000000"/>
                <w:sz w:val="24"/>
                <w:szCs w:val="24"/>
              </w:rPr>
            </w:pP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7486C7D4">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3.5分组</w:t>
            </w:r>
          </w:p>
        </w:tc>
        <w:tc>
          <w:tcPr>
            <w:tcW w:w="5103" w:type="dxa"/>
            <w:tcBorders>
              <w:top w:val="nil"/>
              <w:left w:val="nil"/>
              <w:bottom w:val="single" w:color="auto" w:sz="4" w:space="0"/>
              <w:right w:val="single" w:color="auto" w:sz="4" w:space="0"/>
            </w:tcBorders>
            <w:shd w:val="clear" w:color="auto" w:fill="auto"/>
            <w:vAlign w:val="center"/>
          </w:tcPr>
          <w:p w14:paraId="0D0DAB36">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实现查看用户名（医生工号）权限对应院区/科室的患者各类信息。</w:t>
            </w:r>
          </w:p>
        </w:tc>
      </w:tr>
      <w:tr w14:paraId="4F9A444F">
        <w:tblPrEx>
          <w:tblCellMar>
            <w:top w:w="0" w:type="dxa"/>
            <w:left w:w="108" w:type="dxa"/>
            <w:bottom w:w="0" w:type="dxa"/>
            <w:right w:w="108" w:type="dxa"/>
          </w:tblCellMar>
        </w:tblPrEx>
        <w:trPr>
          <w:trHeight w:val="830" w:hRule="atLeast"/>
        </w:trPr>
        <w:tc>
          <w:tcPr>
            <w:tcW w:w="1276" w:type="dxa"/>
            <w:vMerge w:val="continue"/>
            <w:tcBorders>
              <w:top w:val="nil"/>
              <w:left w:val="single" w:color="auto" w:sz="4" w:space="0"/>
              <w:bottom w:val="single" w:color="auto" w:sz="4" w:space="0"/>
              <w:right w:val="single" w:color="auto" w:sz="4" w:space="0"/>
            </w:tcBorders>
            <w:vAlign w:val="center"/>
          </w:tcPr>
          <w:p w14:paraId="131AF335">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762E14C0">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28FF6D20">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实现查看用户名（医生工号）所属医生的患者各类信息。</w:t>
            </w:r>
          </w:p>
        </w:tc>
      </w:tr>
      <w:tr w14:paraId="774B1D1E">
        <w:tblPrEx>
          <w:tblCellMar>
            <w:top w:w="0" w:type="dxa"/>
            <w:left w:w="108" w:type="dxa"/>
            <w:bottom w:w="0" w:type="dxa"/>
            <w:right w:w="108" w:type="dxa"/>
          </w:tblCellMar>
        </w:tblPrEx>
        <w:trPr>
          <w:trHeight w:val="558" w:hRule="atLeast"/>
        </w:trPr>
        <w:tc>
          <w:tcPr>
            <w:tcW w:w="1276" w:type="dxa"/>
            <w:vMerge w:val="continue"/>
            <w:tcBorders>
              <w:top w:val="nil"/>
              <w:left w:val="single" w:color="auto" w:sz="4" w:space="0"/>
              <w:bottom w:val="single" w:color="auto" w:sz="4" w:space="0"/>
              <w:right w:val="single" w:color="auto" w:sz="4" w:space="0"/>
            </w:tcBorders>
            <w:vAlign w:val="center"/>
          </w:tcPr>
          <w:p w14:paraId="342DD096">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47BCB0A0">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4E944630">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实现查看出院患者各类信息。</w:t>
            </w:r>
          </w:p>
        </w:tc>
      </w:tr>
      <w:tr w14:paraId="7768D94B">
        <w:tblPrEx>
          <w:tblCellMar>
            <w:top w:w="0" w:type="dxa"/>
            <w:left w:w="108" w:type="dxa"/>
            <w:bottom w:w="0" w:type="dxa"/>
            <w:right w:w="108" w:type="dxa"/>
          </w:tblCellMar>
        </w:tblPrEx>
        <w:trPr>
          <w:trHeight w:val="552" w:hRule="atLeast"/>
        </w:trPr>
        <w:tc>
          <w:tcPr>
            <w:tcW w:w="1276" w:type="dxa"/>
            <w:vMerge w:val="continue"/>
            <w:tcBorders>
              <w:top w:val="nil"/>
              <w:left w:val="single" w:color="auto" w:sz="4" w:space="0"/>
              <w:bottom w:val="single" w:color="auto" w:sz="4" w:space="0"/>
              <w:right w:val="single" w:color="auto" w:sz="4" w:space="0"/>
            </w:tcBorders>
            <w:vAlign w:val="center"/>
          </w:tcPr>
          <w:p w14:paraId="41610633">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7D1A796B">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0DCFE9EE">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实现查看门诊患者各类信息。</w:t>
            </w:r>
          </w:p>
        </w:tc>
      </w:tr>
      <w:tr w14:paraId="7DB64454">
        <w:tblPrEx>
          <w:tblCellMar>
            <w:top w:w="0" w:type="dxa"/>
            <w:left w:w="108" w:type="dxa"/>
            <w:bottom w:w="0" w:type="dxa"/>
            <w:right w:w="108" w:type="dxa"/>
          </w:tblCellMar>
        </w:tblPrEx>
        <w:trPr>
          <w:trHeight w:val="624" w:hRule="atLeast"/>
        </w:trPr>
        <w:tc>
          <w:tcPr>
            <w:tcW w:w="1276" w:type="dxa"/>
            <w:vMerge w:val="continue"/>
            <w:tcBorders>
              <w:top w:val="nil"/>
              <w:left w:val="single" w:color="auto" w:sz="4" w:space="0"/>
              <w:bottom w:val="single" w:color="auto" w:sz="4" w:space="0"/>
              <w:right w:val="single" w:color="auto" w:sz="4" w:space="0"/>
            </w:tcBorders>
            <w:vAlign w:val="center"/>
          </w:tcPr>
          <w:p w14:paraId="60F4DB2F">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00C96008">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16A01AAB">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实现查看收藏的患者各类信息。</w:t>
            </w:r>
          </w:p>
        </w:tc>
      </w:tr>
      <w:tr w14:paraId="4C210D81">
        <w:tblPrEx>
          <w:tblCellMar>
            <w:top w:w="0" w:type="dxa"/>
            <w:left w:w="108" w:type="dxa"/>
            <w:bottom w:w="0" w:type="dxa"/>
            <w:right w:w="108" w:type="dxa"/>
          </w:tblCellMar>
        </w:tblPrEx>
        <w:trPr>
          <w:trHeight w:val="1258" w:hRule="atLeast"/>
        </w:trPr>
        <w:tc>
          <w:tcPr>
            <w:tcW w:w="1276" w:type="dxa"/>
            <w:vMerge w:val="continue"/>
            <w:tcBorders>
              <w:top w:val="nil"/>
              <w:left w:val="single" w:color="auto" w:sz="4" w:space="0"/>
              <w:bottom w:val="single" w:color="auto" w:sz="4" w:space="0"/>
              <w:right w:val="single" w:color="auto" w:sz="4" w:space="0"/>
            </w:tcBorders>
            <w:vAlign w:val="center"/>
          </w:tcPr>
          <w:p w14:paraId="6027AF61">
            <w:pPr>
              <w:widowControl/>
              <w:rPr>
                <w:rFonts w:hint="eastAsia" w:ascii="仿宋_GB2312" w:hAnsi="仿宋_GB2312" w:eastAsia="仿宋_GB2312" w:cs="仿宋_GB2312"/>
                <w:color w:val="000000"/>
                <w:sz w:val="24"/>
                <w:szCs w:val="24"/>
              </w:rPr>
            </w:pP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0F561CE0">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3.6既往病史</w:t>
            </w:r>
          </w:p>
        </w:tc>
        <w:tc>
          <w:tcPr>
            <w:tcW w:w="5103" w:type="dxa"/>
            <w:tcBorders>
              <w:top w:val="nil"/>
              <w:left w:val="nil"/>
              <w:bottom w:val="single" w:color="auto" w:sz="4" w:space="0"/>
              <w:right w:val="single" w:color="auto" w:sz="4" w:space="0"/>
            </w:tcBorders>
            <w:shd w:val="clear" w:color="auto" w:fill="auto"/>
            <w:vAlign w:val="center"/>
          </w:tcPr>
          <w:p w14:paraId="2CA77122">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实现查阅当前患者的历史门诊记录，包括患者基本信息、就诊卡号、挂号科室、挂号类型、看诊时间、看诊医生、诊断、处方等信息。</w:t>
            </w:r>
          </w:p>
        </w:tc>
      </w:tr>
      <w:tr w14:paraId="4D0B8EC1">
        <w:tblPrEx>
          <w:tblCellMar>
            <w:top w:w="0" w:type="dxa"/>
            <w:left w:w="108" w:type="dxa"/>
            <w:bottom w:w="0" w:type="dxa"/>
            <w:right w:w="108" w:type="dxa"/>
          </w:tblCellMar>
        </w:tblPrEx>
        <w:trPr>
          <w:trHeight w:val="415" w:hRule="atLeast"/>
        </w:trPr>
        <w:tc>
          <w:tcPr>
            <w:tcW w:w="1276" w:type="dxa"/>
            <w:vMerge w:val="continue"/>
            <w:tcBorders>
              <w:top w:val="nil"/>
              <w:left w:val="single" w:color="auto" w:sz="4" w:space="0"/>
              <w:bottom w:val="single" w:color="auto" w:sz="4" w:space="0"/>
              <w:right w:val="single" w:color="auto" w:sz="4" w:space="0"/>
            </w:tcBorders>
            <w:vAlign w:val="center"/>
          </w:tcPr>
          <w:p w14:paraId="616B7822">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06C03013">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4D94FD99">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实现查阅当前患者的历史住院记录，包括患者基本信息、住院号、病案号、入院天数、护理级别、入院日期、住院科室、病区床号、住院医师、责任护士、入院诊断等。</w:t>
            </w:r>
          </w:p>
        </w:tc>
      </w:tr>
      <w:tr w14:paraId="492068FF">
        <w:trPr>
          <w:trHeight w:val="1252" w:hRule="atLeast"/>
        </w:trPr>
        <w:tc>
          <w:tcPr>
            <w:tcW w:w="1276" w:type="dxa"/>
            <w:vMerge w:val="continue"/>
            <w:tcBorders>
              <w:top w:val="nil"/>
              <w:left w:val="single" w:color="auto" w:sz="4" w:space="0"/>
              <w:bottom w:val="single" w:color="auto" w:sz="4" w:space="0"/>
              <w:right w:val="single" w:color="auto" w:sz="4" w:space="0"/>
            </w:tcBorders>
            <w:vAlign w:val="center"/>
          </w:tcPr>
          <w:p w14:paraId="09F09998">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427385E7">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439547A4">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进入患者详情页面后，医生查看患者的全部病史，也可以点击按钮切换查看住院病史或门诊病史，点击病史记录则可查看详细的数据信息。</w:t>
            </w:r>
          </w:p>
        </w:tc>
      </w:tr>
      <w:tr w14:paraId="083E2156">
        <w:tblPrEx>
          <w:tblCellMar>
            <w:top w:w="0" w:type="dxa"/>
            <w:left w:w="108" w:type="dxa"/>
            <w:bottom w:w="0" w:type="dxa"/>
            <w:right w:w="108" w:type="dxa"/>
          </w:tblCellMar>
        </w:tblPrEx>
        <w:trPr>
          <w:trHeight w:val="1271" w:hRule="atLeast"/>
        </w:trPr>
        <w:tc>
          <w:tcPr>
            <w:tcW w:w="1276" w:type="dxa"/>
            <w:vMerge w:val="continue"/>
            <w:tcBorders>
              <w:top w:val="nil"/>
              <w:left w:val="single" w:color="auto" w:sz="4" w:space="0"/>
              <w:bottom w:val="single" w:color="auto" w:sz="4" w:space="0"/>
              <w:right w:val="single" w:color="auto" w:sz="4" w:space="0"/>
            </w:tcBorders>
            <w:vAlign w:val="center"/>
          </w:tcPr>
          <w:p w14:paraId="67F06B2C">
            <w:pPr>
              <w:widowControl/>
              <w:rPr>
                <w:rFonts w:hint="eastAsia" w:ascii="仿宋_GB2312" w:hAnsi="仿宋_GB2312" w:eastAsia="仿宋_GB2312" w:cs="仿宋_GB2312"/>
                <w:color w:val="000000"/>
                <w:sz w:val="24"/>
                <w:szCs w:val="24"/>
              </w:rPr>
            </w:pP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07B93500">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3.7首页</w:t>
            </w:r>
          </w:p>
        </w:tc>
        <w:tc>
          <w:tcPr>
            <w:tcW w:w="5103" w:type="dxa"/>
            <w:tcBorders>
              <w:top w:val="nil"/>
              <w:left w:val="nil"/>
              <w:bottom w:val="single" w:color="auto" w:sz="4" w:space="0"/>
              <w:right w:val="single" w:color="auto" w:sz="4" w:space="0"/>
            </w:tcBorders>
            <w:shd w:val="clear" w:color="auto" w:fill="auto"/>
            <w:vAlign w:val="center"/>
          </w:tcPr>
          <w:p w14:paraId="762B416B">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实现查阅当前患者的门诊记录，包括患者基本信息、就诊卡号、挂号科室、挂号类型、看诊时间、看诊医生、诊断、门诊病例、处方等信息。</w:t>
            </w:r>
          </w:p>
        </w:tc>
      </w:tr>
      <w:tr w14:paraId="4F87648E">
        <w:tblPrEx>
          <w:tblCellMar>
            <w:top w:w="0" w:type="dxa"/>
            <w:left w:w="108" w:type="dxa"/>
            <w:bottom w:w="0" w:type="dxa"/>
            <w:right w:w="108" w:type="dxa"/>
          </w:tblCellMar>
        </w:tblPrEx>
        <w:trPr>
          <w:trHeight w:val="1403" w:hRule="atLeast"/>
        </w:trPr>
        <w:tc>
          <w:tcPr>
            <w:tcW w:w="1276" w:type="dxa"/>
            <w:vMerge w:val="continue"/>
            <w:tcBorders>
              <w:top w:val="nil"/>
              <w:left w:val="single" w:color="auto" w:sz="4" w:space="0"/>
              <w:bottom w:val="single" w:color="auto" w:sz="4" w:space="0"/>
              <w:right w:val="single" w:color="auto" w:sz="4" w:space="0"/>
            </w:tcBorders>
            <w:vAlign w:val="center"/>
          </w:tcPr>
          <w:p w14:paraId="62CB3C3D">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08D4A9C3">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683AA7BF">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实现查阅当前患者的住院记录，包括患者基本信息、住院号、病案号、入院天数、护理级别、入院日期、住院科室、病区床号、住院医师、责任护士、入院诊断等。</w:t>
            </w:r>
          </w:p>
        </w:tc>
      </w:tr>
      <w:tr w14:paraId="760019B2">
        <w:trPr>
          <w:trHeight w:val="1125" w:hRule="atLeast"/>
        </w:trPr>
        <w:tc>
          <w:tcPr>
            <w:tcW w:w="1276" w:type="dxa"/>
            <w:vMerge w:val="continue"/>
            <w:tcBorders>
              <w:top w:val="nil"/>
              <w:left w:val="single" w:color="auto" w:sz="4" w:space="0"/>
              <w:bottom w:val="single" w:color="auto" w:sz="4" w:space="0"/>
              <w:right w:val="single" w:color="auto" w:sz="4" w:space="0"/>
            </w:tcBorders>
            <w:vAlign w:val="center"/>
          </w:tcPr>
          <w:p w14:paraId="03ED3ABC">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69E08A85">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1AE88D8D">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实现查阅当前患者的住院医师，点击看诊医生的姓名,并与看诊/住院医师发起文字会话或语音通话了解患者更多信息。</w:t>
            </w:r>
          </w:p>
        </w:tc>
      </w:tr>
      <w:tr w14:paraId="698E214D">
        <w:tblPrEx>
          <w:tblCellMar>
            <w:top w:w="0" w:type="dxa"/>
            <w:left w:w="108" w:type="dxa"/>
            <w:bottom w:w="0" w:type="dxa"/>
            <w:right w:w="108" w:type="dxa"/>
          </w:tblCellMar>
        </w:tblPrEx>
        <w:trPr>
          <w:trHeight w:val="1127" w:hRule="atLeast"/>
        </w:trPr>
        <w:tc>
          <w:tcPr>
            <w:tcW w:w="1276" w:type="dxa"/>
            <w:vMerge w:val="continue"/>
            <w:tcBorders>
              <w:top w:val="nil"/>
              <w:left w:val="single" w:color="auto" w:sz="4" w:space="0"/>
              <w:bottom w:val="single" w:color="auto" w:sz="4" w:space="0"/>
              <w:right w:val="single" w:color="auto" w:sz="4" w:space="0"/>
            </w:tcBorders>
            <w:vAlign w:val="center"/>
          </w:tcPr>
          <w:p w14:paraId="37B73E8D">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41EA504A">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6D69DFBF">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实现查阅当前患者的住院费用，包括总费用、预交款、医保类型以及详细的费用明细（按照核算项目展示，如西药费、成药费、检查费等）。</w:t>
            </w:r>
          </w:p>
        </w:tc>
      </w:tr>
      <w:tr w14:paraId="1ADA1E10">
        <w:trPr>
          <w:trHeight w:val="845" w:hRule="atLeast"/>
        </w:trPr>
        <w:tc>
          <w:tcPr>
            <w:tcW w:w="1276" w:type="dxa"/>
            <w:vMerge w:val="continue"/>
            <w:tcBorders>
              <w:top w:val="nil"/>
              <w:left w:val="single" w:color="auto" w:sz="4" w:space="0"/>
              <w:bottom w:val="single" w:color="auto" w:sz="4" w:space="0"/>
              <w:right w:val="single" w:color="auto" w:sz="4" w:space="0"/>
            </w:tcBorders>
            <w:vAlign w:val="center"/>
          </w:tcPr>
          <w:p w14:paraId="7B082247">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0EE00C03">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106706FE">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医生查看不同分组的患者，包括在院患者、入院患者、出院患者、我的患者以及收藏患者。</w:t>
            </w:r>
          </w:p>
        </w:tc>
      </w:tr>
      <w:tr w14:paraId="209E7C63">
        <w:tblPrEx>
          <w:tblCellMar>
            <w:top w:w="0" w:type="dxa"/>
            <w:left w:w="108" w:type="dxa"/>
            <w:bottom w:w="0" w:type="dxa"/>
            <w:right w:w="108" w:type="dxa"/>
          </w:tblCellMar>
        </w:tblPrEx>
        <w:trPr>
          <w:trHeight w:val="830" w:hRule="atLeast"/>
        </w:trPr>
        <w:tc>
          <w:tcPr>
            <w:tcW w:w="1276" w:type="dxa"/>
            <w:vMerge w:val="continue"/>
            <w:tcBorders>
              <w:top w:val="nil"/>
              <w:left w:val="single" w:color="auto" w:sz="4" w:space="0"/>
              <w:bottom w:val="single" w:color="auto" w:sz="4" w:space="0"/>
              <w:right w:val="single" w:color="auto" w:sz="4" w:space="0"/>
            </w:tcBorders>
            <w:vAlign w:val="center"/>
          </w:tcPr>
          <w:p w14:paraId="56D1780E">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5BC624E8">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173EEB52">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每个分组下展示不同科室的患者，点击患者即可查看该患者的详细数据。</w:t>
            </w:r>
          </w:p>
        </w:tc>
      </w:tr>
      <w:tr w14:paraId="1EF9ED35">
        <w:tblPrEx>
          <w:tblCellMar>
            <w:top w:w="0" w:type="dxa"/>
            <w:left w:w="108" w:type="dxa"/>
            <w:bottom w:w="0" w:type="dxa"/>
            <w:right w:w="108" w:type="dxa"/>
          </w:tblCellMar>
        </w:tblPrEx>
        <w:trPr>
          <w:trHeight w:val="841" w:hRule="atLeast"/>
        </w:trPr>
        <w:tc>
          <w:tcPr>
            <w:tcW w:w="1276" w:type="dxa"/>
            <w:vMerge w:val="continue"/>
            <w:tcBorders>
              <w:top w:val="nil"/>
              <w:left w:val="single" w:color="auto" w:sz="4" w:space="0"/>
              <w:bottom w:val="single" w:color="auto" w:sz="4" w:space="0"/>
              <w:right w:val="single" w:color="auto" w:sz="4" w:space="0"/>
            </w:tcBorders>
            <w:vAlign w:val="center"/>
          </w:tcPr>
          <w:p w14:paraId="1CE4DB62">
            <w:pPr>
              <w:widowControl/>
              <w:rPr>
                <w:rFonts w:hint="eastAsia" w:ascii="仿宋_GB2312" w:hAnsi="仿宋_GB2312" w:eastAsia="仿宋_GB2312" w:cs="仿宋_GB2312"/>
                <w:color w:val="000000"/>
                <w:sz w:val="24"/>
                <w:szCs w:val="24"/>
              </w:rPr>
            </w:pP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0A57FC13">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3.8病历</w:t>
            </w:r>
          </w:p>
        </w:tc>
        <w:tc>
          <w:tcPr>
            <w:tcW w:w="5103" w:type="dxa"/>
            <w:tcBorders>
              <w:top w:val="nil"/>
              <w:left w:val="nil"/>
              <w:bottom w:val="single" w:color="auto" w:sz="4" w:space="0"/>
              <w:right w:val="single" w:color="auto" w:sz="4" w:space="0"/>
            </w:tcBorders>
            <w:shd w:val="clear" w:color="auto" w:fill="auto"/>
            <w:vAlign w:val="center"/>
          </w:tcPr>
          <w:p w14:paraId="716474A6">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医生通过文书类型快速查找浏览患者相关文书。</w:t>
            </w:r>
          </w:p>
        </w:tc>
      </w:tr>
      <w:tr w14:paraId="256E66D5">
        <w:tblPrEx>
          <w:tblCellMar>
            <w:top w:w="0" w:type="dxa"/>
            <w:left w:w="108" w:type="dxa"/>
            <w:bottom w:w="0" w:type="dxa"/>
            <w:right w:w="108" w:type="dxa"/>
          </w:tblCellMar>
        </w:tblPrEx>
        <w:trPr>
          <w:trHeight w:val="1560" w:hRule="atLeast"/>
        </w:trPr>
        <w:tc>
          <w:tcPr>
            <w:tcW w:w="1276" w:type="dxa"/>
            <w:vMerge w:val="continue"/>
            <w:tcBorders>
              <w:top w:val="nil"/>
              <w:left w:val="single" w:color="auto" w:sz="4" w:space="0"/>
              <w:bottom w:val="single" w:color="auto" w:sz="4" w:space="0"/>
              <w:right w:val="single" w:color="auto" w:sz="4" w:space="0"/>
            </w:tcBorders>
            <w:vAlign w:val="center"/>
          </w:tcPr>
          <w:p w14:paraId="158C6477">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66D0A9CD">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39C3D00D">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实现查阅患者的病历记录，按照病历分类展示，包括入院记录、首次病程记录、查房记录、日常病程记录、手术记录、出院记录等详细情况。</w:t>
            </w:r>
          </w:p>
        </w:tc>
      </w:tr>
      <w:tr w14:paraId="5146A735">
        <w:tblPrEx>
          <w:tblCellMar>
            <w:top w:w="0" w:type="dxa"/>
            <w:left w:w="108" w:type="dxa"/>
            <w:bottom w:w="0" w:type="dxa"/>
            <w:right w:w="108" w:type="dxa"/>
          </w:tblCellMar>
        </w:tblPrEx>
        <w:trPr>
          <w:trHeight w:val="833" w:hRule="atLeast"/>
        </w:trPr>
        <w:tc>
          <w:tcPr>
            <w:tcW w:w="1276" w:type="dxa"/>
            <w:vMerge w:val="continue"/>
            <w:tcBorders>
              <w:top w:val="nil"/>
              <w:left w:val="single" w:color="auto" w:sz="4" w:space="0"/>
              <w:bottom w:val="single" w:color="auto" w:sz="4" w:space="0"/>
              <w:right w:val="single" w:color="auto" w:sz="4" w:space="0"/>
            </w:tcBorders>
            <w:vAlign w:val="center"/>
          </w:tcPr>
          <w:p w14:paraId="2C6B84B5">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06407A2B">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0825B082">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点击相应文书即可查看此次文书记录的详细信息。</w:t>
            </w:r>
          </w:p>
        </w:tc>
      </w:tr>
      <w:tr w14:paraId="607E60C4">
        <w:tblPrEx>
          <w:tblCellMar>
            <w:top w:w="0" w:type="dxa"/>
            <w:left w:w="108" w:type="dxa"/>
            <w:bottom w:w="0" w:type="dxa"/>
            <w:right w:w="108" w:type="dxa"/>
          </w:tblCellMar>
        </w:tblPrEx>
        <w:trPr>
          <w:trHeight w:val="624" w:hRule="atLeast"/>
        </w:trPr>
        <w:tc>
          <w:tcPr>
            <w:tcW w:w="1276" w:type="dxa"/>
            <w:vMerge w:val="continue"/>
            <w:tcBorders>
              <w:top w:val="nil"/>
              <w:left w:val="single" w:color="auto" w:sz="4" w:space="0"/>
              <w:bottom w:val="single" w:color="auto" w:sz="4" w:space="0"/>
              <w:right w:val="single" w:color="auto" w:sz="4" w:space="0"/>
            </w:tcBorders>
            <w:vAlign w:val="center"/>
          </w:tcPr>
          <w:p w14:paraId="08171235">
            <w:pPr>
              <w:widowControl/>
              <w:rPr>
                <w:rFonts w:hint="eastAsia" w:ascii="仿宋_GB2312" w:hAnsi="仿宋_GB2312" w:eastAsia="仿宋_GB2312" w:cs="仿宋_GB2312"/>
                <w:color w:val="000000"/>
                <w:sz w:val="24"/>
                <w:szCs w:val="24"/>
              </w:rPr>
            </w:pP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461D4EAA">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3.9医嘱</w:t>
            </w:r>
          </w:p>
        </w:tc>
        <w:tc>
          <w:tcPr>
            <w:tcW w:w="5103" w:type="dxa"/>
            <w:tcBorders>
              <w:top w:val="nil"/>
              <w:left w:val="nil"/>
              <w:bottom w:val="single" w:color="auto" w:sz="4" w:space="0"/>
              <w:right w:val="single" w:color="auto" w:sz="4" w:space="0"/>
            </w:tcBorders>
            <w:shd w:val="clear" w:color="auto" w:fill="auto"/>
            <w:vAlign w:val="center"/>
          </w:tcPr>
          <w:p w14:paraId="257482E6">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实现长期医嘱、临时医嘱之间进行页面切换；实现开立各类医嘱。</w:t>
            </w:r>
          </w:p>
        </w:tc>
      </w:tr>
      <w:tr w14:paraId="3037C882">
        <w:tblPrEx>
          <w:tblCellMar>
            <w:top w:w="0" w:type="dxa"/>
            <w:left w:w="108" w:type="dxa"/>
            <w:bottom w:w="0" w:type="dxa"/>
            <w:right w:w="108" w:type="dxa"/>
          </w:tblCellMar>
        </w:tblPrEx>
        <w:trPr>
          <w:trHeight w:val="938" w:hRule="atLeast"/>
        </w:trPr>
        <w:tc>
          <w:tcPr>
            <w:tcW w:w="1276" w:type="dxa"/>
            <w:vMerge w:val="continue"/>
            <w:tcBorders>
              <w:top w:val="nil"/>
              <w:left w:val="single" w:color="auto" w:sz="4" w:space="0"/>
              <w:bottom w:val="single" w:color="auto" w:sz="4" w:space="0"/>
              <w:right w:val="single" w:color="auto" w:sz="4" w:space="0"/>
            </w:tcBorders>
            <w:vAlign w:val="center"/>
          </w:tcPr>
          <w:p w14:paraId="31F16077">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6AF4249A">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0DD4F627">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实现医生按照所筛选日期范围、开嘱医生、医嘱类型等方式查看患者的临时医嘱，并查看医嘱的开立、执行、停止等状态。</w:t>
            </w:r>
          </w:p>
        </w:tc>
      </w:tr>
      <w:tr w14:paraId="7E1CE873">
        <w:tblPrEx>
          <w:tblCellMar>
            <w:top w:w="0" w:type="dxa"/>
            <w:left w:w="108" w:type="dxa"/>
            <w:bottom w:w="0" w:type="dxa"/>
            <w:right w:w="108" w:type="dxa"/>
          </w:tblCellMar>
        </w:tblPrEx>
        <w:trPr>
          <w:trHeight w:val="838" w:hRule="atLeast"/>
        </w:trPr>
        <w:tc>
          <w:tcPr>
            <w:tcW w:w="1276" w:type="dxa"/>
            <w:vMerge w:val="continue"/>
            <w:tcBorders>
              <w:top w:val="nil"/>
              <w:left w:val="single" w:color="auto" w:sz="4" w:space="0"/>
              <w:bottom w:val="single" w:color="auto" w:sz="4" w:space="0"/>
              <w:right w:val="single" w:color="auto" w:sz="4" w:space="0"/>
            </w:tcBorders>
            <w:vAlign w:val="center"/>
          </w:tcPr>
          <w:p w14:paraId="70759FDF">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7EF2135F">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6919FA2E">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实现医生按照所筛选日期范围、开嘱医生、医嘱类型等方式查看住院患者的长期医嘱信息，并查看医嘱的开立、执行、停止等状态。</w:t>
            </w:r>
          </w:p>
        </w:tc>
      </w:tr>
      <w:tr w14:paraId="10C55FA4">
        <w:tblPrEx>
          <w:tblCellMar>
            <w:top w:w="0" w:type="dxa"/>
            <w:left w:w="108" w:type="dxa"/>
            <w:bottom w:w="0" w:type="dxa"/>
            <w:right w:w="108" w:type="dxa"/>
          </w:tblCellMar>
        </w:tblPrEx>
        <w:trPr>
          <w:trHeight w:val="835" w:hRule="atLeast"/>
        </w:trPr>
        <w:tc>
          <w:tcPr>
            <w:tcW w:w="1276" w:type="dxa"/>
            <w:vMerge w:val="continue"/>
            <w:tcBorders>
              <w:top w:val="nil"/>
              <w:left w:val="single" w:color="auto" w:sz="4" w:space="0"/>
              <w:bottom w:val="single" w:color="auto" w:sz="4" w:space="0"/>
              <w:right w:val="single" w:color="auto" w:sz="4" w:space="0"/>
            </w:tcBorders>
            <w:vAlign w:val="center"/>
          </w:tcPr>
          <w:p w14:paraId="7FF9F5A4">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7DFBF4A9">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39618585">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实现医生点击某条医嘱查看当前医嘱的详细情况。</w:t>
            </w:r>
          </w:p>
        </w:tc>
      </w:tr>
      <w:tr w14:paraId="2F8EFF9B">
        <w:tblPrEx>
          <w:tblCellMar>
            <w:top w:w="0" w:type="dxa"/>
            <w:left w:w="108" w:type="dxa"/>
            <w:bottom w:w="0" w:type="dxa"/>
            <w:right w:w="108" w:type="dxa"/>
          </w:tblCellMar>
        </w:tblPrEx>
        <w:trPr>
          <w:trHeight w:val="936" w:hRule="atLeast"/>
        </w:trPr>
        <w:tc>
          <w:tcPr>
            <w:tcW w:w="1276" w:type="dxa"/>
            <w:vMerge w:val="continue"/>
            <w:tcBorders>
              <w:top w:val="nil"/>
              <w:left w:val="single" w:color="auto" w:sz="4" w:space="0"/>
              <w:bottom w:val="single" w:color="auto" w:sz="4" w:space="0"/>
              <w:right w:val="single" w:color="auto" w:sz="4" w:space="0"/>
            </w:tcBorders>
            <w:vAlign w:val="center"/>
          </w:tcPr>
          <w:p w14:paraId="701E5249">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4B4630B2">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3AFB33AB">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实现查阅患者的长期医嘱，包括每天的详细数据，如执行时间、执行人、是否有效等。</w:t>
            </w:r>
          </w:p>
        </w:tc>
      </w:tr>
      <w:tr w14:paraId="192E27B8">
        <w:tblPrEx>
          <w:tblCellMar>
            <w:top w:w="0" w:type="dxa"/>
            <w:left w:w="108" w:type="dxa"/>
            <w:bottom w:w="0" w:type="dxa"/>
            <w:right w:w="108" w:type="dxa"/>
          </w:tblCellMar>
        </w:tblPrEx>
        <w:trPr>
          <w:trHeight w:val="936" w:hRule="atLeast"/>
        </w:trPr>
        <w:tc>
          <w:tcPr>
            <w:tcW w:w="1276" w:type="dxa"/>
            <w:vMerge w:val="continue"/>
            <w:tcBorders>
              <w:top w:val="nil"/>
              <w:left w:val="single" w:color="auto" w:sz="4" w:space="0"/>
              <w:bottom w:val="single" w:color="auto" w:sz="4" w:space="0"/>
              <w:right w:val="single" w:color="auto" w:sz="4" w:space="0"/>
            </w:tcBorders>
            <w:vAlign w:val="center"/>
          </w:tcPr>
          <w:p w14:paraId="59ECA4DF">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4222CFA5">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173F7540">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实现查阅患者的临时医嘱，包括每天的详细数据，如执行时间、执行人、是否有效等。</w:t>
            </w:r>
          </w:p>
        </w:tc>
      </w:tr>
      <w:tr w14:paraId="776DE8A7">
        <w:tblPrEx>
          <w:tblCellMar>
            <w:top w:w="0" w:type="dxa"/>
            <w:left w:w="108" w:type="dxa"/>
            <w:bottom w:w="0" w:type="dxa"/>
            <w:right w:w="108" w:type="dxa"/>
          </w:tblCellMar>
        </w:tblPrEx>
        <w:trPr>
          <w:trHeight w:val="1073" w:hRule="atLeast"/>
        </w:trPr>
        <w:tc>
          <w:tcPr>
            <w:tcW w:w="1276" w:type="dxa"/>
            <w:vMerge w:val="continue"/>
            <w:tcBorders>
              <w:top w:val="nil"/>
              <w:left w:val="single" w:color="auto" w:sz="4" w:space="0"/>
              <w:bottom w:val="single" w:color="auto" w:sz="4" w:space="0"/>
              <w:right w:val="single" w:color="auto" w:sz="4" w:space="0"/>
            </w:tcBorders>
            <w:vAlign w:val="center"/>
          </w:tcPr>
          <w:p w14:paraId="0215BD0C">
            <w:pPr>
              <w:widowControl/>
              <w:rPr>
                <w:rFonts w:hint="eastAsia" w:ascii="仿宋_GB2312" w:hAnsi="仿宋_GB2312" w:eastAsia="仿宋_GB2312" w:cs="仿宋_GB2312"/>
                <w:color w:val="000000"/>
                <w:sz w:val="24"/>
                <w:szCs w:val="24"/>
              </w:rPr>
            </w:pP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0C5BAB42">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3.10检验</w:t>
            </w:r>
          </w:p>
        </w:tc>
        <w:tc>
          <w:tcPr>
            <w:tcW w:w="5103" w:type="dxa"/>
            <w:tcBorders>
              <w:top w:val="nil"/>
              <w:left w:val="nil"/>
              <w:bottom w:val="single" w:color="auto" w:sz="4" w:space="0"/>
              <w:right w:val="single" w:color="auto" w:sz="4" w:space="0"/>
            </w:tcBorders>
            <w:shd w:val="clear" w:color="auto" w:fill="auto"/>
            <w:vAlign w:val="center"/>
          </w:tcPr>
          <w:p w14:paraId="027E196E">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医生根据项目分类查询单项检验结果折线图以及历次结果对比，具体包括查询检验列表，查询检验结果详情。</w:t>
            </w:r>
          </w:p>
        </w:tc>
      </w:tr>
      <w:tr w14:paraId="296C8C51">
        <w:trPr>
          <w:trHeight w:val="1414" w:hRule="atLeast"/>
        </w:trPr>
        <w:tc>
          <w:tcPr>
            <w:tcW w:w="1276" w:type="dxa"/>
            <w:vMerge w:val="continue"/>
            <w:tcBorders>
              <w:top w:val="nil"/>
              <w:left w:val="single" w:color="auto" w:sz="4" w:space="0"/>
              <w:bottom w:val="single" w:color="auto" w:sz="4" w:space="0"/>
              <w:right w:val="single" w:color="auto" w:sz="4" w:space="0"/>
            </w:tcBorders>
            <w:vAlign w:val="center"/>
          </w:tcPr>
          <w:p w14:paraId="49730107">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467B696A">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6704E43A">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实现医生查询某条检验数据的详情及结果，列表按照时间倒序排列，有异常指标的检验项目用特殊标记进行提醒，查看患者的检验异常数据。</w:t>
            </w:r>
          </w:p>
        </w:tc>
      </w:tr>
      <w:tr w14:paraId="7E2ADD1D">
        <w:tblPrEx>
          <w:tblCellMar>
            <w:top w:w="0" w:type="dxa"/>
            <w:left w:w="108" w:type="dxa"/>
            <w:bottom w:w="0" w:type="dxa"/>
            <w:right w:w="108" w:type="dxa"/>
          </w:tblCellMar>
        </w:tblPrEx>
        <w:trPr>
          <w:trHeight w:val="1393" w:hRule="atLeast"/>
        </w:trPr>
        <w:tc>
          <w:tcPr>
            <w:tcW w:w="1276" w:type="dxa"/>
            <w:vMerge w:val="continue"/>
            <w:tcBorders>
              <w:top w:val="nil"/>
              <w:left w:val="single" w:color="auto" w:sz="4" w:space="0"/>
              <w:bottom w:val="single" w:color="auto" w:sz="4" w:space="0"/>
              <w:right w:val="single" w:color="auto" w:sz="4" w:space="0"/>
            </w:tcBorders>
            <w:vAlign w:val="center"/>
          </w:tcPr>
          <w:p w14:paraId="49F2D319">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7E77ABED">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6A94EAFF">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点击查看检验单详情，每项指标点击自动生成患者在本院历次就诊的指标变化趋势图，在所筛选时间区间查看某项检验结果的数据波动。</w:t>
            </w:r>
          </w:p>
        </w:tc>
      </w:tr>
      <w:tr w14:paraId="2AF94A8F">
        <w:tblPrEx>
          <w:tblCellMar>
            <w:top w:w="0" w:type="dxa"/>
            <w:left w:w="108" w:type="dxa"/>
            <w:bottom w:w="0" w:type="dxa"/>
            <w:right w:w="108" w:type="dxa"/>
          </w:tblCellMar>
        </w:tblPrEx>
        <w:trPr>
          <w:trHeight w:val="860" w:hRule="atLeast"/>
        </w:trPr>
        <w:tc>
          <w:tcPr>
            <w:tcW w:w="1276" w:type="dxa"/>
            <w:vMerge w:val="continue"/>
            <w:tcBorders>
              <w:top w:val="nil"/>
              <w:left w:val="single" w:color="auto" w:sz="4" w:space="0"/>
              <w:bottom w:val="single" w:color="auto" w:sz="4" w:space="0"/>
              <w:right w:val="single" w:color="auto" w:sz="4" w:space="0"/>
            </w:tcBorders>
            <w:vAlign w:val="center"/>
          </w:tcPr>
          <w:p w14:paraId="42AC225F">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78904D91">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3D8F8DF8">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点击报告可查看详细的数据，包括每个检验项的名称、单位、结果、参考值及状态。</w:t>
            </w:r>
          </w:p>
        </w:tc>
      </w:tr>
      <w:tr w14:paraId="5019C9AC">
        <w:tblPrEx>
          <w:tblCellMar>
            <w:top w:w="0" w:type="dxa"/>
            <w:left w:w="108" w:type="dxa"/>
            <w:bottom w:w="0" w:type="dxa"/>
            <w:right w:w="108" w:type="dxa"/>
          </w:tblCellMar>
        </w:tblPrEx>
        <w:trPr>
          <w:trHeight w:val="830" w:hRule="atLeast"/>
        </w:trPr>
        <w:tc>
          <w:tcPr>
            <w:tcW w:w="1276" w:type="dxa"/>
            <w:vMerge w:val="continue"/>
            <w:tcBorders>
              <w:top w:val="nil"/>
              <w:left w:val="single" w:color="auto" w:sz="4" w:space="0"/>
              <w:bottom w:val="single" w:color="auto" w:sz="4" w:space="0"/>
              <w:right w:val="single" w:color="auto" w:sz="4" w:space="0"/>
            </w:tcBorders>
            <w:vAlign w:val="center"/>
          </w:tcPr>
          <w:p w14:paraId="1061356C">
            <w:pPr>
              <w:widowControl/>
              <w:rPr>
                <w:rFonts w:hint="eastAsia" w:ascii="仿宋_GB2312" w:hAnsi="仿宋_GB2312" w:eastAsia="仿宋_GB2312" w:cs="仿宋_GB2312"/>
                <w:color w:val="000000"/>
                <w:sz w:val="24"/>
                <w:szCs w:val="24"/>
              </w:rPr>
            </w:pP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0A1FD0D9">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3.11检查</w:t>
            </w:r>
          </w:p>
        </w:tc>
        <w:tc>
          <w:tcPr>
            <w:tcW w:w="5103" w:type="dxa"/>
            <w:tcBorders>
              <w:top w:val="nil"/>
              <w:left w:val="nil"/>
              <w:bottom w:val="single" w:color="auto" w:sz="4" w:space="0"/>
              <w:right w:val="single" w:color="auto" w:sz="4" w:space="0"/>
            </w:tcBorders>
            <w:shd w:val="clear" w:color="auto" w:fill="auto"/>
            <w:vAlign w:val="center"/>
          </w:tcPr>
          <w:p w14:paraId="64E7CAC1">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医生根据项目分类查询检查结果详情，具体包括查询检查列表。</w:t>
            </w:r>
          </w:p>
        </w:tc>
      </w:tr>
      <w:tr w14:paraId="301EFF90">
        <w:tblPrEx>
          <w:tblCellMar>
            <w:top w:w="0" w:type="dxa"/>
            <w:left w:w="108" w:type="dxa"/>
            <w:bottom w:w="0" w:type="dxa"/>
            <w:right w:w="108" w:type="dxa"/>
          </w:tblCellMar>
        </w:tblPrEx>
        <w:trPr>
          <w:trHeight w:val="936" w:hRule="atLeast"/>
        </w:trPr>
        <w:tc>
          <w:tcPr>
            <w:tcW w:w="1276" w:type="dxa"/>
            <w:vMerge w:val="continue"/>
            <w:tcBorders>
              <w:top w:val="nil"/>
              <w:left w:val="single" w:color="auto" w:sz="4" w:space="0"/>
              <w:bottom w:val="single" w:color="auto" w:sz="4" w:space="0"/>
              <w:right w:val="single" w:color="auto" w:sz="4" w:space="0"/>
            </w:tcBorders>
            <w:vAlign w:val="center"/>
          </w:tcPr>
          <w:p w14:paraId="4C6AEE04">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5D3ED016">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73B41BED">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医生查询患者当次就诊的检查列表，列表按照时间倒序排列。</w:t>
            </w:r>
          </w:p>
        </w:tc>
      </w:tr>
      <w:tr w14:paraId="5BE73B2F">
        <w:tblPrEx>
          <w:tblCellMar>
            <w:top w:w="0" w:type="dxa"/>
            <w:left w:w="108" w:type="dxa"/>
            <w:bottom w:w="0" w:type="dxa"/>
            <w:right w:w="108" w:type="dxa"/>
          </w:tblCellMar>
        </w:tblPrEx>
        <w:trPr>
          <w:trHeight w:val="1400" w:hRule="atLeast"/>
        </w:trPr>
        <w:tc>
          <w:tcPr>
            <w:tcW w:w="1276" w:type="dxa"/>
            <w:vMerge w:val="continue"/>
            <w:tcBorders>
              <w:top w:val="nil"/>
              <w:left w:val="single" w:color="auto" w:sz="4" w:space="0"/>
              <w:bottom w:val="single" w:color="auto" w:sz="4" w:space="0"/>
              <w:right w:val="single" w:color="auto" w:sz="4" w:space="0"/>
            </w:tcBorders>
            <w:vAlign w:val="center"/>
          </w:tcPr>
          <w:p w14:paraId="5414E99D">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65E131C3">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14A5BD02">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每条数据包括各项检查结果，若有检查报告则会有相关报告链接，若有检查图像亦有相关检查图像链接，实现医生点击查看相关报告及图像。</w:t>
            </w:r>
          </w:p>
        </w:tc>
      </w:tr>
      <w:tr w14:paraId="43135DD2">
        <w:tblPrEx>
          <w:tblCellMar>
            <w:top w:w="0" w:type="dxa"/>
            <w:left w:w="108" w:type="dxa"/>
            <w:bottom w:w="0" w:type="dxa"/>
            <w:right w:w="108" w:type="dxa"/>
          </w:tblCellMar>
        </w:tblPrEx>
        <w:trPr>
          <w:trHeight w:val="853" w:hRule="atLeast"/>
        </w:trPr>
        <w:tc>
          <w:tcPr>
            <w:tcW w:w="1276" w:type="dxa"/>
            <w:vMerge w:val="continue"/>
            <w:tcBorders>
              <w:top w:val="nil"/>
              <w:left w:val="single" w:color="auto" w:sz="4" w:space="0"/>
              <w:bottom w:val="single" w:color="auto" w:sz="4" w:space="0"/>
              <w:right w:val="single" w:color="auto" w:sz="4" w:space="0"/>
            </w:tcBorders>
            <w:vAlign w:val="center"/>
          </w:tcPr>
          <w:p w14:paraId="6DB07CA3">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2EF7A17E">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672E1398">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查看检查报告结果详情、检查报告、检查图像等。</w:t>
            </w:r>
          </w:p>
        </w:tc>
      </w:tr>
      <w:tr w14:paraId="3392CA75">
        <w:tblPrEx>
          <w:tblCellMar>
            <w:top w:w="0" w:type="dxa"/>
            <w:left w:w="108" w:type="dxa"/>
            <w:bottom w:w="0" w:type="dxa"/>
            <w:right w:w="108" w:type="dxa"/>
          </w:tblCellMar>
        </w:tblPrEx>
        <w:trPr>
          <w:trHeight w:val="1133" w:hRule="atLeast"/>
        </w:trPr>
        <w:tc>
          <w:tcPr>
            <w:tcW w:w="1276" w:type="dxa"/>
            <w:vMerge w:val="continue"/>
            <w:tcBorders>
              <w:top w:val="nil"/>
              <w:left w:val="single" w:color="auto" w:sz="4" w:space="0"/>
              <w:bottom w:val="single" w:color="auto" w:sz="4" w:space="0"/>
              <w:right w:val="single" w:color="auto" w:sz="4" w:space="0"/>
            </w:tcBorders>
            <w:vAlign w:val="center"/>
          </w:tcPr>
          <w:p w14:paraId="3E03E9E0">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3DA75A3A">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70E8A646">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点击检查列表中某条数据，实现医生查看此次结果的详情，详情包括检查的基本信息、检查所见、检查详情以及诊断意见等。</w:t>
            </w:r>
          </w:p>
        </w:tc>
      </w:tr>
      <w:tr w14:paraId="50C129B7">
        <w:tblPrEx>
          <w:tblCellMar>
            <w:top w:w="0" w:type="dxa"/>
            <w:left w:w="108" w:type="dxa"/>
            <w:bottom w:w="0" w:type="dxa"/>
            <w:right w:w="108" w:type="dxa"/>
          </w:tblCellMar>
        </w:tblPrEx>
        <w:trPr>
          <w:trHeight w:val="838" w:hRule="atLeast"/>
        </w:trPr>
        <w:tc>
          <w:tcPr>
            <w:tcW w:w="1276" w:type="dxa"/>
            <w:vMerge w:val="continue"/>
            <w:tcBorders>
              <w:top w:val="nil"/>
              <w:left w:val="single" w:color="auto" w:sz="4" w:space="0"/>
              <w:bottom w:val="single" w:color="auto" w:sz="4" w:space="0"/>
              <w:right w:val="single" w:color="auto" w:sz="4" w:space="0"/>
            </w:tcBorders>
            <w:vAlign w:val="center"/>
          </w:tcPr>
          <w:p w14:paraId="19106EB6">
            <w:pPr>
              <w:widowControl/>
              <w:rPr>
                <w:rFonts w:hint="eastAsia" w:ascii="仿宋_GB2312" w:hAnsi="仿宋_GB2312" w:eastAsia="仿宋_GB2312" w:cs="仿宋_GB2312"/>
                <w:color w:val="000000"/>
                <w:sz w:val="24"/>
                <w:szCs w:val="24"/>
              </w:rPr>
            </w:pPr>
          </w:p>
        </w:tc>
        <w:tc>
          <w:tcPr>
            <w:tcW w:w="1701" w:type="dxa"/>
            <w:tcBorders>
              <w:top w:val="nil"/>
              <w:left w:val="nil"/>
              <w:bottom w:val="single" w:color="auto" w:sz="4" w:space="0"/>
              <w:right w:val="single" w:color="auto" w:sz="4" w:space="0"/>
            </w:tcBorders>
            <w:shd w:val="clear" w:color="auto" w:fill="auto"/>
            <w:vAlign w:val="center"/>
          </w:tcPr>
          <w:p w14:paraId="41A9B971">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3.12影像</w:t>
            </w:r>
          </w:p>
        </w:tc>
        <w:tc>
          <w:tcPr>
            <w:tcW w:w="5103" w:type="dxa"/>
            <w:tcBorders>
              <w:top w:val="nil"/>
              <w:left w:val="nil"/>
              <w:bottom w:val="single" w:color="auto" w:sz="4" w:space="0"/>
              <w:right w:val="single" w:color="auto" w:sz="4" w:space="0"/>
            </w:tcBorders>
            <w:shd w:val="clear" w:color="auto" w:fill="auto"/>
            <w:vAlign w:val="center"/>
          </w:tcPr>
          <w:p w14:paraId="13079055">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实现查阅检查项目的影像，方便医生对影像进行详细地查看及分析。</w:t>
            </w:r>
          </w:p>
        </w:tc>
      </w:tr>
      <w:tr w14:paraId="6A8FEB9F">
        <w:tblPrEx>
          <w:tblCellMar>
            <w:top w:w="0" w:type="dxa"/>
            <w:left w:w="108" w:type="dxa"/>
            <w:bottom w:w="0" w:type="dxa"/>
            <w:right w:w="108" w:type="dxa"/>
          </w:tblCellMar>
        </w:tblPrEx>
        <w:trPr>
          <w:trHeight w:val="835" w:hRule="atLeast"/>
        </w:trPr>
        <w:tc>
          <w:tcPr>
            <w:tcW w:w="1276" w:type="dxa"/>
            <w:vMerge w:val="continue"/>
            <w:tcBorders>
              <w:top w:val="nil"/>
              <w:left w:val="single" w:color="auto" w:sz="4" w:space="0"/>
              <w:bottom w:val="single" w:color="auto" w:sz="4" w:space="0"/>
              <w:right w:val="single" w:color="auto" w:sz="4" w:space="0"/>
            </w:tcBorders>
            <w:vAlign w:val="center"/>
          </w:tcPr>
          <w:p w14:paraId="27CA4745">
            <w:pPr>
              <w:widowControl/>
              <w:rPr>
                <w:rFonts w:hint="eastAsia" w:ascii="仿宋_GB2312" w:hAnsi="仿宋_GB2312" w:eastAsia="仿宋_GB2312" w:cs="仿宋_GB2312"/>
                <w:color w:val="000000"/>
                <w:sz w:val="24"/>
                <w:szCs w:val="24"/>
              </w:rPr>
            </w:pP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10FF5AE1">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3.13心电图</w:t>
            </w:r>
          </w:p>
        </w:tc>
        <w:tc>
          <w:tcPr>
            <w:tcW w:w="5103" w:type="dxa"/>
            <w:tcBorders>
              <w:top w:val="nil"/>
              <w:left w:val="nil"/>
              <w:bottom w:val="single" w:color="auto" w:sz="4" w:space="0"/>
              <w:right w:val="single" w:color="auto" w:sz="4" w:space="0"/>
            </w:tcBorders>
            <w:shd w:val="clear" w:color="auto" w:fill="auto"/>
            <w:vAlign w:val="center"/>
          </w:tcPr>
          <w:p w14:paraId="2E953821">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实现查阅患者的心电图，包括患者基本信息、检查时间、心电图结果等信息。</w:t>
            </w:r>
          </w:p>
        </w:tc>
      </w:tr>
      <w:tr w14:paraId="065227C9">
        <w:tblPrEx>
          <w:tblCellMar>
            <w:top w:w="0" w:type="dxa"/>
            <w:left w:w="108" w:type="dxa"/>
            <w:bottom w:w="0" w:type="dxa"/>
            <w:right w:w="108" w:type="dxa"/>
          </w:tblCellMar>
        </w:tblPrEx>
        <w:trPr>
          <w:trHeight w:val="565" w:hRule="atLeast"/>
        </w:trPr>
        <w:tc>
          <w:tcPr>
            <w:tcW w:w="1276" w:type="dxa"/>
            <w:vMerge w:val="continue"/>
            <w:tcBorders>
              <w:top w:val="nil"/>
              <w:left w:val="single" w:color="auto" w:sz="4" w:space="0"/>
              <w:bottom w:val="single" w:color="auto" w:sz="4" w:space="0"/>
              <w:right w:val="single" w:color="auto" w:sz="4" w:space="0"/>
            </w:tcBorders>
            <w:vAlign w:val="center"/>
          </w:tcPr>
          <w:p w14:paraId="1B117BB3">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2D9D4A4D">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22202A08">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实现查看心电图图像。</w:t>
            </w:r>
          </w:p>
        </w:tc>
      </w:tr>
      <w:tr w14:paraId="165F0A0E">
        <w:tblPrEx>
          <w:tblCellMar>
            <w:top w:w="0" w:type="dxa"/>
            <w:left w:w="108" w:type="dxa"/>
            <w:bottom w:w="0" w:type="dxa"/>
            <w:right w:w="108" w:type="dxa"/>
          </w:tblCellMar>
        </w:tblPrEx>
        <w:trPr>
          <w:trHeight w:val="545" w:hRule="atLeast"/>
        </w:trPr>
        <w:tc>
          <w:tcPr>
            <w:tcW w:w="1276" w:type="dxa"/>
            <w:vMerge w:val="continue"/>
            <w:tcBorders>
              <w:top w:val="nil"/>
              <w:left w:val="single" w:color="auto" w:sz="4" w:space="0"/>
              <w:bottom w:val="single" w:color="auto" w:sz="4" w:space="0"/>
              <w:right w:val="single" w:color="auto" w:sz="4" w:space="0"/>
            </w:tcBorders>
            <w:vAlign w:val="center"/>
          </w:tcPr>
          <w:p w14:paraId="6F2BEC0C">
            <w:pPr>
              <w:widowControl/>
              <w:rPr>
                <w:rFonts w:hint="eastAsia" w:ascii="仿宋_GB2312" w:hAnsi="仿宋_GB2312" w:eastAsia="仿宋_GB2312" w:cs="仿宋_GB2312"/>
                <w:color w:val="000000"/>
                <w:sz w:val="24"/>
                <w:szCs w:val="24"/>
              </w:rPr>
            </w:pP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7DA936A0">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3.14病理</w:t>
            </w:r>
          </w:p>
        </w:tc>
        <w:tc>
          <w:tcPr>
            <w:tcW w:w="5103" w:type="dxa"/>
            <w:tcBorders>
              <w:top w:val="nil"/>
              <w:left w:val="nil"/>
              <w:bottom w:val="single" w:color="auto" w:sz="4" w:space="0"/>
              <w:right w:val="single" w:color="auto" w:sz="4" w:space="0"/>
            </w:tcBorders>
            <w:shd w:val="clear" w:color="auto" w:fill="auto"/>
            <w:vAlign w:val="center"/>
          </w:tcPr>
          <w:p w14:paraId="431D6F91">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实现查看病理报告。</w:t>
            </w:r>
          </w:p>
        </w:tc>
      </w:tr>
      <w:tr w14:paraId="550B9421">
        <w:tblPrEx>
          <w:tblCellMar>
            <w:top w:w="0" w:type="dxa"/>
            <w:left w:w="108" w:type="dxa"/>
            <w:bottom w:w="0" w:type="dxa"/>
            <w:right w:w="108" w:type="dxa"/>
          </w:tblCellMar>
        </w:tblPrEx>
        <w:trPr>
          <w:trHeight w:val="850" w:hRule="atLeast"/>
        </w:trPr>
        <w:tc>
          <w:tcPr>
            <w:tcW w:w="1276" w:type="dxa"/>
            <w:vMerge w:val="continue"/>
            <w:tcBorders>
              <w:top w:val="nil"/>
              <w:left w:val="single" w:color="auto" w:sz="4" w:space="0"/>
              <w:bottom w:val="single" w:color="auto" w:sz="4" w:space="0"/>
              <w:right w:val="single" w:color="auto" w:sz="4" w:space="0"/>
            </w:tcBorders>
            <w:vAlign w:val="center"/>
          </w:tcPr>
          <w:p w14:paraId="47207E73">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73CA354D">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1C39230C">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实现查阅患者的病理报告详情，包括患者基本信息、检查科室、报告医生、图像及病理诊断等。</w:t>
            </w:r>
          </w:p>
        </w:tc>
      </w:tr>
      <w:tr w14:paraId="6EAF0807">
        <w:tblPrEx>
          <w:tblCellMar>
            <w:top w:w="0" w:type="dxa"/>
            <w:left w:w="108" w:type="dxa"/>
            <w:bottom w:w="0" w:type="dxa"/>
            <w:right w:w="108" w:type="dxa"/>
          </w:tblCellMar>
        </w:tblPrEx>
        <w:trPr>
          <w:trHeight w:val="1259" w:hRule="atLeast"/>
        </w:trPr>
        <w:tc>
          <w:tcPr>
            <w:tcW w:w="1276" w:type="dxa"/>
            <w:vMerge w:val="continue"/>
            <w:tcBorders>
              <w:top w:val="nil"/>
              <w:left w:val="single" w:color="auto" w:sz="4" w:space="0"/>
              <w:bottom w:val="single" w:color="auto" w:sz="4" w:space="0"/>
              <w:right w:val="single" w:color="auto" w:sz="4" w:space="0"/>
            </w:tcBorders>
            <w:vAlign w:val="center"/>
          </w:tcPr>
          <w:p w14:paraId="1956BCA7">
            <w:pPr>
              <w:widowControl/>
              <w:rPr>
                <w:rFonts w:hint="eastAsia" w:ascii="仿宋_GB2312" w:hAnsi="仿宋_GB2312" w:eastAsia="仿宋_GB2312" w:cs="仿宋_GB2312"/>
                <w:color w:val="000000"/>
                <w:sz w:val="24"/>
                <w:szCs w:val="24"/>
              </w:rPr>
            </w:pPr>
          </w:p>
        </w:tc>
        <w:tc>
          <w:tcPr>
            <w:tcW w:w="1701" w:type="dxa"/>
            <w:tcBorders>
              <w:top w:val="nil"/>
              <w:left w:val="nil"/>
              <w:bottom w:val="single" w:color="auto" w:sz="4" w:space="0"/>
              <w:right w:val="single" w:color="auto" w:sz="4" w:space="0"/>
            </w:tcBorders>
            <w:shd w:val="clear" w:color="auto" w:fill="auto"/>
            <w:vAlign w:val="center"/>
          </w:tcPr>
          <w:p w14:paraId="6087C388">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3.15手术</w:t>
            </w:r>
          </w:p>
        </w:tc>
        <w:tc>
          <w:tcPr>
            <w:tcW w:w="5103" w:type="dxa"/>
            <w:tcBorders>
              <w:top w:val="nil"/>
              <w:left w:val="nil"/>
              <w:bottom w:val="single" w:color="auto" w:sz="4" w:space="0"/>
              <w:right w:val="single" w:color="auto" w:sz="4" w:space="0"/>
            </w:tcBorders>
            <w:shd w:val="clear" w:color="auto" w:fill="auto"/>
            <w:vAlign w:val="center"/>
          </w:tcPr>
          <w:p w14:paraId="497A60E6">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实现查阅患者的手术记录，包括患者基本信息、手术安排、手术名称、麻醉方式、术前诊断、开始时间、结束时间等详细数据。</w:t>
            </w:r>
          </w:p>
        </w:tc>
      </w:tr>
      <w:tr w14:paraId="78E709EC">
        <w:tblPrEx>
          <w:tblCellMar>
            <w:top w:w="0" w:type="dxa"/>
            <w:left w:w="108" w:type="dxa"/>
            <w:bottom w:w="0" w:type="dxa"/>
            <w:right w:w="108" w:type="dxa"/>
          </w:tblCellMar>
        </w:tblPrEx>
        <w:trPr>
          <w:trHeight w:val="1121" w:hRule="atLeast"/>
        </w:trPr>
        <w:tc>
          <w:tcPr>
            <w:tcW w:w="1276" w:type="dxa"/>
            <w:vMerge w:val="continue"/>
            <w:tcBorders>
              <w:top w:val="nil"/>
              <w:left w:val="single" w:color="auto" w:sz="4" w:space="0"/>
              <w:bottom w:val="single" w:color="auto" w:sz="4" w:space="0"/>
              <w:right w:val="single" w:color="auto" w:sz="4" w:space="0"/>
            </w:tcBorders>
            <w:vAlign w:val="center"/>
          </w:tcPr>
          <w:p w14:paraId="03607D8E">
            <w:pPr>
              <w:widowControl/>
              <w:rPr>
                <w:rFonts w:hint="eastAsia" w:ascii="仿宋_GB2312" w:hAnsi="仿宋_GB2312" w:eastAsia="仿宋_GB2312" w:cs="仿宋_GB2312"/>
                <w:color w:val="000000"/>
                <w:sz w:val="24"/>
                <w:szCs w:val="24"/>
              </w:rPr>
            </w:pP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74C28C86">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3.16护理</w:t>
            </w:r>
          </w:p>
        </w:tc>
        <w:tc>
          <w:tcPr>
            <w:tcW w:w="5103" w:type="dxa"/>
            <w:tcBorders>
              <w:top w:val="nil"/>
              <w:left w:val="nil"/>
              <w:bottom w:val="single" w:color="auto" w:sz="4" w:space="0"/>
              <w:right w:val="single" w:color="auto" w:sz="4" w:space="0"/>
            </w:tcBorders>
            <w:shd w:val="clear" w:color="auto" w:fill="auto"/>
            <w:vAlign w:val="center"/>
          </w:tcPr>
          <w:p w14:paraId="1F4F5E38">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实现查阅患者的护理记录，按照护理时间排序，包括护理时间、记录人、脉搏、心率、呼吸、血压、体温、措施等信息。</w:t>
            </w:r>
          </w:p>
        </w:tc>
      </w:tr>
      <w:tr w14:paraId="72279538">
        <w:tblPrEx>
          <w:tblCellMar>
            <w:top w:w="0" w:type="dxa"/>
            <w:left w:w="108" w:type="dxa"/>
            <w:bottom w:w="0" w:type="dxa"/>
            <w:right w:w="108" w:type="dxa"/>
          </w:tblCellMar>
        </w:tblPrEx>
        <w:trPr>
          <w:trHeight w:val="839" w:hRule="atLeast"/>
        </w:trPr>
        <w:tc>
          <w:tcPr>
            <w:tcW w:w="1276" w:type="dxa"/>
            <w:vMerge w:val="continue"/>
            <w:tcBorders>
              <w:top w:val="nil"/>
              <w:left w:val="single" w:color="auto" w:sz="4" w:space="0"/>
              <w:bottom w:val="single" w:color="auto" w:sz="4" w:space="0"/>
              <w:right w:val="single" w:color="auto" w:sz="4" w:space="0"/>
            </w:tcBorders>
            <w:vAlign w:val="center"/>
          </w:tcPr>
          <w:p w14:paraId="5B056A1C">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2817C491">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18CDE394">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查阅数据时在筛选时间范围内查看折线图或柱状图，可自由拖动时间轴选择相应的时间范围。</w:t>
            </w:r>
          </w:p>
        </w:tc>
      </w:tr>
      <w:tr w14:paraId="4068EC30">
        <w:tblPrEx>
          <w:tblCellMar>
            <w:top w:w="0" w:type="dxa"/>
            <w:left w:w="108" w:type="dxa"/>
            <w:bottom w:w="0" w:type="dxa"/>
            <w:right w:w="108" w:type="dxa"/>
          </w:tblCellMar>
        </w:tblPrEx>
        <w:trPr>
          <w:trHeight w:val="1121" w:hRule="atLeast"/>
        </w:trPr>
        <w:tc>
          <w:tcPr>
            <w:tcW w:w="1276" w:type="dxa"/>
            <w:vMerge w:val="continue"/>
            <w:tcBorders>
              <w:top w:val="nil"/>
              <w:left w:val="single" w:color="auto" w:sz="4" w:space="0"/>
              <w:bottom w:val="single" w:color="auto" w:sz="4" w:space="0"/>
              <w:right w:val="single" w:color="auto" w:sz="4" w:space="0"/>
            </w:tcBorders>
            <w:vAlign w:val="center"/>
          </w:tcPr>
          <w:p w14:paraId="678FE687">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191B0E77">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045ED6DF">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实现显示患者生命体征，默认显示当前患者全部的生命体征趋势图，趋势图中显示所筛选时间范围内的生命体征。</w:t>
            </w:r>
          </w:p>
        </w:tc>
      </w:tr>
      <w:tr w14:paraId="1C807ADF">
        <w:tblPrEx>
          <w:tblCellMar>
            <w:top w:w="0" w:type="dxa"/>
            <w:left w:w="108" w:type="dxa"/>
            <w:bottom w:w="0" w:type="dxa"/>
            <w:right w:w="108" w:type="dxa"/>
          </w:tblCellMar>
        </w:tblPrEx>
        <w:trPr>
          <w:trHeight w:val="570" w:hRule="atLeast"/>
        </w:trPr>
        <w:tc>
          <w:tcPr>
            <w:tcW w:w="1276" w:type="dxa"/>
            <w:vMerge w:val="continue"/>
            <w:tcBorders>
              <w:top w:val="nil"/>
              <w:left w:val="single" w:color="auto" w:sz="4" w:space="0"/>
              <w:bottom w:val="single" w:color="auto" w:sz="4" w:space="0"/>
              <w:right w:val="single" w:color="auto" w:sz="4" w:space="0"/>
            </w:tcBorders>
            <w:vAlign w:val="center"/>
          </w:tcPr>
          <w:p w14:paraId="1B8C1583">
            <w:pPr>
              <w:widowControl/>
              <w:rPr>
                <w:rFonts w:hint="eastAsia" w:ascii="仿宋_GB2312" w:hAnsi="仿宋_GB2312" w:eastAsia="仿宋_GB2312" w:cs="仿宋_GB2312"/>
                <w:color w:val="000000"/>
                <w:sz w:val="24"/>
                <w:szCs w:val="24"/>
              </w:rPr>
            </w:pP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37F6E93F">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3.17会诊</w:t>
            </w:r>
          </w:p>
        </w:tc>
        <w:tc>
          <w:tcPr>
            <w:tcW w:w="5103" w:type="dxa"/>
            <w:tcBorders>
              <w:top w:val="nil"/>
              <w:left w:val="nil"/>
              <w:bottom w:val="single" w:color="auto" w:sz="4" w:space="0"/>
              <w:right w:val="single" w:color="auto" w:sz="4" w:space="0"/>
            </w:tcBorders>
            <w:shd w:val="clear" w:color="auto" w:fill="auto"/>
            <w:vAlign w:val="center"/>
          </w:tcPr>
          <w:p w14:paraId="06077416">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实现查询患者的会诊记录。</w:t>
            </w:r>
          </w:p>
        </w:tc>
      </w:tr>
      <w:tr w14:paraId="5098140F">
        <w:tblPrEx>
          <w:tblCellMar>
            <w:top w:w="0" w:type="dxa"/>
            <w:left w:w="108" w:type="dxa"/>
            <w:bottom w:w="0" w:type="dxa"/>
            <w:right w:w="108" w:type="dxa"/>
          </w:tblCellMar>
        </w:tblPrEx>
        <w:trPr>
          <w:trHeight w:val="624" w:hRule="atLeast"/>
        </w:trPr>
        <w:tc>
          <w:tcPr>
            <w:tcW w:w="1276" w:type="dxa"/>
            <w:vMerge w:val="continue"/>
            <w:tcBorders>
              <w:top w:val="nil"/>
              <w:left w:val="single" w:color="auto" w:sz="4" w:space="0"/>
              <w:bottom w:val="single" w:color="auto" w:sz="4" w:space="0"/>
              <w:right w:val="single" w:color="auto" w:sz="4" w:space="0"/>
            </w:tcBorders>
            <w:vAlign w:val="center"/>
          </w:tcPr>
          <w:p w14:paraId="2C160FF9">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0CA7FFC7">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70164487">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用户可根据所需日期进行筛选。</w:t>
            </w:r>
          </w:p>
        </w:tc>
      </w:tr>
      <w:tr w14:paraId="77971C43">
        <w:tblPrEx>
          <w:tblCellMar>
            <w:top w:w="0" w:type="dxa"/>
            <w:left w:w="108" w:type="dxa"/>
            <w:bottom w:w="0" w:type="dxa"/>
            <w:right w:w="108" w:type="dxa"/>
          </w:tblCellMar>
        </w:tblPrEx>
        <w:trPr>
          <w:trHeight w:val="841" w:hRule="atLeast"/>
        </w:trPr>
        <w:tc>
          <w:tcPr>
            <w:tcW w:w="1276" w:type="dxa"/>
            <w:vMerge w:val="continue"/>
            <w:tcBorders>
              <w:top w:val="nil"/>
              <w:left w:val="single" w:color="auto" w:sz="4" w:space="0"/>
              <w:bottom w:val="single" w:color="auto" w:sz="4" w:space="0"/>
              <w:right w:val="single" w:color="auto" w:sz="4" w:space="0"/>
            </w:tcBorders>
            <w:vAlign w:val="center"/>
          </w:tcPr>
          <w:p w14:paraId="2F9BA93A">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6CB2FBB3">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2BAFF20A">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查看此次就诊的会诊列表中某一条会诊记录的详细信息，详细信息包括患者基本信息，病情摘要、会诊目的，主要诊断，会诊状态等；实现录入会诊意见。</w:t>
            </w:r>
          </w:p>
        </w:tc>
      </w:tr>
      <w:tr w14:paraId="2DBBD330">
        <w:tblPrEx>
          <w:tblCellMar>
            <w:top w:w="0" w:type="dxa"/>
            <w:left w:w="108" w:type="dxa"/>
            <w:bottom w:w="0" w:type="dxa"/>
            <w:right w:w="108" w:type="dxa"/>
          </w:tblCellMar>
        </w:tblPrEx>
        <w:trPr>
          <w:trHeight w:val="581" w:hRule="atLeast"/>
        </w:trPr>
        <w:tc>
          <w:tcPr>
            <w:tcW w:w="1276" w:type="dxa"/>
            <w:vMerge w:val="continue"/>
            <w:tcBorders>
              <w:top w:val="nil"/>
              <w:left w:val="single" w:color="auto" w:sz="4" w:space="0"/>
              <w:bottom w:val="single" w:color="auto" w:sz="4" w:space="0"/>
              <w:right w:val="single" w:color="auto" w:sz="4" w:space="0"/>
            </w:tcBorders>
            <w:vAlign w:val="center"/>
          </w:tcPr>
          <w:p w14:paraId="44AA9E0F">
            <w:pPr>
              <w:widowControl/>
              <w:rPr>
                <w:rFonts w:hint="eastAsia" w:ascii="仿宋_GB2312" w:hAnsi="仿宋_GB2312" w:eastAsia="仿宋_GB2312" w:cs="仿宋_GB2312"/>
                <w:color w:val="000000"/>
                <w:sz w:val="24"/>
                <w:szCs w:val="24"/>
              </w:rPr>
            </w:pP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35F9F5AC">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3.18危急值</w:t>
            </w:r>
          </w:p>
        </w:tc>
        <w:tc>
          <w:tcPr>
            <w:tcW w:w="5103" w:type="dxa"/>
            <w:tcBorders>
              <w:top w:val="nil"/>
              <w:left w:val="nil"/>
              <w:bottom w:val="single" w:color="auto" w:sz="4" w:space="0"/>
              <w:right w:val="single" w:color="auto" w:sz="4" w:space="0"/>
            </w:tcBorders>
            <w:shd w:val="clear" w:color="auto" w:fill="auto"/>
            <w:vAlign w:val="center"/>
          </w:tcPr>
          <w:p w14:paraId="080CA189">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实现查询患者的危急值。实现危急值提醒。</w:t>
            </w:r>
          </w:p>
        </w:tc>
      </w:tr>
      <w:tr w14:paraId="2C44A4AF">
        <w:tblPrEx>
          <w:tblCellMar>
            <w:top w:w="0" w:type="dxa"/>
            <w:left w:w="108" w:type="dxa"/>
            <w:bottom w:w="0" w:type="dxa"/>
            <w:right w:w="108" w:type="dxa"/>
          </w:tblCellMar>
        </w:tblPrEx>
        <w:trPr>
          <w:trHeight w:val="624" w:hRule="atLeast"/>
        </w:trPr>
        <w:tc>
          <w:tcPr>
            <w:tcW w:w="1276" w:type="dxa"/>
            <w:vMerge w:val="continue"/>
            <w:tcBorders>
              <w:top w:val="nil"/>
              <w:left w:val="single" w:color="auto" w:sz="4" w:space="0"/>
              <w:bottom w:val="single" w:color="auto" w:sz="4" w:space="0"/>
              <w:right w:val="single" w:color="auto" w:sz="4" w:space="0"/>
            </w:tcBorders>
            <w:vAlign w:val="center"/>
          </w:tcPr>
          <w:p w14:paraId="4BBB4B5A">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14E0B8DB">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03BEA274">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用户可根据所需日期进行筛选。</w:t>
            </w:r>
          </w:p>
        </w:tc>
      </w:tr>
      <w:tr w14:paraId="1F991C16">
        <w:tblPrEx>
          <w:tblCellMar>
            <w:top w:w="0" w:type="dxa"/>
            <w:left w:w="108" w:type="dxa"/>
            <w:bottom w:w="0" w:type="dxa"/>
            <w:right w:w="108" w:type="dxa"/>
          </w:tblCellMar>
        </w:tblPrEx>
        <w:trPr>
          <w:trHeight w:val="896" w:hRule="atLeast"/>
        </w:trPr>
        <w:tc>
          <w:tcPr>
            <w:tcW w:w="1276" w:type="dxa"/>
            <w:vMerge w:val="continue"/>
            <w:tcBorders>
              <w:top w:val="nil"/>
              <w:left w:val="single" w:color="auto" w:sz="4" w:space="0"/>
              <w:bottom w:val="single" w:color="auto" w:sz="4" w:space="0"/>
              <w:right w:val="single" w:color="auto" w:sz="4" w:space="0"/>
            </w:tcBorders>
            <w:vAlign w:val="center"/>
          </w:tcPr>
          <w:p w14:paraId="2D36909B">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534AFE0A">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71E70F73">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实现医生按照所需日期查看有危急值的病人列表。</w:t>
            </w:r>
          </w:p>
        </w:tc>
      </w:tr>
      <w:tr w14:paraId="5BA8FD45">
        <w:tblPrEx>
          <w:tblCellMar>
            <w:top w:w="0" w:type="dxa"/>
            <w:left w:w="108" w:type="dxa"/>
            <w:bottom w:w="0" w:type="dxa"/>
            <w:right w:w="108" w:type="dxa"/>
          </w:tblCellMar>
        </w:tblPrEx>
        <w:trPr>
          <w:trHeight w:val="852" w:hRule="atLeast"/>
        </w:trPr>
        <w:tc>
          <w:tcPr>
            <w:tcW w:w="1276" w:type="dxa"/>
            <w:vMerge w:val="continue"/>
            <w:tcBorders>
              <w:top w:val="nil"/>
              <w:left w:val="single" w:color="auto" w:sz="4" w:space="0"/>
              <w:bottom w:val="single" w:color="auto" w:sz="4" w:space="0"/>
              <w:right w:val="single" w:color="auto" w:sz="4" w:space="0"/>
            </w:tcBorders>
            <w:vAlign w:val="center"/>
          </w:tcPr>
          <w:p w14:paraId="5CE6FBE1">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505B93BA">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1A4D0279">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点击危急值的某条数据之后可查看此次危急值的详情信息。</w:t>
            </w:r>
          </w:p>
        </w:tc>
      </w:tr>
      <w:tr w14:paraId="2595E98B">
        <w:tblPrEx>
          <w:tblCellMar>
            <w:top w:w="0" w:type="dxa"/>
            <w:left w:w="108" w:type="dxa"/>
            <w:bottom w:w="0" w:type="dxa"/>
            <w:right w:w="108" w:type="dxa"/>
          </w:tblCellMar>
        </w:tblPrEx>
        <w:trPr>
          <w:trHeight w:val="835" w:hRule="atLeast"/>
        </w:trPr>
        <w:tc>
          <w:tcPr>
            <w:tcW w:w="1276" w:type="dxa"/>
            <w:vMerge w:val="continue"/>
            <w:tcBorders>
              <w:top w:val="nil"/>
              <w:left w:val="single" w:color="auto" w:sz="4" w:space="0"/>
              <w:bottom w:val="single" w:color="auto" w:sz="4" w:space="0"/>
              <w:right w:val="single" w:color="auto" w:sz="4" w:space="0"/>
            </w:tcBorders>
            <w:vAlign w:val="center"/>
          </w:tcPr>
          <w:p w14:paraId="5CCCCEA4">
            <w:pPr>
              <w:widowControl/>
              <w:rPr>
                <w:rFonts w:hint="eastAsia" w:ascii="仿宋_GB2312" w:hAnsi="仿宋_GB2312" w:eastAsia="仿宋_GB2312" w:cs="仿宋_GB2312"/>
                <w:color w:val="000000"/>
                <w:sz w:val="24"/>
                <w:szCs w:val="24"/>
              </w:rPr>
            </w:pP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3E20317D">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3.19收藏</w:t>
            </w:r>
          </w:p>
        </w:tc>
        <w:tc>
          <w:tcPr>
            <w:tcW w:w="5103" w:type="dxa"/>
            <w:tcBorders>
              <w:top w:val="nil"/>
              <w:left w:val="nil"/>
              <w:bottom w:val="single" w:color="auto" w:sz="4" w:space="0"/>
              <w:right w:val="single" w:color="auto" w:sz="4" w:space="0"/>
            </w:tcBorders>
            <w:shd w:val="clear" w:color="auto" w:fill="auto"/>
            <w:vAlign w:val="center"/>
          </w:tcPr>
          <w:p w14:paraId="07A64640">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实现收藏患者功能，医生对特殊患者或需要频繁查看患者信息时，选择收藏进行重点关注。</w:t>
            </w:r>
          </w:p>
        </w:tc>
      </w:tr>
      <w:tr w14:paraId="4FB17801">
        <w:tblPrEx>
          <w:tblCellMar>
            <w:top w:w="0" w:type="dxa"/>
            <w:left w:w="108" w:type="dxa"/>
            <w:bottom w:w="0" w:type="dxa"/>
            <w:right w:w="108" w:type="dxa"/>
          </w:tblCellMar>
        </w:tblPrEx>
        <w:trPr>
          <w:trHeight w:val="1131" w:hRule="atLeast"/>
        </w:trPr>
        <w:tc>
          <w:tcPr>
            <w:tcW w:w="1276" w:type="dxa"/>
            <w:vMerge w:val="continue"/>
            <w:tcBorders>
              <w:top w:val="nil"/>
              <w:left w:val="single" w:color="auto" w:sz="4" w:space="0"/>
              <w:bottom w:val="single" w:color="auto" w:sz="4" w:space="0"/>
              <w:right w:val="single" w:color="auto" w:sz="4" w:space="0"/>
            </w:tcBorders>
            <w:vAlign w:val="center"/>
          </w:tcPr>
          <w:p w14:paraId="2786F059">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691CFE1D">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31340B52">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再次查阅该患者信息时只需要点击“我的”即可快速找到该患者，快速调阅关注患者的检验、检查、病历等各类信息。</w:t>
            </w:r>
          </w:p>
        </w:tc>
      </w:tr>
      <w:tr w14:paraId="31DE9BD2">
        <w:tblPrEx>
          <w:tblCellMar>
            <w:top w:w="0" w:type="dxa"/>
            <w:left w:w="108" w:type="dxa"/>
            <w:bottom w:w="0" w:type="dxa"/>
            <w:right w:w="108" w:type="dxa"/>
          </w:tblCellMar>
        </w:tblPrEx>
        <w:trPr>
          <w:trHeight w:val="836" w:hRule="atLeast"/>
        </w:trPr>
        <w:tc>
          <w:tcPr>
            <w:tcW w:w="1276" w:type="dxa"/>
            <w:vMerge w:val="continue"/>
            <w:tcBorders>
              <w:top w:val="nil"/>
              <w:left w:val="single" w:color="auto" w:sz="4" w:space="0"/>
              <w:bottom w:val="single" w:color="auto" w:sz="4" w:space="0"/>
              <w:right w:val="single" w:color="auto" w:sz="4" w:space="0"/>
            </w:tcBorders>
            <w:vAlign w:val="center"/>
          </w:tcPr>
          <w:p w14:paraId="4663A4D6">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6E463A90">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4E5A51B5">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不再对该患者进行重点关注或频繁查阅信息时，选择取消收藏该患者。</w:t>
            </w:r>
          </w:p>
        </w:tc>
      </w:tr>
      <w:tr w14:paraId="64AA50E7">
        <w:tblPrEx>
          <w:tblCellMar>
            <w:top w:w="0" w:type="dxa"/>
            <w:left w:w="108" w:type="dxa"/>
            <w:bottom w:w="0" w:type="dxa"/>
            <w:right w:w="108" w:type="dxa"/>
          </w:tblCellMar>
        </w:tblPrEx>
        <w:trPr>
          <w:trHeight w:val="1131" w:hRule="atLeast"/>
        </w:trPr>
        <w:tc>
          <w:tcPr>
            <w:tcW w:w="1276" w:type="dxa"/>
            <w:tcBorders>
              <w:top w:val="nil"/>
              <w:left w:val="single" w:color="auto" w:sz="4" w:space="0"/>
              <w:bottom w:val="single" w:color="auto" w:sz="4" w:space="0"/>
              <w:right w:val="single" w:color="auto" w:sz="4" w:space="0"/>
            </w:tcBorders>
            <w:shd w:val="clear" w:color="auto" w:fill="auto"/>
            <w:vAlign w:val="center"/>
          </w:tcPr>
          <w:p w14:paraId="294E631B">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4、全院患者</w:t>
            </w:r>
          </w:p>
        </w:tc>
        <w:tc>
          <w:tcPr>
            <w:tcW w:w="1701" w:type="dxa"/>
            <w:tcBorders>
              <w:top w:val="nil"/>
              <w:left w:val="nil"/>
              <w:bottom w:val="single" w:color="auto" w:sz="4" w:space="0"/>
              <w:right w:val="single" w:color="auto" w:sz="4" w:space="0"/>
            </w:tcBorders>
            <w:shd w:val="clear" w:color="auto" w:fill="auto"/>
            <w:vAlign w:val="center"/>
          </w:tcPr>
          <w:p w14:paraId="5F0A0548">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4.1全院患者入口</w:t>
            </w:r>
          </w:p>
        </w:tc>
        <w:tc>
          <w:tcPr>
            <w:tcW w:w="5103" w:type="dxa"/>
            <w:tcBorders>
              <w:top w:val="nil"/>
              <w:left w:val="nil"/>
              <w:bottom w:val="single" w:color="auto" w:sz="4" w:space="0"/>
              <w:right w:val="single" w:color="auto" w:sz="4" w:space="0"/>
            </w:tcBorders>
            <w:shd w:val="clear" w:color="auto" w:fill="auto"/>
            <w:vAlign w:val="center"/>
          </w:tcPr>
          <w:p w14:paraId="7E5465D4">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实现点击查看当前所有在院患者的信息，严格进行权限控制，只允许具有该权限的用户进行查询操作。</w:t>
            </w:r>
          </w:p>
        </w:tc>
      </w:tr>
      <w:tr w14:paraId="450126A5">
        <w:tblPrEx>
          <w:tblCellMar>
            <w:top w:w="0" w:type="dxa"/>
            <w:left w:w="108" w:type="dxa"/>
            <w:bottom w:w="0" w:type="dxa"/>
            <w:right w:w="108" w:type="dxa"/>
          </w:tblCellMar>
        </w:tblPrEx>
        <w:trPr>
          <w:trHeight w:val="1544" w:hRule="atLeast"/>
        </w:trPr>
        <w:tc>
          <w:tcPr>
            <w:tcW w:w="1276" w:type="dxa"/>
            <w:vMerge w:val="restart"/>
            <w:tcBorders>
              <w:top w:val="nil"/>
              <w:left w:val="single" w:color="auto" w:sz="4" w:space="0"/>
              <w:bottom w:val="single" w:color="auto" w:sz="4" w:space="0"/>
              <w:right w:val="single" w:color="auto" w:sz="4" w:space="0"/>
            </w:tcBorders>
            <w:shd w:val="clear" w:color="auto" w:fill="auto"/>
            <w:vAlign w:val="center"/>
          </w:tcPr>
          <w:p w14:paraId="05F08248">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5、患者管理</w:t>
            </w: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1EDD5462">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5.1我的患者</w:t>
            </w:r>
          </w:p>
        </w:tc>
        <w:tc>
          <w:tcPr>
            <w:tcW w:w="5103" w:type="dxa"/>
            <w:tcBorders>
              <w:top w:val="nil"/>
              <w:left w:val="nil"/>
              <w:bottom w:val="single" w:color="auto" w:sz="4" w:space="0"/>
              <w:right w:val="single" w:color="auto" w:sz="4" w:space="0"/>
            </w:tcBorders>
            <w:shd w:val="clear" w:color="auto" w:fill="auto"/>
            <w:vAlign w:val="center"/>
          </w:tcPr>
          <w:p w14:paraId="67A7115D">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默认展现该医生分管的所有患者信息，按照住院号或床位号等方式进行排序，列表页显示每一位患者的基本信息，如性别，姓名，住院号，床位号，年龄，诊断，病情，护理等级等。</w:t>
            </w:r>
          </w:p>
        </w:tc>
      </w:tr>
      <w:tr w14:paraId="1B605B5C">
        <w:tblPrEx>
          <w:tblCellMar>
            <w:top w:w="0" w:type="dxa"/>
            <w:left w:w="108" w:type="dxa"/>
            <w:bottom w:w="0" w:type="dxa"/>
            <w:right w:w="108" w:type="dxa"/>
          </w:tblCellMar>
        </w:tblPrEx>
        <w:trPr>
          <w:trHeight w:val="844" w:hRule="atLeast"/>
        </w:trPr>
        <w:tc>
          <w:tcPr>
            <w:tcW w:w="1276" w:type="dxa"/>
            <w:vMerge w:val="continue"/>
            <w:tcBorders>
              <w:top w:val="nil"/>
              <w:left w:val="single" w:color="auto" w:sz="4" w:space="0"/>
              <w:bottom w:val="single" w:color="auto" w:sz="4" w:space="0"/>
              <w:right w:val="single" w:color="auto" w:sz="4" w:space="0"/>
            </w:tcBorders>
            <w:vAlign w:val="center"/>
          </w:tcPr>
          <w:p w14:paraId="65B8F1DC">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0FD8BC20">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280F9CA5">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患者详情页，展现患者的所有信息，如基础信息、诊断信息、手术信息、住院信息等。</w:t>
            </w:r>
          </w:p>
        </w:tc>
      </w:tr>
      <w:tr w14:paraId="226F65F8">
        <w:tblPrEx>
          <w:tblCellMar>
            <w:top w:w="0" w:type="dxa"/>
            <w:left w:w="108" w:type="dxa"/>
            <w:bottom w:w="0" w:type="dxa"/>
            <w:right w:w="108" w:type="dxa"/>
          </w:tblCellMar>
        </w:tblPrEx>
        <w:trPr>
          <w:trHeight w:val="827" w:hRule="atLeast"/>
        </w:trPr>
        <w:tc>
          <w:tcPr>
            <w:tcW w:w="1276" w:type="dxa"/>
            <w:vMerge w:val="continue"/>
            <w:tcBorders>
              <w:top w:val="nil"/>
              <w:left w:val="single" w:color="auto" w:sz="4" w:space="0"/>
              <w:bottom w:val="single" w:color="auto" w:sz="4" w:space="0"/>
              <w:right w:val="single" w:color="auto" w:sz="4" w:space="0"/>
            </w:tcBorders>
            <w:vAlign w:val="center"/>
          </w:tcPr>
          <w:p w14:paraId="580EE282">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506DF172">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0FA6E838">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患者详情页，展现该患者病历，医嘱，检验，检查，护理记录，病案首页，费用详情查询。</w:t>
            </w:r>
          </w:p>
        </w:tc>
      </w:tr>
      <w:tr w14:paraId="2CBCD087">
        <w:tblPrEx>
          <w:tblCellMar>
            <w:top w:w="0" w:type="dxa"/>
            <w:left w:w="108" w:type="dxa"/>
            <w:bottom w:w="0" w:type="dxa"/>
            <w:right w:w="108" w:type="dxa"/>
          </w:tblCellMar>
        </w:tblPrEx>
        <w:trPr>
          <w:trHeight w:val="854" w:hRule="atLeast"/>
        </w:trPr>
        <w:tc>
          <w:tcPr>
            <w:tcW w:w="1276" w:type="dxa"/>
            <w:vMerge w:val="continue"/>
            <w:tcBorders>
              <w:top w:val="nil"/>
              <w:left w:val="single" w:color="auto" w:sz="4" w:space="0"/>
              <w:bottom w:val="single" w:color="auto" w:sz="4" w:space="0"/>
              <w:right w:val="single" w:color="auto" w:sz="4" w:space="0"/>
            </w:tcBorders>
            <w:vAlign w:val="center"/>
          </w:tcPr>
          <w:p w14:paraId="6C046E00">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57A5A180">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22F3A72E">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我的患者里，展现该账号管床的所有未出院患者。</w:t>
            </w:r>
          </w:p>
        </w:tc>
      </w:tr>
      <w:tr w14:paraId="506FC6A0">
        <w:tblPrEx>
          <w:tblCellMar>
            <w:top w:w="0" w:type="dxa"/>
            <w:left w:w="108" w:type="dxa"/>
            <w:bottom w:w="0" w:type="dxa"/>
            <w:right w:w="108" w:type="dxa"/>
          </w:tblCellMar>
        </w:tblPrEx>
        <w:trPr>
          <w:trHeight w:val="936" w:hRule="atLeast"/>
        </w:trPr>
        <w:tc>
          <w:tcPr>
            <w:tcW w:w="1276" w:type="dxa"/>
            <w:vMerge w:val="continue"/>
            <w:tcBorders>
              <w:top w:val="nil"/>
              <w:left w:val="single" w:color="auto" w:sz="4" w:space="0"/>
              <w:bottom w:val="single" w:color="auto" w:sz="4" w:space="0"/>
              <w:right w:val="single" w:color="auto" w:sz="4" w:space="0"/>
            </w:tcBorders>
            <w:vAlign w:val="center"/>
          </w:tcPr>
          <w:p w14:paraId="5D166F8C">
            <w:pPr>
              <w:widowControl/>
              <w:rPr>
                <w:rFonts w:hint="eastAsia" w:ascii="仿宋_GB2312" w:hAnsi="仿宋_GB2312" w:eastAsia="仿宋_GB2312" w:cs="仿宋_GB2312"/>
                <w:color w:val="000000"/>
                <w:sz w:val="24"/>
                <w:szCs w:val="24"/>
              </w:rPr>
            </w:pP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4BBFC61C">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5.2科室患者</w:t>
            </w:r>
          </w:p>
        </w:tc>
        <w:tc>
          <w:tcPr>
            <w:tcW w:w="5103" w:type="dxa"/>
            <w:tcBorders>
              <w:top w:val="nil"/>
              <w:left w:val="nil"/>
              <w:bottom w:val="single" w:color="auto" w:sz="4" w:space="0"/>
              <w:right w:val="single" w:color="auto" w:sz="4" w:space="0"/>
            </w:tcBorders>
            <w:shd w:val="clear" w:color="auto" w:fill="auto"/>
            <w:vAlign w:val="center"/>
          </w:tcPr>
          <w:p w14:paraId="2B49FBF1">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默认展现本科室（或权限范围内所有科室）的目前所有在院患者。</w:t>
            </w:r>
          </w:p>
        </w:tc>
      </w:tr>
      <w:tr w14:paraId="53B231F3">
        <w:tblPrEx>
          <w:tblCellMar>
            <w:top w:w="0" w:type="dxa"/>
            <w:left w:w="108" w:type="dxa"/>
            <w:bottom w:w="0" w:type="dxa"/>
            <w:right w:w="108" w:type="dxa"/>
          </w:tblCellMar>
        </w:tblPrEx>
        <w:trPr>
          <w:trHeight w:val="833" w:hRule="atLeast"/>
        </w:trPr>
        <w:tc>
          <w:tcPr>
            <w:tcW w:w="1276" w:type="dxa"/>
            <w:vMerge w:val="continue"/>
            <w:tcBorders>
              <w:top w:val="nil"/>
              <w:left w:val="single" w:color="auto" w:sz="4" w:space="0"/>
              <w:bottom w:val="single" w:color="auto" w:sz="4" w:space="0"/>
              <w:right w:val="single" w:color="auto" w:sz="4" w:space="0"/>
            </w:tcBorders>
            <w:vAlign w:val="center"/>
          </w:tcPr>
          <w:p w14:paraId="2064FFC2">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5D424A55">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74C596F4">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实现医生根据医生住院权限，在多个院区、住院科室之间进行切换。</w:t>
            </w:r>
          </w:p>
        </w:tc>
      </w:tr>
      <w:tr w14:paraId="7128C4D5">
        <w:tblPrEx>
          <w:tblCellMar>
            <w:top w:w="0" w:type="dxa"/>
            <w:left w:w="108" w:type="dxa"/>
            <w:bottom w:w="0" w:type="dxa"/>
            <w:right w:w="108" w:type="dxa"/>
          </w:tblCellMar>
        </w:tblPrEx>
        <w:trPr>
          <w:trHeight w:val="717" w:hRule="atLeast"/>
        </w:trPr>
        <w:tc>
          <w:tcPr>
            <w:tcW w:w="1276" w:type="dxa"/>
            <w:vMerge w:val="continue"/>
            <w:tcBorders>
              <w:top w:val="nil"/>
              <w:left w:val="single" w:color="auto" w:sz="4" w:space="0"/>
              <w:bottom w:val="single" w:color="auto" w:sz="4" w:space="0"/>
              <w:right w:val="single" w:color="auto" w:sz="4" w:space="0"/>
            </w:tcBorders>
            <w:vAlign w:val="center"/>
          </w:tcPr>
          <w:p w14:paraId="6D940CDE">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2D8B54E0">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3F856169">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可以查看本科室（或权限范围内所有科室）的目前所有在院患者。</w:t>
            </w:r>
          </w:p>
        </w:tc>
      </w:tr>
      <w:tr w14:paraId="4447AF87">
        <w:trPr>
          <w:trHeight w:val="1124" w:hRule="atLeast"/>
        </w:trPr>
        <w:tc>
          <w:tcPr>
            <w:tcW w:w="1276" w:type="dxa"/>
            <w:vMerge w:val="continue"/>
            <w:tcBorders>
              <w:top w:val="nil"/>
              <w:left w:val="single" w:color="auto" w:sz="4" w:space="0"/>
              <w:bottom w:val="single" w:color="auto" w:sz="4" w:space="0"/>
              <w:right w:val="single" w:color="auto" w:sz="4" w:space="0"/>
            </w:tcBorders>
            <w:vAlign w:val="center"/>
          </w:tcPr>
          <w:p w14:paraId="64E25BDB">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62A7073D">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294B4F9F">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展示患者列表，每位患者的信息以病人信息、床号、病案首页、病程记录、医嘱、检验、检查等基本信息进行展示：</w:t>
            </w:r>
          </w:p>
        </w:tc>
      </w:tr>
      <w:tr w14:paraId="11802BC0">
        <w:tblPrEx>
          <w:tblCellMar>
            <w:top w:w="0" w:type="dxa"/>
            <w:left w:w="108" w:type="dxa"/>
            <w:bottom w:w="0" w:type="dxa"/>
            <w:right w:w="108" w:type="dxa"/>
          </w:tblCellMar>
        </w:tblPrEx>
        <w:trPr>
          <w:trHeight w:val="1125" w:hRule="atLeast"/>
        </w:trPr>
        <w:tc>
          <w:tcPr>
            <w:tcW w:w="1276" w:type="dxa"/>
            <w:vMerge w:val="continue"/>
            <w:tcBorders>
              <w:top w:val="nil"/>
              <w:left w:val="single" w:color="auto" w:sz="4" w:space="0"/>
              <w:bottom w:val="single" w:color="auto" w:sz="4" w:space="0"/>
              <w:right w:val="single" w:color="auto" w:sz="4" w:space="0"/>
            </w:tcBorders>
            <w:vAlign w:val="center"/>
          </w:tcPr>
          <w:p w14:paraId="29B99B67">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09E04FAA">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7975CFC9">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医生通过搜索功能，输入患者姓名或住院号进行精确查找，快速找到到患者，点击患者即可查看详细数据。</w:t>
            </w:r>
          </w:p>
        </w:tc>
      </w:tr>
      <w:tr w14:paraId="50677890">
        <w:tblPrEx>
          <w:tblCellMar>
            <w:top w:w="0" w:type="dxa"/>
            <w:left w:w="108" w:type="dxa"/>
            <w:bottom w:w="0" w:type="dxa"/>
            <w:right w:w="108" w:type="dxa"/>
          </w:tblCellMar>
        </w:tblPrEx>
        <w:trPr>
          <w:trHeight w:val="546" w:hRule="atLeast"/>
        </w:trPr>
        <w:tc>
          <w:tcPr>
            <w:tcW w:w="1276" w:type="dxa"/>
            <w:vMerge w:val="continue"/>
            <w:tcBorders>
              <w:top w:val="nil"/>
              <w:left w:val="single" w:color="auto" w:sz="4" w:space="0"/>
              <w:bottom w:val="single" w:color="auto" w:sz="4" w:space="0"/>
              <w:right w:val="single" w:color="auto" w:sz="4" w:space="0"/>
            </w:tcBorders>
            <w:vAlign w:val="center"/>
          </w:tcPr>
          <w:p w14:paraId="5BD5D231">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07940156">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7F653C2D">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病程记录内容按照时间顺序排列。</w:t>
            </w:r>
          </w:p>
        </w:tc>
      </w:tr>
      <w:tr w14:paraId="057DC89B">
        <w:tblPrEx>
          <w:tblCellMar>
            <w:top w:w="0" w:type="dxa"/>
            <w:left w:w="108" w:type="dxa"/>
            <w:bottom w:w="0" w:type="dxa"/>
            <w:right w:w="108" w:type="dxa"/>
          </w:tblCellMar>
        </w:tblPrEx>
        <w:trPr>
          <w:trHeight w:val="851" w:hRule="atLeast"/>
        </w:trPr>
        <w:tc>
          <w:tcPr>
            <w:tcW w:w="1276" w:type="dxa"/>
            <w:vMerge w:val="continue"/>
            <w:tcBorders>
              <w:top w:val="nil"/>
              <w:left w:val="single" w:color="auto" w:sz="4" w:space="0"/>
              <w:bottom w:val="single" w:color="auto" w:sz="4" w:space="0"/>
              <w:right w:val="single" w:color="auto" w:sz="4" w:space="0"/>
            </w:tcBorders>
            <w:vAlign w:val="center"/>
          </w:tcPr>
          <w:p w14:paraId="5ACEE34D">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2C1F5210">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4B78D955">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医嘱按照当前医嘱、临时医嘱、长期医嘱、全部医嘱标签进行管理。</w:t>
            </w:r>
          </w:p>
        </w:tc>
      </w:tr>
      <w:tr w14:paraId="24B91FE1">
        <w:tblPrEx>
          <w:tblCellMar>
            <w:top w:w="0" w:type="dxa"/>
            <w:left w:w="108" w:type="dxa"/>
            <w:bottom w:w="0" w:type="dxa"/>
            <w:right w:w="108" w:type="dxa"/>
          </w:tblCellMar>
        </w:tblPrEx>
        <w:trPr>
          <w:trHeight w:val="552" w:hRule="atLeast"/>
        </w:trPr>
        <w:tc>
          <w:tcPr>
            <w:tcW w:w="1276" w:type="dxa"/>
            <w:vMerge w:val="continue"/>
            <w:tcBorders>
              <w:top w:val="nil"/>
              <w:left w:val="single" w:color="auto" w:sz="4" w:space="0"/>
              <w:bottom w:val="single" w:color="auto" w:sz="4" w:space="0"/>
              <w:right w:val="single" w:color="auto" w:sz="4" w:space="0"/>
            </w:tcBorders>
            <w:vAlign w:val="center"/>
          </w:tcPr>
          <w:p w14:paraId="682F30BA">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2B02A190">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421D8D8B">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各项检验结果按照时间顺序进行排列。</w:t>
            </w:r>
          </w:p>
        </w:tc>
      </w:tr>
      <w:tr w14:paraId="0E06571B">
        <w:tblPrEx>
          <w:tblCellMar>
            <w:top w:w="0" w:type="dxa"/>
            <w:left w:w="108" w:type="dxa"/>
            <w:bottom w:w="0" w:type="dxa"/>
            <w:right w:w="108" w:type="dxa"/>
          </w:tblCellMar>
        </w:tblPrEx>
        <w:trPr>
          <w:trHeight w:val="560" w:hRule="atLeast"/>
        </w:trPr>
        <w:tc>
          <w:tcPr>
            <w:tcW w:w="1276" w:type="dxa"/>
            <w:vMerge w:val="continue"/>
            <w:tcBorders>
              <w:top w:val="nil"/>
              <w:left w:val="single" w:color="auto" w:sz="4" w:space="0"/>
              <w:bottom w:val="single" w:color="auto" w:sz="4" w:space="0"/>
              <w:right w:val="single" w:color="auto" w:sz="4" w:space="0"/>
            </w:tcBorders>
            <w:vAlign w:val="center"/>
          </w:tcPr>
          <w:p w14:paraId="322D2DEE">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0BE7D734">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133ABC4F">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检查结果默认显示文字结论。</w:t>
            </w:r>
          </w:p>
        </w:tc>
      </w:tr>
      <w:tr w14:paraId="748906F1">
        <w:tblPrEx>
          <w:tblCellMar>
            <w:top w:w="0" w:type="dxa"/>
            <w:left w:w="108" w:type="dxa"/>
            <w:bottom w:w="0" w:type="dxa"/>
            <w:right w:w="108" w:type="dxa"/>
          </w:tblCellMar>
        </w:tblPrEx>
        <w:trPr>
          <w:trHeight w:val="838" w:hRule="atLeast"/>
        </w:trPr>
        <w:tc>
          <w:tcPr>
            <w:tcW w:w="1276" w:type="dxa"/>
            <w:vMerge w:val="continue"/>
            <w:tcBorders>
              <w:top w:val="nil"/>
              <w:left w:val="single" w:color="auto" w:sz="4" w:space="0"/>
              <w:bottom w:val="single" w:color="auto" w:sz="4" w:space="0"/>
              <w:right w:val="single" w:color="auto" w:sz="4" w:space="0"/>
            </w:tcBorders>
            <w:vAlign w:val="center"/>
          </w:tcPr>
          <w:p w14:paraId="6D8F9576">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51B7E042">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79A70C63">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实现医生查询患者基本信息，患者所在病区，患者费用使用情况等基本信息。</w:t>
            </w:r>
          </w:p>
        </w:tc>
      </w:tr>
      <w:tr w14:paraId="323F9624">
        <w:tblPrEx>
          <w:tblCellMar>
            <w:top w:w="0" w:type="dxa"/>
            <w:left w:w="108" w:type="dxa"/>
            <w:bottom w:w="0" w:type="dxa"/>
            <w:right w:w="108" w:type="dxa"/>
          </w:tblCellMar>
        </w:tblPrEx>
        <w:trPr>
          <w:trHeight w:val="1133" w:hRule="atLeast"/>
        </w:trPr>
        <w:tc>
          <w:tcPr>
            <w:tcW w:w="1276" w:type="dxa"/>
            <w:vMerge w:val="continue"/>
            <w:tcBorders>
              <w:top w:val="nil"/>
              <w:left w:val="single" w:color="auto" w:sz="4" w:space="0"/>
              <w:bottom w:val="single" w:color="auto" w:sz="4" w:space="0"/>
              <w:right w:val="single" w:color="auto" w:sz="4" w:space="0"/>
            </w:tcBorders>
            <w:vAlign w:val="center"/>
          </w:tcPr>
          <w:p w14:paraId="70199DD7">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2F4CCA75">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4845B8EC">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医生可选择查看患者的此次诊断详细信息、查看本患者历次诊断信息。历史诊断信息包括诊断描述，诊断类型及日期时间等信息。</w:t>
            </w:r>
          </w:p>
        </w:tc>
      </w:tr>
      <w:tr w14:paraId="39281699">
        <w:tblPrEx>
          <w:tblCellMar>
            <w:top w:w="0" w:type="dxa"/>
            <w:left w:w="108" w:type="dxa"/>
            <w:bottom w:w="0" w:type="dxa"/>
            <w:right w:w="108" w:type="dxa"/>
          </w:tblCellMar>
        </w:tblPrEx>
        <w:trPr>
          <w:trHeight w:val="936" w:hRule="atLeast"/>
        </w:trPr>
        <w:tc>
          <w:tcPr>
            <w:tcW w:w="1276" w:type="dxa"/>
            <w:vMerge w:val="continue"/>
            <w:tcBorders>
              <w:top w:val="nil"/>
              <w:left w:val="single" w:color="auto" w:sz="4" w:space="0"/>
              <w:bottom w:val="single" w:color="auto" w:sz="4" w:space="0"/>
              <w:right w:val="single" w:color="auto" w:sz="4" w:space="0"/>
            </w:tcBorders>
            <w:vAlign w:val="center"/>
          </w:tcPr>
          <w:p w14:paraId="08C0C33D">
            <w:pPr>
              <w:widowControl/>
              <w:rPr>
                <w:rFonts w:hint="eastAsia" w:ascii="仿宋_GB2312" w:hAnsi="仿宋_GB2312" w:eastAsia="仿宋_GB2312" w:cs="仿宋_GB2312"/>
                <w:color w:val="000000"/>
                <w:sz w:val="24"/>
                <w:szCs w:val="24"/>
              </w:rPr>
            </w:pPr>
          </w:p>
        </w:tc>
        <w:tc>
          <w:tcPr>
            <w:tcW w:w="1701" w:type="dxa"/>
            <w:tcBorders>
              <w:top w:val="nil"/>
              <w:left w:val="nil"/>
              <w:bottom w:val="single" w:color="auto" w:sz="4" w:space="0"/>
              <w:right w:val="single" w:color="auto" w:sz="4" w:space="0"/>
            </w:tcBorders>
            <w:shd w:val="clear" w:color="auto" w:fill="auto"/>
            <w:vAlign w:val="center"/>
          </w:tcPr>
          <w:p w14:paraId="52948611">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5.3其他患者</w:t>
            </w:r>
          </w:p>
        </w:tc>
        <w:tc>
          <w:tcPr>
            <w:tcW w:w="5103" w:type="dxa"/>
            <w:tcBorders>
              <w:top w:val="nil"/>
              <w:left w:val="nil"/>
              <w:bottom w:val="single" w:color="auto" w:sz="4" w:space="0"/>
              <w:right w:val="single" w:color="auto" w:sz="4" w:space="0"/>
            </w:tcBorders>
            <w:shd w:val="clear" w:color="auto" w:fill="auto"/>
            <w:vAlign w:val="center"/>
          </w:tcPr>
          <w:p w14:paraId="58DD154A">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默认显示非本科室，根据医院需求展示该账号医生参与过的会诊患者。</w:t>
            </w:r>
          </w:p>
        </w:tc>
      </w:tr>
      <w:tr w14:paraId="0081CF95">
        <w:tblPrEx>
          <w:tblCellMar>
            <w:top w:w="0" w:type="dxa"/>
            <w:left w:w="108" w:type="dxa"/>
            <w:bottom w:w="0" w:type="dxa"/>
            <w:right w:w="108" w:type="dxa"/>
          </w:tblCellMar>
        </w:tblPrEx>
        <w:trPr>
          <w:trHeight w:val="879" w:hRule="atLeast"/>
        </w:trPr>
        <w:tc>
          <w:tcPr>
            <w:tcW w:w="1276" w:type="dxa"/>
            <w:vMerge w:val="continue"/>
            <w:tcBorders>
              <w:top w:val="nil"/>
              <w:left w:val="single" w:color="auto" w:sz="4" w:space="0"/>
              <w:bottom w:val="single" w:color="auto" w:sz="4" w:space="0"/>
              <w:right w:val="single" w:color="auto" w:sz="4" w:space="0"/>
            </w:tcBorders>
            <w:vAlign w:val="center"/>
          </w:tcPr>
          <w:p w14:paraId="55D1B4A2">
            <w:pPr>
              <w:widowControl/>
              <w:rPr>
                <w:rFonts w:hint="eastAsia" w:ascii="仿宋_GB2312" w:hAnsi="仿宋_GB2312" w:eastAsia="仿宋_GB2312" w:cs="仿宋_GB2312"/>
                <w:color w:val="000000"/>
                <w:sz w:val="24"/>
                <w:szCs w:val="24"/>
              </w:rPr>
            </w:pP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4DE85C1D">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5.4出院患者</w:t>
            </w:r>
          </w:p>
        </w:tc>
        <w:tc>
          <w:tcPr>
            <w:tcW w:w="5103" w:type="dxa"/>
            <w:tcBorders>
              <w:top w:val="nil"/>
              <w:left w:val="nil"/>
              <w:bottom w:val="single" w:color="auto" w:sz="4" w:space="0"/>
              <w:right w:val="single" w:color="auto" w:sz="4" w:space="0"/>
            </w:tcBorders>
            <w:shd w:val="clear" w:color="auto" w:fill="auto"/>
            <w:vAlign w:val="center"/>
          </w:tcPr>
          <w:p w14:paraId="52F943AB">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按照医院要求设置查看时间段内显示出院患者。</w:t>
            </w:r>
          </w:p>
        </w:tc>
      </w:tr>
      <w:tr w14:paraId="31BD196B">
        <w:tblPrEx>
          <w:tblCellMar>
            <w:top w:w="0" w:type="dxa"/>
            <w:left w:w="108" w:type="dxa"/>
            <w:bottom w:w="0" w:type="dxa"/>
            <w:right w:w="108" w:type="dxa"/>
          </w:tblCellMar>
        </w:tblPrEx>
        <w:trPr>
          <w:trHeight w:val="936" w:hRule="atLeast"/>
        </w:trPr>
        <w:tc>
          <w:tcPr>
            <w:tcW w:w="1276" w:type="dxa"/>
            <w:vMerge w:val="continue"/>
            <w:tcBorders>
              <w:top w:val="nil"/>
              <w:left w:val="single" w:color="auto" w:sz="4" w:space="0"/>
              <w:bottom w:val="single" w:color="auto" w:sz="4" w:space="0"/>
              <w:right w:val="single" w:color="auto" w:sz="4" w:space="0"/>
            </w:tcBorders>
            <w:vAlign w:val="center"/>
          </w:tcPr>
          <w:p w14:paraId="2D03ECEA">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2772850C">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1BAFB719">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提供住院号或姓名查找功能，查找已出院的患者的信息。</w:t>
            </w:r>
          </w:p>
        </w:tc>
      </w:tr>
      <w:tr w14:paraId="57B944AD">
        <w:tblPrEx>
          <w:tblCellMar>
            <w:top w:w="0" w:type="dxa"/>
            <w:left w:w="108" w:type="dxa"/>
            <w:bottom w:w="0" w:type="dxa"/>
            <w:right w:w="108" w:type="dxa"/>
          </w:tblCellMar>
        </w:tblPrEx>
        <w:trPr>
          <w:trHeight w:val="833" w:hRule="atLeast"/>
        </w:trPr>
        <w:tc>
          <w:tcPr>
            <w:tcW w:w="1276" w:type="dxa"/>
            <w:vMerge w:val="restart"/>
            <w:tcBorders>
              <w:top w:val="nil"/>
              <w:left w:val="single" w:color="auto" w:sz="4" w:space="0"/>
              <w:bottom w:val="single" w:color="auto" w:sz="4" w:space="0"/>
              <w:right w:val="single" w:color="auto" w:sz="4" w:space="0"/>
            </w:tcBorders>
            <w:shd w:val="clear" w:color="auto" w:fill="auto"/>
            <w:vAlign w:val="center"/>
          </w:tcPr>
          <w:p w14:paraId="21B805DD">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6、接口</w:t>
            </w: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165A0E8C">
            <w:pPr>
              <w:widowControl/>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6.1接口</w:t>
            </w:r>
          </w:p>
        </w:tc>
        <w:tc>
          <w:tcPr>
            <w:tcW w:w="5103" w:type="dxa"/>
            <w:tcBorders>
              <w:top w:val="nil"/>
              <w:left w:val="nil"/>
              <w:bottom w:val="single" w:color="auto" w:sz="4" w:space="0"/>
              <w:right w:val="single" w:color="auto" w:sz="4" w:space="0"/>
            </w:tcBorders>
            <w:shd w:val="clear" w:color="auto" w:fill="auto"/>
            <w:vAlign w:val="center"/>
          </w:tcPr>
          <w:p w14:paraId="25BE045E">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与医院相关系统紧密无缝连接，能够自动获取患者基本信息、病历、医嘱、检验、检查等信息。</w:t>
            </w:r>
          </w:p>
        </w:tc>
      </w:tr>
      <w:tr w14:paraId="589C9B7B">
        <w:tblPrEx>
          <w:tblCellMar>
            <w:top w:w="0" w:type="dxa"/>
            <w:left w:w="108" w:type="dxa"/>
            <w:bottom w:w="0" w:type="dxa"/>
            <w:right w:w="108" w:type="dxa"/>
          </w:tblCellMar>
        </w:tblPrEx>
        <w:trPr>
          <w:trHeight w:val="1142" w:hRule="atLeast"/>
        </w:trPr>
        <w:tc>
          <w:tcPr>
            <w:tcW w:w="1276" w:type="dxa"/>
            <w:vMerge w:val="continue"/>
            <w:tcBorders>
              <w:top w:val="nil"/>
              <w:left w:val="single" w:color="auto" w:sz="4" w:space="0"/>
              <w:bottom w:val="single" w:color="auto" w:sz="4" w:space="0"/>
              <w:right w:val="single" w:color="auto" w:sz="4" w:space="0"/>
            </w:tcBorders>
            <w:vAlign w:val="center"/>
          </w:tcPr>
          <w:p w14:paraId="721FE221">
            <w:pPr>
              <w:widowControl/>
              <w:rPr>
                <w:rFonts w:hint="eastAsia" w:ascii="仿宋_GB2312" w:hAnsi="仿宋_GB2312" w:eastAsia="仿宋_GB2312" w:cs="仿宋_GB2312"/>
                <w:color w:val="000000"/>
                <w:sz w:val="24"/>
                <w:szCs w:val="24"/>
              </w:rPr>
            </w:pPr>
          </w:p>
        </w:tc>
        <w:tc>
          <w:tcPr>
            <w:tcW w:w="1701" w:type="dxa"/>
            <w:vMerge w:val="continue"/>
            <w:tcBorders>
              <w:top w:val="nil"/>
              <w:left w:val="single" w:color="auto" w:sz="4" w:space="0"/>
              <w:bottom w:val="single" w:color="auto" w:sz="4" w:space="0"/>
              <w:right w:val="single" w:color="auto" w:sz="4" w:space="0"/>
            </w:tcBorders>
            <w:vAlign w:val="center"/>
          </w:tcPr>
          <w:p w14:paraId="735CA285">
            <w:pPr>
              <w:widowControl/>
              <w:rPr>
                <w:rFonts w:hint="eastAsia" w:ascii="仿宋_GB2312" w:hAnsi="仿宋_GB2312" w:eastAsia="仿宋_GB2312" w:cs="仿宋_GB2312"/>
                <w:color w:val="000000"/>
                <w:sz w:val="24"/>
                <w:szCs w:val="24"/>
              </w:rPr>
            </w:pPr>
          </w:p>
        </w:tc>
        <w:tc>
          <w:tcPr>
            <w:tcW w:w="5103" w:type="dxa"/>
            <w:tcBorders>
              <w:top w:val="nil"/>
              <w:left w:val="nil"/>
              <w:bottom w:val="single" w:color="auto" w:sz="4" w:space="0"/>
              <w:right w:val="single" w:color="auto" w:sz="4" w:space="0"/>
            </w:tcBorders>
            <w:shd w:val="clear" w:color="auto" w:fill="auto"/>
            <w:vAlign w:val="center"/>
          </w:tcPr>
          <w:p w14:paraId="11562301">
            <w:pPr>
              <w:widowControl/>
              <w:spacing w:line="4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系统与医院业务系统对接，包括但不限于电子病历系统、HIS系统、集成平台、LIS系统、PACS系统、智慧护理、心电系统、病理系统、手麻系统等。</w:t>
            </w:r>
          </w:p>
        </w:tc>
      </w:tr>
    </w:tbl>
    <w:p w14:paraId="63C6DE74"/>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1FB464">
    <w:pPr>
      <w:pStyle w:val="9"/>
      <w:tabs>
        <w:tab w:val="left" w:pos="960"/>
        <w:tab w:val="center" w:pos="4787"/>
        <w:tab w:val="clear" w:pos="4153"/>
        <w:tab w:val="clear"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D89404">
                          <w:pPr>
                            <w:pStyle w:val="9"/>
                          </w:pPr>
                          <w:r>
                            <w:t xml:space="preserve">第 </w:t>
                          </w:r>
                          <w:r>
                            <w:fldChar w:fldCharType="begin"/>
                          </w:r>
                          <w:r>
                            <w:instrText xml:space="preserve"> PAGE  \* MERGEFORMAT </w:instrText>
                          </w:r>
                          <w:r>
                            <w:fldChar w:fldCharType="separate"/>
                          </w:r>
                          <w:r>
                            <w:t>50</w:t>
                          </w:r>
                          <w:r>
                            <w:fldChar w:fldCharType="end"/>
                          </w:r>
                          <w:r>
                            <w:t xml:space="preserve"> 页 共 </w:t>
                          </w:r>
                          <w:r>
                            <w:rPr>
                              <w:rFonts w:hint="eastAsia"/>
                              <w:lang w:val="en-US" w:eastAsia="zh-CN"/>
                            </w:rPr>
                            <w:t>67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DD89404">
                    <w:pPr>
                      <w:pStyle w:val="9"/>
                    </w:pPr>
                    <w:r>
                      <w:t xml:space="preserve">第 </w:t>
                    </w:r>
                    <w:r>
                      <w:fldChar w:fldCharType="begin"/>
                    </w:r>
                    <w:r>
                      <w:instrText xml:space="preserve"> PAGE  \* MERGEFORMAT </w:instrText>
                    </w:r>
                    <w:r>
                      <w:fldChar w:fldCharType="separate"/>
                    </w:r>
                    <w:r>
                      <w:t>50</w:t>
                    </w:r>
                    <w:r>
                      <w:fldChar w:fldCharType="end"/>
                    </w:r>
                    <w:r>
                      <w:t xml:space="preserve"> 页 共 </w:t>
                    </w:r>
                    <w:r>
                      <w:rPr>
                        <w:rFonts w:hint="eastAsia"/>
                        <w:lang w:val="en-US" w:eastAsia="zh-CN"/>
                      </w:rPr>
                      <w:t>67</w:t>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36E73">
    <w:pPr>
      <w:pStyle w:val="9"/>
      <w:jc w:val="center"/>
      <w:rPr>
        <w:rFonts w:eastAsia="宋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354440"/>
    <w:rsid w:val="000B534C"/>
    <w:rsid w:val="02AD7C71"/>
    <w:rsid w:val="075D7833"/>
    <w:rsid w:val="0EE100AA"/>
    <w:rsid w:val="19DC6031"/>
    <w:rsid w:val="1E06634F"/>
    <w:rsid w:val="29B844D4"/>
    <w:rsid w:val="2EAC41C6"/>
    <w:rsid w:val="34F04C05"/>
    <w:rsid w:val="3CA876F2"/>
    <w:rsid w:val="43354440"/>
    <w:rsid w:val="49E06735"/>
    <w:rsid w:val="4E302E1E"/>
    <w:rsid w:val="53C953AC"/>
    <w:rsid w:val="5D3449BA"/>
    <w:rsid w:val="61B054B5"/>
    <w:rsid w:val="6A0E5E7F"/>
    <w:rsid w:val="70DB0409"/>
    <w:rsid w:val="764D0F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3"/>
    <w:qFormat/>
    <w:uiPriority w:val="0"/>
    <w:pPr>
      <w:spacing w:before="100" w:beforeLines="100" w:beforeAutospacing="0" w:after="100" w:afterLines="100" w:afterAutospacing="0" w:line="400" w:lineRule="exact"/>
      <w:jc w:val="center"/>
      <w:outlineLvl w:val="0"/>
    </w:pPr>
    <w:rPr>
      <w:rFonts w:hint="eastAsia" w:ascii="宋体" w:hAnsi="宋体" w:eastAsia="宋体" w:cs="宋体"/>
      <w:b/>
      <w:bCs/>
      <w:kern w:val="44"/>
      <w:sz w:val="32"/>
      <w:szCs w:val="48"/>
      <w:lang w:bidi="ar"/>
    </w:rPr>
  </w:style>
  <w:style w:type="paragraph" w:styleId="4">
    <w:name w:val="heading 2"/>
    <w:basedOn w:val="1"/>
    <w:next w:val="1"/>
    <w:unhideWhenUsed/>
    <w:qFormat/>
    <w:uiPriority w:val="0"/>
    <w:pPr>
      <w:keepNext/>
      <w:keepLines/>
      <w:spacing w:beforeLines="0" w:beforeAutospacing="0" w:afterLines="0" w:afterAutospacing="0" w:line="240" w:lineRule="auto"/>
      <w:outlineLvl w:val="1"/>
    </w:pPr>
    <w:rPr>
      <w:rFonts w:ascii="Arial" w:hAnsi="Arial" w:eastAsia="宋体" w:cs="Times New Roman"/>
      <w:b/>
      <w:sz w:val="28"/>
    </w:rPr>
  </w:style>
  <w:style w:type="paragraph" w:styleId="5">
    <w:name w:val="heading 3"/>
    <w:basedOn w:val="1"/>
    <w:next w:val="1"/>
    <w:unhideWhenUsed/>
    <w:qFormat/>
    <w:uiPriority w:val="0"/>
    <w:pPr>
      <w:keepNext/>
      <w:keepLines/>
      <w:spacing w:beforeLines="0" w:beforeAutospacing="0" w:afterLines="0" w:afterAutospacing="0" w:line="240" w:lineRule="auto"/>
      <w:jc w:val="left"/>
      <w:outlineLvl w:val="2"/>
    </w:pPr>
    <w:rPr>
      <w:rFonts w:ascii="Calibri" w:hAnsi="Calibri" w:eastAsia="宋体" w:cs="Times New Roman"/>
      <w:b/>
    </w:rPr>
  </w:style>
  <w:style w:type="paragraph" w:styleId="6">
    <w:name w:val="heading 6"/>
    <w:basedOn w:val="1"/>
    <w:next w:val="1"/>
    <w:qFormat/>
    <w:uiPriority w:val="1"/>
    <w:pPr>
      <w:ind w:left="215"/>
      <w:outlineLvl w:val="5"/>
    </w:pPr>
    <w:rPr>
      <w:b/>
      <w:bCs/>
      <w:sz w:val="24"/>
      <w:szCs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cs="Calibri"/>
      <w:szCs w:val="21"/>
    </w:rPr>
  </w:style>
  <w:style w:type="paragraph" w:styleId="7">
    <w:name w:val="Body Text"/>
    <w:basedOn w:val="1"/>
    <w:qFormat/>
    <w:uiPriority w:val="0"/>
    <w:rPr>
      <w:rFonts w:eastAsia="MS Mincho"/>
      <w:sz w:val="22"/>
      <w:lang w:val="en-GB" w:eastAsia="ja-JP"/>
    </w:rPr>
  </w:style>
  <w:style w:type="paragraph" w:styleId="8">
    <w:name w:val="Block Text"/>
    <w:basedOn w:val="1"/>
    <w:qFormat/>
    <w:uiPriority w:val="0"/>
    <w:pPr>
      <w:spacing w:after="120"/>
      <w:ind w:left="1440" w:leftChars="700" w:right="1440" w:rightChars="700"/>
    </w:pPr>
    <w:rPr>
      <w:rFonts w:ascii="Calibri" w:hAnsi="Calibri" w:eastAsia="宋体" w:cs="Times New Roman"/>
      <w:szCs w:val="20"/>
    </w:rPr>
  </w:style>
  <w:style w:type="paragraph" w:styleId="9">
    <w:name w:val="footer"/>
    <w:basedOn w:val="1"/>
    <w:unhideWhenUsed/>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3">
    <w:name w:val="标题 1 Char"/>
    <w:link w:val="3"/>
    <w:qFormat/>
    <w:uiPriority w:val="0"/>
    <w:rPr>
      <w:rFonts w:hint="eastAsia" w:ascii="宋体" w:hAnsi="宋体" w:eastAsia="宋体" w:cs="宋体"/>
      <w:b/>
      <w:bCs/>
      <w:kern w:val="44"/>
      <w:sz w:val="32"/>
      <w:szCs w:val="48"/>
      <w:lang w:val="en-US" w:eastAsia="zh-CN" w:bidi="ar"/>
    </w:rPr>
  </w:style>
  <w:style w:type="character" w:customStyle="1" w:styleId="14">
    <w:name w:val="NormalCharacter"/>
    <w:semiHidden/>
    <w:qFormat/>
    <w:uiPriority w:val="0"/>
    <w:rPr>
      <w:rFonts w:ascii="Times New Roman" w:hAnsi="Times New Roman" w:eastAsia="宋体" w:cs="Times New Roman"/>
      <w:kern w:val="2"/>
      <w:sz w:val="21"/>
      <w:szCs w:val="24"/>
      <w:lang w:val="en-US" w:eastAsia="zh-CN" w:bidi="ar-SA"/>
    </w:rPr>
  </w:style>
  <w:style w:type="paragraph" w:customStyle="1" w:styleId="15">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6">
    <w:name w:val="Table Text"/>
    <w:basedOn w:val="1"/>
    <w:semiHidden/>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 w:val="28"/>
      <w:szCs w:val="28"/>
      <w:lang w:eastAsia="en-US"/>
    </w:rPr>
  </w:style>
  <w:style w:type="table" w:customStyle="1" w:styleId="17">
    <w:name w:val="Table Normal"/>
    <w:unhideWhenUsed/>
    <w:qFormat/>
    <w:uiPriority w:val="0"/>
    <w:tblPr>
      <w:tblCellMar>
        <w:top w:w="0" w:type="dxa"/>
        <w:left w:w="0" w:type="dxa"/>
        <w:bottom w:w="0" w:type="dxa"/>
        <w:right w:w="0" w:type="dxa"/>
      </w:tblCellMar>
    </w:tblPr>
  </w:style>
  <w:style w:type="paragraph" w:customStyle="1" w:styleId="1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4748</Words>
  <Characters>4843</Characters>
  <Lines>0</Lines>
  <Paragraphs>0</Paragraphs>
  <TotalTime>6</TotalTime>
  <ScaleCrop>false</ScaleCrop>
  <LinksUpToDate>false</LinksUpToDate>
  <CharactersWithSpaces>4954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2025-03-25T05:19:00Z</dcterms:created>
  <dc:creator>Lynn,</dc:creator>
  <cp:lastModifiedBy>张龙</cp:lastModifiedBy>
  <dcterms:modified xsi:type="dcterms:W3CDTF">2025-09-24T08:59:49Z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5821702E6F2349E4BEEA394824921A88_13</vt:lpwstr>
  </property>
  <property fmtid="{D5CDD505-2E9C-101B-9397-08002B2CF9AE}" pid="4" name="KSOTemplateDocerSaveRecord">
    <vt:lpwstr>eyJoZGlkIjoiM2VkZDQ1ZWU1YmZjMmNhYjU3YjdlOGI5MWQwZjkxNGEiLCJ1c2VySWQiOiI0ODk0MzkxMzUifQ==</vt:lpwstr>
  </property>
</Properties>
</file>