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版本号：GRC-25-0100420250916001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西安市古今水系治理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GRC-25-01004</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陕西国瑞诚项目管理有限公司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陕西国瑞诚项目管理有限公司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西安市古今水系治理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GRC-25-01004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西安市古今水系治理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通过对区域历史文献（如地方志、水利专著）、古地图、考古资料（如古代水利遗址）等资料的收集研究，系统梳理历史文献与古地图，提取古代水系相关信息；结合实地踏勘及调查的相关数据，对现代水系在水资源、水安全、水环境、水管理方面存在的短板及问题进行分析；整理项目研究过程中的数据、图表、分析结果等资料，对研究成果进行系统总结，提炼古今水系演变的核心结论，对存在不足提出优化策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采购包1（西安市古今水系治理）：属于专门面向中小企业采购。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1、主体资格证明：供应商具有独立承担民事责任能力的法人或其他组织或自然人，并提供法人或者其他组织合法有效的营业执照等证明文件，事业单位应提供事业单位法人证书，自然人应提供身份证明文件。</w:t>
      </w:r>
    </w:p>
    <w:p>
      <w:pPr>
        <w:pStyle w:val="null3"/>
      </w:pPr>
      <w:r>
        <w:rPr>
          <w:rFonts w:ascii="仿宋_GB2312" w:hAnsi="仿宋_GB2312" w:cs="仿宋_GB2312" w:eastAsia="仿宋_GB2312"/>
        </w:rPr>
        <w:t>2、法定代表人身份证明/法定代表人授权委托书：供应商应授权合法的人员参加磋商全过程，法定代表人授权代表参加磋商的，须出具法定代表人授权委托书（附法定代表人身份证复印件及被授权人身份证复印件）；法定代表人直接参加磋商只需提供法定代表人资格证明书（附法定代表人身份证复印件）。</w:t>
      </w:r>
    </w:p>
    <w:p>
      <w:pPr>
        <w:pStyle w:val="null3"/>
      </w:pPr>
      <w:r>
        <w:rPr>
          <w:rFonts w:ascii="仿宋_GB2312" w:hAnsi="仿宋_GB2312" w:cs="仿宋_GB2312" w:eastAsia="仿宋_GB2312"/>
        </w:rPr>
        <w:t>3、财务状况报告：提供2024年度经审计的财务报告（包括“四表一注”，即资产负债表、利润表、现金流量表、所有者权益变动表及其附注，成立时间至提交投标文件截止时间不足一年的可提供成立后任意时段的资产负债表）,或其开标日期前六个月内其基本开户银行出具的资信证明（附基本存款账户信息或银行开户许可证复印件）。</w:t>
      </w:r>
    </w:p>
    <w:p>
      <w:pPr>
        <w:pStyle w:val="null3"/>
      </w:pPr>
      <w:r>
        <w:rPr>
          <w:rFonts w:ascii="仿宋_GB2312" w:hAnsi="仿宋_GB2312" w:cs="仿宋_GB2312" w:eastAsia="仿宋_GB2312"/>
        </w:rPr>
        <w:t>4、税收缴纳证明：自2024年7月至今已缴纳的至少1个月的纳税证明或完税证明（时间以税款所属日期为准），纳税证明或完税证明上应有代收机构或税务机关的公章或业务专用章。依法免税的供应商应提供相关证明文件。</w:t>
      </w:r>
    </w:p>
    <w:p>
      <w:pPr>
        <w:pStyle w:val="null3"/>
      </w:pPr>
      <w:r>
        <w:rPr>
          <w:rFonts w:ascii="仿宋_GB2312" w:hAnsi="仿宋_GB2312" w:cs="仿宋_GB2312" w:eastAsia="仿宋_GB2312"/>
        </w:rPr>
        <w:t>5、社保缴纳证明：自2024年7月至今已缴纳的至少1个月的社会保障资金缴存单据或社保机构开具的社会保险参保缴费情况证明（时间以税款所属日期为准），单据或证明上应有社保机构或代收机构的公章或业务专用章。依法不需要缴纳社会保障资金的单位应提供相关证明材料。</w:t>
      </w:r>
    </w:p>
    <w:p>
      <w:pPr>
        <w:pStyle w:val="null3"/>
      </w:pPr>
      <w:r>
        <w:rPr>
          <w:rFonts w:ascii="仿宋_GB2312" w:hAnsi="仿宋_GB2312" w:cs="仿宋_GB2312" w:eastAsia="仿宋_GB2312"/>
        </w:rPr>
        <w:t>6、具备履行合同所必需的设备和专业技术能力：具有履行合同所必须的设备和专业技术能力的承诺。</w:t>
      </w:r>
    </w:p>
    <w:p>
      <w:pPr>
        <w:pStyle w:val="null3"/>
      </w:pPr>
      <w:r>
        <w:rPr>
          <w:rFonts w:ascii="仿宋_GB2312" w:hAnsi="仿宋_GB2312" w:cs="仿宋_GB2312" w:eastAsia="仿宋_GB2312"/>
        </w:rPr>
        <w:t>7、无重大违法记录：参加政府采购活动前3年内，在经营活动中没有重大违法记录，提供书面声明。</w:t>
      </w:r>
    </w:p>
    <w:p>
      <w:pPr>
        <w:pStyle w:val="null3"/>
      </w:pPr>
      <w:r>
        <w:rPr>
          <w:rFonts w:ascii="仿宋_GB2312" w:hAnsi="仿宋_GB2312" w:cs="仿宋_GB2312" w:eastAsia="仿宋_GB2312"/>
        </w:rPr>
        <w:t>8、信用记录：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9、供应商资质：供应商具有建设行政主管部门颁发的工程设计水利行业乙级（含）以上资质或水利行业（河道整治或城市防洪）专业设计乙级（含）以上资质。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西安市水务局（本级）经办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86787404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陕西国瑞诚项目管理有限公司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陕西省西安市莲湖区陕西省西安市莲湖区南二环西段180号财富中心二期D座2204室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029-81777703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国家发展改革委办公厅关于招标代理服务收费有关问题的通知》（发改办价格[2003]857号）、《国家发展改革委关于降低部分建设项目收费标准规范收费行为等有关问题的通知》（发改办价格[2011]534号）的有关规定收取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陕西国瑞诚项目管理有限公司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陕西国瑞诚项目管理有限公司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陕西国瑞诚项目管理有限公司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陕西国瑞诚项目管理有限公司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陕西国瑞诚项目管理有限公司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陕西国瑞诚项目管理有限公司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联系人：雷工</w:t>
      </w:r>
    </w:p>
    <w:p>
      <w:pPr>
        <w:pStyle w:val="null3"/>
      </w:pPr>
      <w:r>
        <w:rPr>
          <w:rFonts w:ascii="仿宋_GB2312" w:hAnsi="仿宋_GB2312" w:cs="仿宋_GB2312" w:eastAsia="仿宋_GB2312"/>
        </w:rPr>
        <w:t>联系电话：029-81777703</w:t>
      </w:r>
    </w:p>
    <w:p>
      <w:pPr>
        <w:pStyle w:val="null3"/>
      </w:pPr>
      <w:r>
        <w:rPr>
          <w:rFonts w:ascii="仿宋_GB2312" w:hAnsi="仿宋_GB2312" w:cs="仿宋_GB2312" w:eastAsia="仿宋_GB2312"/>
        </w:rPr>
        <w:t>地址： 陕西省西安市莲湖区陕西省西安市莲湖区南二环西段180号财富中心二期D座2204室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对区域历史文献（如地方志、水利专著）、古地图、考古资料（如古代水利遗址）等资料的收集研究，系统梳理历史文献与古地图，提取古代水系相关信息；结合实地踏勘及调查的相关数据，对现代水系在水资源、水安全、水环境、水管理方面存在的短板及问题进行分析；整理项目研究过程中的数据、图表、分析结果等资料，对研究成果进行系统总结，提炼古今水系演变的核心结论，对存在不足提出优化策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梳理西安古今水系演变历程，总结水系演化特征，剖析水系建设问题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标的名称：梳理西安古今水系演变历程，总结水系演化特征，剖析水系建设问题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jc w:val="both"/>
            </w:pPr>
            <w:r>
              <w:rPr>
                <w:rFonts w:ascii="仿宋_GB2312" w:hAnsi="仿宋_GB2312" w:cs="仿宋_GB2312" w:eastAsia="仿宋_GB2312"/>
              </w:rPr>
              <w:t>通过对区域历史文献（如地方志、水利专著）、古地图、考古资料（如古代水利遗址）等资料的收集研究，系统梳理历史文献与古地图，提取古代水系相关信息；结合实地踏勘及调查的相关数据，对现代水系在水资源、水安全、水环境、水管理方面存在的短板及问题进行分析；整理项目研究过程中的数据、图表、分析结果等资料，对研究成果进行系统总结，提炼古今水系演变的核心结论，对存在不足提出优化策略。</w:t>
            </w:r>
          </w:p>
          <w:p>
            <w:pPr>
              <w:pStyle w:val="null3"/>
              <w:jc w:val="both"/>
            </w:pPr>
            <w:r>
              <w:rPr>
                <w:rFonts w:ascii="仿宋_GB2312" w:hAnsi="仿宋_GB2312" w:cs="仿宋_GB2312" w:eastAsia="仿宋_GB2312"/>
              </w:rPr>
              <w:t>二、服务内容及要求</w:t>
            </w:r>
          </w:p>
          <w:p>
            <w:pPr>
              <w:pStyle w:val="null3"/>
              <w:jc w:val="both"/>
            </w:pPr>
            <w:r>
              <w:rPr>
                <w:rFonts w:ascii="仿宋_GB2312" w:hAnsi="仿宋_GB2312" w:cs="仿宋_GB2312" w:eastAsia="仿宋_GB2312"/>
              </w:rPr>
              <w:t>按照市委主要领导在要情快报（第43期）上的批示要求，立即组织进行梳理研究。主要内容为：</w:t>
            </w:r>
          </w:p>
          <w:p>
            <w:pPr>
              <w:pStyle w:val="null3"/>
              <w:jc w:val="both"/>
            </w:pPr>
            <w:r>
              <w:rPr>
                <w:rFonts w:ascii="仿宋_GB2312" w:hAnsi="仿宋_GB2312" w:cs="仿宋_GB2312" w:eastAsia="仿宋_GB2312"/>
              </w:rPr>
              <w:t>1.通过文献调查、资料搜集和实地调研调查收集西安地区由古至今的自然水系演变历程及人工水系发展历程;</w:t>
            </w:r>
          </w:p>
          <w:p>
            <w:pPr>
              <w:pStyle w:val="null3"/>
              <w:jc w:val="both"/>
            </w:pPr>
            <w:r>
              <w:rPr>
                <w:rFonts w:ascii="仿宋_GB2312" w:hAnsi="仿宋_GB2312" w:cs="仿宋_GB2312" w:eastAsia="仿宋_GB2312"/>
              </w:rPr>
              <w:t>2.总结梳理西安地区由古至今的自然河湖水系区位、规模演变特征及城水关系的变化情况;</w:t>
            </w:r>
          </w:p>
          <w:p>
            <w:pPr>
              <w:pStyle w:val="null3"/>
              <w:jc w:val="both"/>
            </w:pPr>
            <w:r>
              <w:rPr>
                <w:rFonts w:ascii="仿宋_GB2312" w:hAnsi="仿宋_GB2312" w:cs="仿宋_GB2312" w:eastAsia="仿宋_GB2312"/>
              </w:rPr>
              <w:t>3.从灌溉渠系、漕运渠系、供水工程等方面分析古代城市人工水系的演变历程及特点;</w:t>
            </w:r>
          </w:p>
          <w:p>
            <w:pPr>
              <w:pStyle w:val="null3"/>
              <w:jc w:val="both"/>
            </w:pPr>
            <w:r>
              <w:rPr>
                <w:rFonts w:ascii="仿宋_GB2312" w:hAnsi="仿宋_GB2312" w:cs="仿宋_GB2312" w:eastAsia="仿宋_GB2312"/>
              </w:rPr>
              <w:t>4.总结现代水系在水源工程、农田水利、防洪减灾、生态治理等方面的发展历程及取得成就;</w:t>
            </w:r>
          </w:p>
          <w:p>
            <w:pPr>
              <w:pStyle w:val="null3"/>
              <w:jc w:val="both"/>
            </w:pPr>
            <w:r>
              <w:rPr>
                <w:rFonts w:ascii="仿宋_GB2312" w:hAnsi="仿宋_GB2312" w:cs="仿宋_GB2312" w:eastAsia="仿宋_GB2312"/>
              </w:rPr>
              <w:t>5.分析现代水系在水资源、水安全、水环境、水管理方面的短板及问题;</w:t>
            </w:r>
          </w:p>
          <w:p>
            <w:pPr>
              <w:pStyle w:val="null3"/>
              <w:jc w:val="both"/>
            </w:pPr>
            <w:r>
              <w:rPr>
                <w:rFonts w:ascii="仿宋_GB2312" w:hAnsi="仿宋_GB2312" w:cs="仿宋_GB2312" w:eastAsia="仿宋_GB2312"/>
              </w:rPr>
              <w:t>6.提出西安市当前水系的优化思路与目标，从水资源、水安全、水生态、水景观方面提出水系优化策略。</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根据本项目服务内容，提供符合本项目相应的人员团队。</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自合同签订后2个月提交成果。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通过验收，提交最终全部成果后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所属行业为：其他未列明行业（根据《中小企业划型标准规定》（工信部联企业〔2011〕300号），其他未列明行业划分标准为“从业人员300人以下的为中小微型企业。其中，从业人员100人及以上的为中型企业；从业人员10人及以上的为小型企业；从业人员10人以下的为微型企业。”）。 （2）成交供应商在领取成交通知书前，须向采购代理机构提供纸质版响应文件3套（一正两副），且提供的响应文件必须与在陕西省政府采购综合管理平台的项目电子化交易系统中递交的电子响应文件内容一致，纸质版响应文件必须装订成册签字盖章。 （3）如磋商文件中融资相关内容与新政策要求存在差异，最新政策为准严格执行。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w:t>
            </w:r>
          </w:p>
        </w:tc>
        <w:tc>
          <w:tcPr>
            <w:tcW w:type="dxa" w:w="3322"/>
          </w:tcPr>
          <w:p>
            <w:pPr>
              <w:pStyle w:val="null3"/>
            </w:pPr>
            <w:r>
              <w:rPr>
                <w:rFonts w:ascii="仿宋_GB2312" w:hAnsi="仿宋_GB2312" w:cs="仿宋_GB2312" w:eastAsia="仿宋_GB2312"/>
              </w:rPr>
              <w:t>供应商具有独立承担民事责任能力的法人或其他组织或自然人，并提供法人或者其他组织合法有效的营业执照等证明文件，事业单位应提供事业单位法人证书，自然人应提供身份证明文件。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附法定代表人身份证复印件及被授权人身份证复印件）；法定代表人直接参加磋商只需提供法定代表人资格证明书（附法定代表人身份证复印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日期前六个月内其基本开户银行出具的资信证明（附基本存款账户信息或银行开户许可证复印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自2024年7月至今已缴纳的至少1个月的纳税证明或完税证明（时间以税款所属日期为准），纳税证明或完税证明上应有代收机构或税务机关的公章或业务专用章。依法免税的供应商应提供相关证明文件。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自2024年7月至今已缴纳的至少1个月的社会保障资金缴存单据或社保机构开具的社会保险参保缴费情况证明（时间以税款所属日期为准），单据或证明上应有社保机构或代收机构的公章或业务专用章。依法不需要缴纳社会保障资金的单位应提供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供应商具有建设行政主管部门颁发的工程设计水利行业乙级（含）以上资质或水利行业（河道整治或城市防洪）专业设计乙级（含）以上资质。</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 磋商报价表.docx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分项报价表.docx 技术偏离表.docx 中小企业声明函 残疾人福利性单位声明函 标的清单 磋商报价表.docx 响应函 商务偏离表.docx 资格证明文件.docx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中小企业声明函 磋商报价表.docx 资格证明文件.docx 响应文件封面 分项报价表.docx 技术偏离表.docx 残疾人福利性单位声明函 标的清单 响应函 商务偏离表.docx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（1）投标报价唯一； （2）报价货币符合磋商文件要求； （3）未超出采购预算或磋商文件规 定的最高限价。</w:t>
            </w:r>
          </w:p>
        </w:tc>
        <w:tc>
          <w:tcPr>
            <w:tcW w:type="dxa" w:w="1661"/>
          </w:tcPr>
          <w:p>
            <w:pPr>
              <w:pStyle w:val="null3"/>
            </w:pPr>
            <w:r>
              <w:rPr>
                <w:rFonts w:ascii="仿宋_GB2312" w:hAnsi="仿宋_GB2312" w:cs="仿宋_GB2312" w:eastAsia="仿宋_GB2312"/>
              </w:rPr>
              <w:t>分项报价表.docx 标的清单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不存在其它不符合法律法规或磋商文件规定的无效条款。</w:t>
            </w:r>
          </w:p>
        </w:tc>
        <w:tc>
          <w:tcPr>
            <w:tcW w:type="dxa" w:w="1661"/>
          </w:tcPr>
          <w:p>
            <w:pPr>
              <w:pStyle w:val="null3"/>
            </w:pPr>
            <w:r>
              <w:rPr>
                <w:rFonts w:ascii="仿宋_GB2312" w:hAnsi="仿宋_GB2312" w:cs="仿宋_GB2312" w:eastAsia="仿宋_GB2312"/>
              </w:rPr>
              <w:t>中小企业声明函 磋商报价表.docx 资格证明文件.docx 响应文件封面 分项报价表.docx 技术偏离表.docx 残疾人福利性单位声明函 标的清单 响应函 商务偏离表.docx 服务方案.docx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评审内容： ①西安古今水系演变认知情况 ②项目背景分析 ③项目需求分析 ④法律法规的掌握程度 评审标准： 上述4项评审内容描述详细，充分理解本项目的服务需求，对西安古今水系梳理全面、演化特征总结准确、提供相关的佐证材料、项目背景及需求分析的思路清晰科学，熟练掌握法律法规，各项内容条例清晰，切合项目实际情况得12分； 评审内容每缺失一项扣3分； 评审内容每有一处缺陷（缺陷是指：内容粗略、逻辑混乱、描述过于简单、对需求分析仅聚焦单一问题、仅描述现代水系无具体分析、古今历史水系演化描述错误或与西安无关、分析仅凭主观臆断而缺乏数据支撑、与项目特点不匹配、仅复制服务内容及技术要求、内容不符合行业实际或国家法规、政策、理解内容生搬硬造、内容不合理、内容表述前后不一致、套用其他项目方案、存在与项目无关的文字内容、逻辑漏洞或法律法规错误只有标题没有实质性内容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重点、难点分析及应对措施</w:t>
            </w:r>
          </w:p>
        </w:tc>
        <w:tc>
          <w:tcPr>
            <w:tcW w:type="dxa" w:w="2492"/>
          </w:tcPr>
          <w:p>
            <w:pPr>
              <w:pStyle w:val="null3"/>
            </w:pPr>
            <w:r>
              <w:rPr>
                <w:rFonts w:ascii="仿宋_GB2312" w:hAnsi="仿宋_GB2312" w:cs="仿宋_GB2312" w:eastAsia="仿宋_GB2312"/>
              </w:rPr>
              <w:t>评审内容： ①重点关键性技术问题的分析 ②难点关键性技术问题的分析 ③重点、难点对应的解决措施 评审标准： 上述3项评审内容每项内容均展开详细的阐述且切合项目实际情况，根据自身经验对采购需求涉及的重点、难点等关键性技术问题有详细、全面的分析，紧扣本项目实际情况，提出科学合理的分析结果及可行性强的应对措施得9分； 评审内容每缺失一项扣3分； 评审内容每有一处缺陷（缺陷是指：内容粗略、逻辑混乱、描述过于简单、未识别关键风险、仅复制服务内容及技术要求、分析仅凭主观臆断而缺乏数据支撑、内容不符合行业实际或国家法规、政策、理解内容生搬硬造、内容不合理、内容表述前后不一致、套用其他项目方案、存在与项目无关的文字内容、解决措施不合理、不符合项目实际需求或只有标题没有实质性内容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①服务目标 ②服务内容 ③服务措施 评审标准： 评审标准： 上述3项评审内容描述详细，每项内容均展开详细的阐述且切合项目实际情况，服务目标定位清晰准确、服务内容覆盖全面、措施科学可行，切合项目实际情况得15分； 评审内容每缺失一项扣5分； 评审内容每有一处缺陷（缺陷是指：服务目标定位不准确、内容粗略、逻辑混乱、描述过于简单、内容仅凭主观臆断而缺乏数据支撑、与项目特点不匹配、仅复制服务内容及技术要求、内容不符合行业实际或国家法规、政策、理解内容生搬硬造、内容不合理、内容表述前后不一致、套用其他项目方案、存在与项目无关的文字内容、逻辑漏洞或法律法规错误只有标题没有实质性内容等）扣1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进度安排</w:t>
            </w:r>
          </w:p>
        </w:tc>
        <w:tc>
          <w:tcPr>
            <w:tcW w:type="dxa" w:w="2492"/>
          </w:tcPr>
          <w:p>
            <w:pPr>
              <w:pStyle w:val="null3"/>
            </w:pPr>
            <w:r>
              <w:rPr>
                <w:rFonts w:ascii="仿宋_GB2312" w:hAnsi="仿宋_GB2312" w:cs="仿宋_GB2312" w:eastAsia="仿宋_GB2312"/>
              </w:rPr>
              <w:t>评审内容： ①进度计划 ②进度保障措施 评审标准： 上述2项评审内容，展开详细的阐述且切合项目实际情况，进度计划安排合理、工作节点清晰、有科学可行的进度保障措施得9分； 评审内容每缺失一项扣4.5分； 评审内容每有一处缺陷（缺陷是指：项目进度计划安排不合理、工作节点不清晰、保障措施不能有效保障项目实施进度、仅复制服务内容及技术要求、内容不合理、内容表述前后不一致、套用其他项目方案、存在与项目无关的文字内容、逻辑漏洞或法律法规错误只有标题没有实质性内容等）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①拟投入项目负责人具有水利相关专业高级及以上职称的得2分；具有水利相关专业中级职称的得1分。其他不得分。 注：需提供职称证书、身份证复印件并加盖供应商公章。人员不重复计分。 ②拟投入本项目的项目负责人具有丰富的相关领域工作经验或曾承担过类似相关项目工作，每提供一个业绩得1分，最高得2分。 注：需提供合同复印件，合同须有项目负责人姓名且担任职务为项目负责人或主要技术责任人，如合同中未有项目负责人姓名，可提供甲方说明或证明材料，未提供合同或提供的合同中未体现项目负责人姓名的为无效合同，不得分。项目负责人业绩可以与供应商业绩重复。</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拟派本项目的项目组人员（除项目负责人外），具有水利相关专业高级及以上职称的，每提供一个得1分；具有水利相关专业中级职称的，每提供一个得0.5分；本项最高得5分。 注：需提供职称证书、身份证复印件并加盖公章。人员不重复计分。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团队配置</w:t>
            </w:r>
          </w:p>
        </w:tc>
        <w:tc>
          <w:tcPr>
            <w:tcW w:type="dxa" w:w="2492"/>
          </w:tcPr>
          <w:p>
            <w:pPr>
              <w:pStyle w:val="null3"/>
            </w:pPr>
            <w:r>
              <w:rPr>
                <w:rFonts w:ascii="仿宋_GB2312" w:hAnsi="仿宋_GB2312" w:cs="仿宋_GB2312" w:eastAsia="仿宋_GB2312"/>
              </w:rPr>
              <w:t>评审内容： ①工作组成员管理组织架构； ②人员配置、团队的职能分工及职责划分方案； ③人员专业能力及相关工作经验； 评审标准： 上述3项评审内容描述详细，每项内容均展开详细的阐述，工作组成员管理组织架构清晰，团队的职能分工及职责划分明确、人员经验丰富、团队管理制度详细，能有效保障本项目服务质量的得12分； 评审内容有缺项扣4分； 任意一项评审内容每有一处缺陷（缺陷是指组织架构简单、不明确、组织架构与项目需求不匹配、职能分工不明确、职责划分不明确、人员配置不合理、人员配置与项目需求不匹配、人员专业能力不匹配、人员经验不足、虽有内容但不完善、套用其他项目方案、只有标题没有实质性内容或及其他不利于项目实施的等任意一种情形。）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评审内容： 供应商提供质量控制措施 评审标准： 质量控制方法和措施、流程，控制重点思路清晰明确最高得5分；评审内容每有一处缺陷（缺陷是指：内容描述过于简单、质量控制方法和措施、流程，控制重点存在优化空间、内容表述前后不一致，质量控制措施内容无针对性，有缺陷，套用其他项目方案、出现常识性错误、凭空编造、出现不可能实现的夸大情形、与项目需求不匹配、只有标题没有实质性内容或其他不利于项目实施的情形等）扣0.5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优化方案</w:t>
            </w:r>
          </w:p>
        </w:tc>
        <w:tc>
          <w:tcPr>
            <w:tcW w:type="dxa" w:w="2492"/>
          </w:tcPr>
          <w:p>
            <w:pPr>
              <w:pStyle w:val="null3"/>
            </w:pPr>
            <w:r>
              <w:rPr>
                <w:rFonts w:ascii="仿宋_GB2312" w:hAnsi="仿宋_GB2312" w:cs="仿宋_GB2312" w:eastAsia="仿宋_GB2312"/>
              </w:rPr>
              <w:t>评审内容： ①西安市当前水系的优化思路与目标 ②优化策略（包括水资源、水安全、水生态、水景观四个方面） 评审标准： 上述2项评审内容描述详细，每项内容均展开详细的阐述，思路清晰，目标定位切合项目实际情况，针对采购内容提出的优化策略科学可行，能有效保障项目的服务质量得6分； 评审内容每缺失一项扣3分； 评审内容每有一处缺陷（缺陷是指：内容粗略、逻辑混乱、描述过于简单、目标定位与项目实际需求有偏差、仅复制服务内容及技术要求、内容不符合行业实际或国家法规、政策、理解内容生搬硬造、内容不合理、内容表述前后不一致、套用其他项目方案、存在与项目无关的文字内容、提供的优化策略可操作性差、难以执行、仅凭个人主观臆断而无任何理论（或者数据）支撑或只有标题没有实质性内容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供应商针对本项目有具体的服务承诺：服务人员及时到位的承诺、根据采购人意见及时调整人员的承诺、在服务过程中积极配合采购人，确保项目保质保量完成并有相应保障措施的承诺。 完全满足上述要求得3分；内容有缺失或者不满足上述要求不得分。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具有2022年1月1日（以合同签订时间为准）以来类似项目业绩，每提供一个得2分，本项最高得10分。 评审依据：提供合同扫描件并加盖供应商公章；合同中至少包括项目名称、签订时间、合同服务内容等关键内容。若合同中不能反映上述内容，须另附经业主加盖公章的证明材料。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详见附件：合同格式及主要条款.docx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