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版本号：2025-HZZB-30B-00620250916001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西安市残疾人联合会信息化建设及运维</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2025-HZZB-30B-006</w:t>
      </w:r>
      <w:r>
        <w:br/>
      </w:r>
      <w:r>
        <w:br/>
      </w:r>
      <w:r>
        <w:br/>
      </w:r>
    </w:p>
    <w:p>
      <w:pPr>
        <w:pStyle w:val="null3"/>
        <w:jc w:val="center"/>
        <w:outlineLvl w:val="2"/>
      </w:pPr>
      <w:r>
        <w:rPr>
          <w:rFonts w:ascii="仿宋_GB2312" w:hAnsi="仿宋_GB2312" w:cs="仿宋_GB2312" w:eastAsia="仿宋_GB2312"/>
          <w:sz w:val="28"/>
          <w:b/>
        </w:rPr>
        <w:t>西安市残疾人联合会（本级）</w:t>
      </w:r>
    </w:p>
    <w:p>
      <w:pPr>
        <w:pStyle w:val="null3"/>
        <w:jc w:val="center"/>
        <w:outlineLvl w:val="2"/>
      </w:pPr>
      <w:r>
        <w:rPr>
          <w:rFonts w:ascii="仿宋_GB2312" w:hAnsi="仿宋_GB2312" w:cs="仿宋_GB2312" w:eastAsia="仿宋_GB2312"/>
          <w:sz w:val="28"/>
          <w:b/>
        </w:rPr>
        <w:t>衡正国际工程咨询有限公司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衡正国际工程咨询有限公司</w:t>
      </w:r>
      <w:r>
        <w:rPr>
          <w:rFonts w:ascii="仿宋_GB2312" w:hAnsi="仿宋_GB2312" w:cs="仿宋_GB2312" w:eastAsia="仿宋_GB2312"/>
        </w:rPr>
        <w:t>（以下简称“代理机构”）受</w:t>
      </w:r>
      <w:r>
        <w:rPr>
          <w:rFonts w:ascii="仿宋_GB2312" w:hAnsi="仿宋_GB2312" w:cs="仿宋_GB2312" w:eastAsia="仿宋_GB2312"/>
        </w:rPr>
        <w:t>西安市残疾人联合会（本级）</w:t>
      </w:r>
      <w:r>
        <w:rPr>
          <w:rFonts w:ascii="仿宋_GB2312" w:hAnsi="仿宋_GB2312" w:cs="仿宋_GB2312" w:eastAsia="仿宋_GB2312"/>
        </w:rPr>
        <w:t>委托，拟对</w:t>
      </w:r>
      <w:r>
        <w:rPr>
          <w:rFonts w:ascii="仿宋_GB2312" w:hAnsi="仿宋_GB2312" w:cs="仿宋_GB2312" w:eastAsia="仿宋_GB2312"/>
        </w:rPr>
        <w:t>西安市残疾人联合会信息化建设及运维</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2025-HZZB-30B-006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西安市残疾人联合会信息化建设及运维</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西安市残疾人综合服务信息系统与“互联网 + 残疾人康复服务平台”经过多年建设与实施，以全市残疾人基础信息集中管理为核心纽带，有力推动了残联管理及业务体系的优化调整，成功实现了服务办公的线上化与便捷化。目前，该信息系统已平稳运行多年，进入运维阶段。为确保系统正常运行与服务能力的持续提升，需要专业的运维服务团队提供全方位的运维支持，同时做好平台数据安全与数据共享工作，以保障系统稳定高效运行，为残疾人事业提供有力支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采购包1（西安市残疾人联合会信息化建设及运维）：属于专门面向中小企业采购。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3、履行本合同所必需的设备和专业技术能力：提供具有履行本合同所必需的设备和专业技术能力的书面声明。</w:t>
      </w:r>
    </w:p>
    <w:p>
      <w:pPr>
        <w:pStyle w:val="null3"/>
      </w:pPr>
      <w:r>
        <w:rPr>
          <w:rFonts w:ascii="仿宋_GB2312" w:hAnsi="仿宋_GB2312" w:cs="仿宋_GB2312" w:eastAsia="仿宋_GB2312"/>
        </w:rPr>
        <w:t>4、无重大违法记录书面声明：提供参加政府采购活动前3年内在经营活动中没有重大违法记录的书面声明。</w:t>
      </w:r>
    </w:p>
    <w:p>
      <w:pPr>
        <w:pStyle w:val="null3"/>
      </w:pPr>
      <w:r>
        <w:rPr>
          <w:rFonts w:ascii="仿宋_GB2312" w:hAnsi="仿宋_GB2312" w:cs="仿宋_GB2312" w:eastAsia="仿宋_GB2312"/>
        </w:rPr>
        <w:t>5、法定代表人身份证明或法定代表人授权委托书：法定代表人直接参加投标的，须提供法定代表人身份证明；法定代表人授权代表参加投标的，须提供法定代表人授权委托书。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6、信誉要求：投标人未列入“失信被执行人”、“重大税收违法案件当事人名单”和“政府采购严重违法失信行为记录名单”。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西安市残疾人联合会（本级）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南二环西段17号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西安市残疾人联合会（本级）经办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15891548800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衡正国际工程咨询有限公司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西安市雁塔区科技西路绿地博海大厦16层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杨旭、仵严佳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13572940023、029-88720501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 xml:space="preserve"> / </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 / </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 xml:space="preserve"> / </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招标代理服务收费管理暂行办法》（计价格[2002]1980号）和国家发展改革委员会办公厅颁发的《关于招标代理服务收费有关问题的通知》（发改办价格[2011]534号）文件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西安市残疾人联合会（本级）</w:t>
      </w:r>
      <w:r>
        <w:rPr>
          <w:rFonts w:ascii="仿宋_GB2312" w:hAnsi="仿宋_GB2312" w:cs="仿宋_GB2312" w:eastAsia="仿宋_GB2312"/>
        </w:rPr>
        <w:t>和</w:t>
      </w:r>
      <w:r>
        <w:rPr>
          <w:rFonts w:ascii="仿宋_GB2312" w:hAnsi="仿宋_GB2312" w:cs="仿宋_GB2312" w:eastAsia="仿宋_GB2312"/>
        </w:rPr>
        <w:t>衡正国际工程咨询有限公司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西安市残疾人联合会（本级）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衡正国际工程咨询有限公司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西安市残疾人联合会（本级）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衡正国际工程咨询有限公司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联系人：杨旭、仵严佳</w:t>
      </w:r>
    </w:p>
    <w:p>
      <w:pPr>
        <w:pStyle w:val="null3"/>
      </w:pPr>
      <w:r>
        <w:rPr>
          <w:rFonts w:ascii="仿宋_GB2312" w:hAnsi="仿宋_GB2312" w:cs="仿宋_GB2312" w:eastAsia="仿宋_GB2312"/>
        </w:rPr>
        <w:t>联系电话：13572940023、029-88720501</w:t>
      </w:r>
    </w:p>
    <w:p>
      <w:pPr>
        <w:pStyle w:val="null3"/>
      </w:pPr>
      <w:r>
        <w:rPr>
          <w:rFonts w:ascii="仿宋_GB2312" w:hAnsi="仿宋_GB2312" w:cs="仿宋_GB2312" w:eastAsia="仿宋_GB2312"/>
        </w:rPr>
        <w:t>地址：西安市雁塔区科技西路绿地博海大厦16层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西安市残疾人综合服务信息系统与“互联网 + 残疾人康复服务平台”经过多年建设与实施，以全市残疾人基础信息集中管理为核心纽带，有力推动了残联管理及业务体系的优化调整，成功实现了服务办公的线上化与便捷化。目前，该信息系统已平稳运行多年，进入运维阶段。为确保系统正常运行与服务能力的持续提升，需要专业的运维服务团队提供全方位的运维支持，同时做好平台数据安全与数据共享工作，以保障系统稳定高效运行，为残疾人事业提供有力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467,000.00</w:t>
      </w:r>
    </w:p>
    <w:p>
      <w:pPr>
        <w:pStyle w:val="null3"/>
      </w:pPr>
      <w:r>
        <w:rPr>
          <w:rFonts w:ascii="仿宋_GB2312" w:hAnsi="仿宋_GB2312" w:cs="仿宋_GB2312" w:eastAsia="仿宋_GB2312"/>
        </w:rPr>
        <w:t>采购包最高限价（元）: 467,000.00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西安市残疾人联合会信息化建设及运维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标的名称：西安市残疾人联合会信息化建设及运维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服务内容</w:t>
            </w:r>
          </w:p>
          <w:p>
            <w:pPr>
              <w:pStyle w:val="null3"/>
              <w:jc w:val="left"/>
            </w:pPr>
            <w:r>
              <w:rPr>
                <w:rFonts w:ascii="仿宋_GB2312" w:hAnsi="仿宋_GB2312" w:cs="仿宋_GB2312" w:eastAsia="仿宋_GB2312"/>
              </w:rPr>
              <w:t>1. 残疾人综合服务系统</w:t>
            </w:r>
          </w:p>
          <w:p>
            <w:pPr>
              <w:pStyle w:val="null3"/>
              <w:jc w:val="left"/>
            </w:pPr>
            <w:r>
              <w:rPr>
                <w:rFonts w:ascii="仿宋_GB2312" w:hAnsi="仿宋_GB2312" w:cs="仿宋_GB2312" w:eastAsia="仿宋_GB2312"/>
              </w:rPr>
              <w:t>负责运维残疾人基础信息数据库，涵盖我市残疾人基本信息、专有信息、生活状况、教育背景、社会保障与就业情况，以及合作机构和福利企业相关信息的采集、加工、存储与处理。同时，对持证与非持证残疾人基础信息及全市行政区划进行统一管理，为系统应用提供底层数据支持。此外，维护残疾人康复、教育资助、就业帮扶、社会保障等业务模块正常运行，管理无障碍项目、组织建设项目、宣传文体等业务。</w:t>
            </w:r>
          </w:p>
          <w:p>
            <w:pPr>
              <w:pStyle w:val="null3"/>
              <w:jc w:val="left"/>
            </w:pPr>
            <w:r>
              <w:rPr>
                <w:rFonts w:ascii="仿宋_GB2312" w:hAnsi="仿宋_GB2312" w:cs="仿宋_GB2312" w:eastAsia="仿宋_GB2312"/>
              </w:rPr>
              <w:t>2. 互联网 + 残疾人康复服务管理系统</w:t>
            </w:r>
          </w:p>
          <w:p>
            <w:pPr>
              <w:pStyle w:val="null3"/>
              <w:jc w:val="left"/>
            </w:pPr>
            <w:r>
              <w:rPr>
                <w:rFonts w:ascii="仿宋_GB2312" w:hAnsi="仿宋_GB2312" w:cs="仿宋_GB2312" w:eastAsia="仿宋_GB2312"/>
              </w:rPr>
              <w:t>负责系统残联</w:t>
            </w:r>
            <w:r>
              <w:rPr>
                <w:rFonts w:ascii="仿宋_GB2312" w:hAnsi="仿宋_GB2312" w:cs="仿宋_GB2312" w:eastAsia="仿宋_GB2312"/>
              </w:rPr>
              <w:t>PC 端、机构 PC 端、服务端 APP、客户端 APP的日常数据维护、用户答疑与系统bug修复。对新政策、新业务进行调研、分析，提供可操作性的业务规划方案及信息化解决方案。针对新政策结合实际，新增需求功能的实施，对业务系统进行功能变更。定期通过省残联共享交换前置机，将康复数据上报至中国残联康复系统，避免基层工作人员重复录入，减轻其工作负担。</w:t>
            </w:r>
          </w:p>
          <w:p>
            <w:pPr>
              <w:pStyle w:val="null3"/>
              <w:jc w:val="left"/>
            </w:pPr>
            <w:r>
              <w:rPr>
                <w:rFonts w:ascii="仿宋_GB2312" w:hAnsi="仿宋_GB2312" w:cs="仿宋_GB2312" w:eastAsia="仿宋_GB2312"/>
              </w:rPr>
              <w:t>3. 机关信息化办公</w:t>
            </w:r>
          </w:p>
          <w:p>
            <w:pPr>
              <w:pStyle w:val="null3"/>
              <w:jc w:val="left"/>
            </w:pPr>
            <w:r>
              <w:rPr>
                <w:rFonts w:ascii="仿宋_GB2312" w:hAnsi="仿宋_GB2312" w:cs="仿宋_GB2312" w:eastAsia="仿宋_GB2312"/>
              </w:rPr>
              <w:t>负责机关日常网络、网站、微信公众号、微博、电脑、视频会议和打印机的维护。运维机关办公信息系统，运营维护手机</w:t>
            </w:r>
            <w:r>
              <w:rPr>
                <w:rFonts w:ascii="仿宋_GB2312" w:hAnsi="仿宋_GB2312" w:cs="仿宋_GB2312" w:eastAsia="仿宋_GB2312"/>
              </w:rPr>
              <w:t>App 客户端，提供人员权限变更、数据备份及系统升级服务。确保现有应用软件正常使用，提供答疑、误操作补救、数据完整性与一致性检查服务，以及应用软件和系统软件的故障咨询或报修服务。</w:t>
            </w:r>
          </w:p>
          <w:p>
            <w:pPr>
              <w:pStyle w:val="null3"/>
              <w:jc w:val="left"/>
            </w:pPr>
            <w:r>
              <w:rPr>
                <w:rFonts w:ascii="仿宋_GB2312" w:hAnsi="仿宋_GB2312" w:cs="仿宋_GB2312" w:eastAsia="仿宋_GB2312"/>
              </w:rPr>
              <w:t>4. 现有系统运行基础固件维护与日常巡检</w:t>
            </w:r>
          </w:p>
          <w:p>
            <w:pPr>
              <w:pStyle w:val="null3"/>
              <w:jc w:val="left"/>
            </w:pPr>
            <w:r>
              <w:rPr>
                <w:rFonts w:ascii="仿宋_GB2312" w:hAnsi="仿宋_GB2312" w:cs="仿宋_GB2312" w:eastAsia="仿宋_GB2312"/>
              </w:rPr>
              <w:t>提供业务系统相关软件、服务器、中间件和数据库等业务支撑平台的运行维护服务，以及各业务系统功能的运行维护服务。保障用户现有业务系统正常运行，提升系统整体服务水平。开展日常业务应用、数据服务器巡检，核查系统运行情况、文件系统空间、数据库连接信息、内存使用率、系统日志、系统时间、磁盘空间、</w:t>
            </w:r>
            <w:r>
              <w:rPr>
                <w:rFonts w:ascii="仿宋_GB2312" w:hAnsi="仿宋_GB2312" w:cs="仿宋_GB2312" w:eastAsia="仿宋_GB2312"/>
              </w:rPr>
              <w:t>CPU 利用率、备份数据等指标。基于日常维护数据和记录，为用户提供系统整体建设规划和建议。</w:t>
            </w:r>
          </w:p>
          <w:p>
            <w:pPr>
              <w:pStyle w:val="null3"/>
              <w:jc w:val="left"/>
            </w:pPr>
            <w:r>
              <w:rPr>
                <w:rFonts w:ascii="仿宋_GB2312" w:hAnsi="仿宋_GB2312" w:cs="仿宋_GB2312" w:eastAsia="仿宋_GB2312"/>
              </w:rPr>
              <w:t>5. 残疾人信息数据共享</w:t>
            </w:r>
          </w:p>
          <w:p>
            <w:pPr>
              <w:pStyle w:val="null3"/>
              <w:jc w:val="left"/>
            </w:pPr>
            <w:r>
              <w:rPr>
                <w:rFonts w:ascii="仿宋_GB2312" w:hAnsi="仿宋_GB2312" w:cs="仿宋_GB2312" w:eastAsia="仿宋_GB2312"/>
              </w:rPr>
              <w:t>综合利用现有系统和数据，实现现有系统与市政务平台的业务联通。通过多种渠道和方式，向市数据中枢平台进行数据融合与共享，满足关联部门的业务和数据共享需求。平台应满足困难群众社会救助信息化要求，实现数据实时共享与更新。依托市政务平台和省政务平台，实现市残联与省残联残疾人基础数据对接，每日共享西安市残疾人数据。</w:t>
            </w:r>
          </w:p>
          <w:p>
            <w:pPr>
              <w:pStyle w:val="null3"/>
              <w:jc w:val="both"/>
            </w:pPr>
            <w:r>
              <w:rPr>
                <w:rFonts w:ascii="仿宋_GB2312" w:hAnsi="仿宋_GB2312" w:cs="仿宋_GB2312" w:eastAsia="仿宋_GB2312"/>
                <w:sz w:val="21"/>
              </w:rPr>
              <w:t>本项目服务实施时间将根据项目需求调整，最终以月为单位据实结算。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技术标准</w:t>
            </w:r>
          </w:p>
          <w:p>
            <w:pPr>
              <w:pStyle w:val="null3"/>
              <w:jc w:val="left"/>
            </w:pPr>
            <w:r>
              <w:rPr>
                <w:rFonts w:ascii="仿宋_GB2312" w:hAnsi="仿宋_GB2312" w:cs="仿宋_GB2312" w:eastAsia="仿宋_GB2312"/>
              </w:rPr>
              <w:t>1．性能标准：系统可用性≥99.9%，故障响应时间≤30分钟，关键业务恢复时间≤2小时。</w:t>
            </w:r>
          </w:p>
          <w:p>
            <w:pPr>
              <w:pStyle w:val="null3"/>
              <w:jc w:val="left"/>
            </w:pPr>
            <w:r>
              <w:rPr>
                <w:rFonts w:ascii="仿宋_GB2312" w:hAnsi="仿宋_GB2312" w:cs="仿宋_GB2312" w:eastAsia="仿宋_GB2312"/>
              </w:rPr>
              <w:t>数据备份完整性</w:t>
            </w:r>
            <w:r>
              <w:rPr>
                <w:rFonts w:ascii="仿宋_GB2312" w:hAnsi="仿宋_GB2312" w:cs="仿宋_GB2312" w:eastAsia="仿宋_GB2312"/>
              </w:rPr>
              <w:t>100%，支持每日增量备份和每周全量备份。</w:t>
            </w:r>
          </w:p>
          <w:p>
            <w:pPr>
              <w:pStyle w:val="null3"/>
              <w:jc w:val="left"/>
            </w:pPr>
            <w:r>
              <w:rPr>
                <w:rFonts w:ascii="仿宋_GB2312" w:hAnsi="仿宋_GB2312" w:cs="仿宋_GB2312" w:eastAsia="仿宋_GB2312"/>
              </w:rPr>
              <w:t>2．质量标准：系统高危漏洞数量0个。</w:t>
            </w:r>
          </w:p>
          <w:p>
            <w:pPr>
              <w:pStyle w:val="null3"/>
              <w:jc w:val="both"/>
            </w:pPr>
            <w:r>
              <w:rPr>
                <w:rFonts w:ascii="仿宋_GB2312" w:hAnsi="仿宋_GB2312" w:cs="仿宋_GB2312" w:eastAsia="仿宋_GB2312"/>
              </w:rPr>
              <w:t>系统组件更新全部以稳定版为标准。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服务质量要求</w:t>
            </w:r>
          </w:p>
          <w:p>
            <w:pPr>
              <w:pStyle w:val="null3"/>
              <w:jc w:val="left"/>
            </w:pPr>
            <w:r>
              <w:rPr>
                <w:rFonts w:ascii="仿宋_GB2312" w:hAnsi="仿宋_GB2312" w:cs="仿宋_GB2312" w:eastAsia="仿宋_GB2312"/>
              </w:rPr>
              <w:t>1．运维服务要求</w:t>
            </w:r>
          </w:p>
          <w:p>
            <w:pPr>
              <w:pStyle w:val="null3"/>
              <w:jc w:val="left"/>
            </w:pPr>
            <w:r>
              <w:rPr>
                <w:rFonts w:ascii="仿宋_GB2312" w:hAnsi="仿宋_GB2312" w:cs="仿宋_GB2312" w:eastAsia="仿宋_GB2312"/>
              </w:rPr>
              <w:t>运维方需提供</w:t>
            </w:r>
            <w:r>
              <w:rPr>
                <w:rFonts w:ascii="仿宋_GB2312" w:hAnsi="仿宋_GB2312" w:cs="仿宋_GB2312" w:eastAsia="仿宋_GB2312"/>
              </w:rPr>
              <w:t>7*24小时现场支持服务，定期查看系统运行状况、运行参数和日志记录；运维方需提供专人7*24小时技术支持，须提供专人的姓名、联系方式；运维方需提供现场5*8小时的驻场维护；运维方需在固定节假日提供相应负责维护工程师联系方式；运维方需对系统存在的安全隐患及需要优化的设备，及时进行现场参数调整和修改配置，消除隐患，提高性能；运维方能对于应用系统维护所涉及的内容提供维护及现场调整。</w:t>
            </w:r>
          </w:p>
          <w:p>
            <w:pPr>
              <w:pStyle w:val="null3"/>
              <w:jc w:val="left"/>
            </w:pPr>
            <w:r>
              <w:rPr>
                <w:rFonts w:ascii="仿宋_GB2312" w:hAnsi="仿宋_GB2312" w:cs="仿宋_GB2312" w:eastAsia="仿宋_GB2312"/>
              </w:rPr>
              <w:t>2．日常巡检要求</w:t>
            </w:r>
          </w:p>
          <w:p>
            <w:pPr>
              <w:pStyle w:val="null3"/>
              <w:jc w:val="left"/>
            </w:pPr>
            <w:r>
              <w:rPr>
                <w:rFonts w:ascii="仿宋_GB2312" w:hAnsi="仿宋_GB2312" w:cs="仿宋_GB2312" w:eastAsia="仿宋_GB2312"/>
              </w:rPr>
              <w:t>每季度安排对硬件进行巡检一次，巡检期间检查各类设备运行情况和运行日志。每月安排一次对应用系统的常规检查，排除故障隐患，并填写巡检反馈表。巡检完成后</w:t>
            </w:r>
            <w:r>
              <w:rPr>
                <w:rFonts w:ascii="仿宋_GB2312" w:hAnsi="仿宋_GB2312" w:cs="仿宋_GB2312" w:eastAsia="仿宋_GB2312"/>
              </w:rPr>
              <w:t>3个工作日之内编写巡检汇总报告并提交。</w:t>
            </w:r>
          </w:p>
          <w:p>
            <w:pPr>
              <w:pStyle w:val="null3"/>
              <w:jc w:val="left"/>
            </w:pPr>
            <w:r>
              <w:rPr>
                <w:rFonts w:ascii="仿宋_GB2312" w:hAnsi="仿宋_GB2312" w:cs="仿宋_GB2312" w:eastAsia="仿宋_GB2312"/>
              </w:rPr>
              <w:t>3．故障处理要求</w:t>
            </w:r>
          </w:p>
          <w:p>
            <w:pPr>
              <w:pStyle w:val="null3"/>
              <w:jc w:val="left"/>
            </w:pPr>
            <w:r>
              <w:rPr>
                <w:rFonts w:ascii="仿宋_GB2312" w:hAnsi="仿宋_GB2312" w:cs="仿宋_GB2312" w:eastAsia="仿宋_GB2312"/>
              </w:rPr>
              <w:t>运维方需提供</w:t>
            </w:r>
            <w:r>
              <w:rPr>
                <w:rFonts w:ascii="仿宋_GB2312" w:hAnsi="仿宋_GB2312" w:cs="仿宋_GB2312" w:eastAsia="仿宋_GB2312"/>
              </w:rPr>
              <w:t>7*24小时技术支持和响应服务。响应时间具体要求：</w:t>
            </w:r>
          </w:p>
          <w:p>
            <w:pPr>
              <w:pStyle w:val="null3"/>
              <w:jc w:val="left"/>
            </w:pPr>
            <w:r>
              <w:rPr>
                <w:rFonts w:ascii="仿宋_GB2312" w:hAnsi="仿宋_GB2312" w:cs="仿宋_GB2312" w:eastAsia="仿宋_GB2312"/>
              </w:rPr>
              <w:t>一般性故障：在系统出现故障后，接到相关部分故障报修，可通过电话进行技术支持，协助和指导用户进行排除故障。</w:t>
            </w:r>
          </w:p>
          <w:p>
            <w:pPr>
              <w:pStyle w:val="null3"/>
              <w:jc w:val="left"/>
            </w:pPr>
            <w:r>
              <w:rPr>
                <w:rFonts w:ascii="仿宋_GB2312" w:hAnsi="仿宋_GB2312" w:cs="仿宋_GB2312" w:eastAsia="仿宋_GB2312"/>
              </w:rPr>
              <w:t>紧急故障：当系统故障不能排除或系统出现紧急故障时，现场维护人员通知相应技术支持人员应在</w:t>
            </w:r>
            <w:r>
              <w:rPr>
                <w:rFonts w:ascii="仿宋_GB2312" w:hAnsi="仿宋_GB2312" w:cs="仿宋_GB2312" w:eastAsia="仿宋_GB2312"/>
              </w:rPr>
              <w:t>2小时内到达采购人故障现场进行紧急故障排除，时间要在24小时内完成故障修复。所有故障在处理结束后，都必须按要求在3个工作日之内出具相应分析报告和处理报告并提交。</w:t>
            </w:r>
          </w:p>
          <w:p>
            <w:pPr>
              <w:pStyle w:val="null3"/>
              <w:jc w:val="left"/>
            </w:pPr>
            <w:r>
              <w:rPr>
                <w:rFonts w:ascii="仿宋_GB2312" w:hAnsi="仿宋_GB2312" w:cs="仿宋_GB2312" w:eastAsia="仿宋_GB2312"/>
              </w:rPr>
              <w:t>4．运维服务人员技术要求</w:t>
            </w:r>
          </w:p>
          <w:p>
            <w:pPr>
              <w:pStyle w:val="null3"/>
              <w:jc w:val="left"/>
            </w:pPr>
            <w:r>
              <w:rPr>
                <w:rFonts w:ascii="仿宋_GB2312" w:hAnsi="仿宋_GB2312" w:cs="仿宋_GB2312" w:eastAsia="仿宋_GB2312"/>
              </w:rPr>
              <w:t>在维护期内，对现场支持人员的要求如下：具有良好的沟通协作能力，及时反馈设备或软件的使用问题，获取技术支持和解决方案。</w:t>
            </w:r>
            <w:r>
              <w:rPr>
                <w:rFonts w:ascii="仿宋_GB2312" w:hAnsi="仿宋_GB2312" w:cs="仿宋_GB2312" w:eastAsia="仿宋_GB2312"/>
              </w:rPr>
              <w:t>熟悉残联各业务模块功能，可以快速定位问题解决问题，提升业务连续性及可用性；负责相关系统数据备份、日志分析、系统监控、性能优化、故障排查等。协调重大故障处理、分析和总结报告，跟踪、推进落实相应改善措施。熟悉数据库架构设计，可以进行数据性能调优、数据备份与恢复、安全合规策略制定漏洞管理，数据库升级和迁移。</w:t>
            </w:r>
          </w:p>
          <w:p>
            <w:pPr>
              <w:pStyle w:val="null3"/>
              <w:jc w:val="left"/>
            </w:pPr>
            <w:r>
              <w:rPr>
                <w:rFonts w:ascii="仿宋_GB2312" w:hAnsi="仿宋_GB2312" w:cs="仿宋_GB2312" w:eastAsia="仿宋_GB2312"/>
              </w:rPr>
              <w:t>5．运维报告要求</w:t>
            </w:r>
          </w:p>
          <w:p>
            <w:pPr>
              <w:pStyle w:val="null3"/>
              <w:jc w:val="both"/>
            </w:pPr>
            <w:r>
              <w:rPr>
                <w:rFonts w:ascii="仿宋_GB2312" w:hAnsi="仿宋_GB2312" w:cs="仿宋_GB2312" w:eastAsia="仿宋_GB2312"/>
              </w:rPr>
              <w:t>运维方所提供的各项运行维护服务，应按照用户统一要求提供书面维护报告；运维方应每隔半年向用户方提供运行维护小结，维护小结作为验收报告的组成部分。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验收依据及标准</w:t>
            </w:r>
          </w:p>
          <w:p>
            <w:pPr>
              <w:pStyle w:val="null3"/>
              <w:jc w:val="left"/>
            </w:pPr>
            <w:r>
              <w:rPr>
                <w:rFonts w:ascii="仿宋_GB2312" w:hAnsi="仿宋_GB2312" w:cs="仿宋_GB2312" w:eastAsia="仿宋_GB2312"/>
              </w:rPr>
              <w:t>验收依据：运维项目合同。</w:t>
            </w:r>
          </w:p>
          <w:p>
            <w:pPr>
              <w:pStyle w:val="null3"/>
              <w:jc w:val="both"/>
            </w:pPr>
            <w:r>
              <w:rPr>
                <w:rFonts w:ascii="仿宋_GB2312" w:hAnsi="仿宋_GB2312" w:cs="仿宋_GB2312" w:eastAsia="仿宋_GB2312"/>
              </w:rPr>
              <w:t>验收标准及方式：甲乙双方就本项目实施采取一次性最终验收，最终验收是指对本项目工作成果所进行的验收。最终验收在服务期限截止后由乙方提出申请，甲乙双方根据约定的要求进行最终验收，经验收合格的，甲方应当在10个工作日内签署最终验收报告。甲方无正当理由怠于验收或未在约定期限内签署终验验收报告的，自期限届满之日起视为最终验收合格;最终验收不合格的，乙方应当按照约定的要求整改并承担相应的费用，重新验收的具体方式及要求由甲乙双方另行协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人员设备要求</w:t>
            </w:r>
          </w:p>
          <w:p>
            <w:pPr>
              <w:pStyle w:val="null3"/>
              <w:jc w:val="left"/>
            </w:pPr>
            <w:r>
              <w:rPr>
                <w:rFonts w:ascii="仿宋_GB2312" w:hAnsi="仿宋_GB2312" w:cs="仿宋_GB2312" w:eastAsia="仿宋_GB2312"/>
              </w:rPr>
              <w:t>1．现场驻点服务人员。派驻2人团队常驻用户指定的办公地点；且未经过用户同意，不得随意更换维护工程师；维护项目组人员需提前10个工作日进驻用户单位，熟悉相关工作流程与运维环境。项目组中安排的人员必须熟悉本项目中其所需维护的软硬件及网络设备，有相应的项目维护经验。熟悉政府的办文办件流程，有较好的公文写作能力，有3年及以上的办文办件经验。</w:t>
            </w:r>
          </w:p>
          <w:p>
            <w:pPr>
              <w:pStyle w:val="null3"/>
              <w:jc w:val="left"/>
            </w:pPr>
            <w:r>
              <w:rPr>
                <w:rFonts w:ascii="仿宋_GB2312" w:hAnsi="仿宋_GB2312" w:cs="仿宋_GB2312" w:eastAsia="仿宋_GB2312"/>
              </w:rPr>
              <w:t>2．驻点人员管理要求。</w:t>
            </w:r>
          </w:p>
          <w:p>
            <w:pPr>
              <w:pStyle w:val="null3"/>
              <w:jc w:val="left"/>
            </w:pPr>
            <w:r>
              <w:rPr>
                <w:rFonts w:ascii="仿宋_GB2312" w:hAnsi="仿宋_GB2312" w:cs="仿宋_GB2312" w:eastAsia="仿宋_GB2312"/>
              </w:rPr>
              <w:t>（</w:t>
            </w:r>
            <w:r>
              <w:rPr>
                <w:rFonts w:ascii="仿宋_GB2312" w:hAnsi="仿宋_GB2312" w:cs="仿宋_GB2312" w:eastAsia="仿宋_GB2312"/>
              </w:rPr>
              <w:t>1）所派驻人员应严格遵守用户方的工作时间，工作期间不得从事其它活动。用户方统一加班时，派驻人员也必须安排人员加班，做好运维保障工作；</w:t>
            </w:r>
          </w:p>
          <w:p>
            <w:pPr>
              <w:pStyle w:val="null3"/>
              <w:jc w:val="left"/>
            </w:pPr>
            <w:r>
              <w:rPr>
                <w:rFonts w:ascii="仿宋_GB2312" w:hAnsi="仿宋_GB2312" w:cs="仿宋_GB2312" w:eastAsia="仿宋_GB2312"/>
              </w:rPr>
              <w:t>（</w:t>
            </w:r>
            <w:r>
              <w:rPr>
                <w:rFonts w:ascii="仿宋_GB2312" w:hAnsi="仿宋_GB2312" w:cs="仿宋_GB2312" w:eastAsia="仿宋_GB2312"/>
              </w:rPr>
              <w:t>2）所派驻人员参照用户方聘用制人员的休假制度，经用户方负责人批准后方可休假，休假期间投标方需补充相关能力的人员；</w:t>
            </w:r>
          </w:p>
          <w:p>
            <w:pPr>
              <w:pStyle w:val="null3"/>
              <w:jc w:val="left"/>
            </w:pPr>
            <w:r>
              <w:rPr>
                <w:rFonts w:ascii="仿宋_GB2312" w:hAnsi="仿宋_GB2312" w:cs="仿宋_GB2312" w:eastAsia="仿宋_GB2312"/>
              </w:rPr>
              <w:t>（</w:t>
            </w:r>
            <w:r>
              <w:rPr>
                <w:rFonts w:ascii="仿宋_GB2312" w:hAnsi="仿宋_GB2312" w:cs="仿宋_GB2312" w:eastAsia="仿宋_GB2312"/>
              </w:rPr>
              <w:t>3）所派驻人员发生变动更换时须提前1个月提交人员变更申请给用户方审批，经用户方批准同意后方可更换；</w:t>
            </w:r>
          </w:p>
          <w:p>
            <w:pPr>
              <w:pStyle w:val="null3"/>
              <w:jc w:val="both"/>
            </w:pPr>
            <w:r>
              <w:rPr>
                <w:rFonts w:ascii="仿宋_GB2312" w:hAnsi="仿宋_GB2312" w:cs="仿宋_GB2312" w:eastAsia="仿宋_GB2312"/>
              </w:rPr>
              <w:t>（4）所派驻人员要求采用优胜劣汰制度，淘汰不符合标准驻点人员；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供应商根据服务要求和国家及行业标准编制并响应。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供应商根据服务要求和国家及行业标准编制并响应。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用户指定地点。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政府采购合同的履行、违约责任和解决争议的方法等适用《中华人民共和国民法典》。政 府采购合同订立后，合同各方不得擅自变更或者中止或者终止合同。采购人按照政府采购合同规定的技术、服务、安全标准组 织对供应商履约情况进行验收，并出具验收书。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项目实施完成并经验收合格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出现以下行为视为违约，其违约责任由违约方承担。甲方有权依据违约情况中止合同进行或拒绝支付合同费用，并要求乙方做好善后工作；甲方违约，乙方有权中止履行合同或要求支付服务费用。因本合同及合同有关事项发生的争议，由甲乙双方友好协商解决。协商不成时，可以向有关组织申请调解。合同一方或双方不愿调解或调解不成的，可以通过仲裁或诉讼的方式解决争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供应商需要在线提交所有通过电子化交易平台实施的政府采购项目的投标文件，线下提交投标文件正本、副本数量及递交方式随后通知。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资格证明文件参考格式.docx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资格证明文件参考格式.docx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 资格证明文件参考格式.docx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资格证明文件参考格式.docx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资格证明文件参考格式.docx 报价表 其他内容.docx 业绩证明资料.docx 响应文件封面 分项报价表.docx 残疾人福利性单位声明函 服务方案 拟投入人员汇总表及设备说明.docx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与营业执照名称一致</w:t>
            </w:r>
          </w:p>
        </w:tc>
        <w:tc>
          <w:tcPr>
            <w:tcW w:type="dxa" w:w="1661"/>
          </w:tcPr>
          <w:p>
            <w:pPr>
              <w:pStyle w:val="null3"/>
            </w:pPr>
            <w:r>
              <w:rPr>
                <w:rFonts w:ascii="仿宋_GB2312" w:hAnsi="仿宋_GB2312" w:cs="仿宋_GB2312" w:eastAsia="仿宋_GB2312"/>
              </w:rPr>
              <w:t>响应文件封面 供应商应提交的相关资格证明材料 资格证明文件参考格式.docx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按照采购文件要求在响应文件中对应的位置签字、盖章</w:t>
            </w:r>
          </w:p>
        </w:tc>
        <w:tc>
          <w:tcPr>
            <w:tcW w:type="dxa" w:w="1661"/>
          </w:tcPr>
          <w:p>
            <w:pPr>
              <w:pStyle w:val="null3"/>
            </w:pPr>
            <w:r>
              <w:rPr>
                <w:rFonts w:ascii="仿宋_GB2312" w:hAnsi="仿宋_GB2312" w:cs="仿宋_GB2312" w:eastAsia="仿宋_GB2312"/>
              </w:rPr>
              <w:t>服务内容及服务邀请应答表 中小企业声明函 商务应答表 资格证明文件参考格式.docx 供应商应提交的相关资格证明材料 报价表 业绩证明资料.docx 响应文件封面 分项报价表.docx 残疾人福利性单位声明函 标的清单 拟投入人员汇总表及设备说明.docx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符合磋商文件的要求，供应商报价不得超过采购包最高限价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服务内容及服务邀请应答表 商务应答表 服务方案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内容至少包括①服务内容；②服务措施；③服务目标等。以上内容专门针对本项目且符合本项目实际需求的得15分，每缺一 项内容扣5分，若上述内容存在瑕疵，每出现一处瑕疵扣2分，扣完为止。“瑕疵” 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运维管理制度</w:t>
            </w:r>
          </w:p>
        </w:tc>
        <w:tc>
          <w:tcPr>
            <w:tcW w:type="dxa" w:w="2492"/>
          </w:tcPr>
          <w:p>
            <w:pPr>
              <w:pStyle w:val="null3"/>
            </w:pPr>
            <w:r>
              <w:rPr>
                <w:rFonts w:ascii="仿宋_GB2312" w:hAnsi="仿宋_GB2312" w:cs="仿宋_GB2312" w:eastAsia="仿宋_GB2312"/>
              </w:rPr>
              <w:t>内容至少包括①故障汇报处理工作制度、②软硬件系统维护工作制度、③安全保密工作制度、④日常监控工作制度、⑤驻场人员管理工作制度、⑥台账制作及管理制度。以上内容专门针对本项目且符合 本项目实际需求的得15分，每缺一项内容扣3分，若上述内容存在瑕疵，每出现一处瑕疵扣 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系统运维、项目实施中遇见紧急情况及遇见不可抗力因素时提出的应急保障方案制定的详细程度及合理周密性进行综合评分。①要素完备、组织架构明确、资源保障全面; ②风险识别精准、措施定制合理、重点目标防护针对性；③贴合实际情况、信息沟通有效。以上内容符合需求的得12分，每缺一项内容扣4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人员设备要求</w:t>
            </w:r>
          </w:p>
        </w:tc>
        <w:tc>
          <w:tcPr>
            <w:tcW w:type="dxa" w:w="2492"/>
          </w:tcPr>
          <w:p>
            <w:pPr>
              <w:pStyle w:val="null3"/>
            </w:pPr>
            <w:r>
              <w:rPr>
                <w:rFonts w:ascii="仿宋_GB2312" w:hAnsi="仿宋_GB2312" w:cs="仿宋_GB2312" w:eastAsia="仿宋_GB2312"/>
              </w:rPr>
              <w:t>针对本项目实施组织专业技术团队，并提供技术人员2人得4分，低于2人得0分，每增加1人加4分，最多加4分；同时提供科学合理的人员管理制度，得2分；满分10分。（需提供拟投入人员学历证书、身份证等相关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拟投入人员汇总表及设备说明.docx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内容至少包括①质量保证范围及措施；②服务水平保证措施；③技术服务及服务协调措施等。以上内容专门针对本项目且符合本项目实际 需求的得12分,每缺一项内容扣4分,若上述内容存在瑕疵，每出现一处瑕疵扣1分，扣完为止。“瑕疵 ”指内容明显错误，或内容不完整或缺少关键点,或不适用本项目特 性、套用其他项目内容或内容不能满足本项目实 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内容包括①培训方式、②培训人员、③培训内容、④培训计划等。以上内容专门针对本项目且符合本项目实际需求的得8分,每缺一项内容扣2分,若上述内容存在瑕疵，每出现一处瑕疵扣1分，扣完为止。“瑕疵 ”指内容明显错误，或内容不完整或缺少关键点,或不适用本项目特 性、套用其他项目内容或内容不能满足本项目实 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内容至少包括①保密管理 制度；②保密责任；③具体工作保密措施；④保密承诺等。以上内容专门针对本项目且符合本项目实际需求的得8分，每缺一项内容扣2分,若上述内容存在瑕疵，每出现一处瑕疵扣1分，扣完为止。“ 瑕疵” 指内容明显错误，或内容不完整或缺少关键点，或不适用本项目 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投标人具有2022年1月1日至今(以合同签订时间为准）同类项目业绩，投标文件中提供合同复印件加盖公章，每提供一个得2分，最高得10分。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其他内容.docx</w:t>
            </w:r>
          </w:p>
          <w:p>
            <w:pPr>
              <w:pStyle w:val="null3"/>
            </w:pPr>
            <w:r>
              <w:rPr>
                <w:rFonts w:ascii="仿宋_GB2312" w:hAnsi="仿宋_GB2312" w:cs="仿宋_GB2312" w:eastAsia="仿宋_GB2312"/>
              </w:rPr>
              <w:t>业绩证明资料.docx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满足招标文件要求且投标报价最低的报价为评标基准价，其价格分为满分。 投标报价得分=（评标基准价／投标报价）×价格分值。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详见附件：资格证明文件参考格式.docx</w:t>
      </w:r>
    </w:p>
    <w:p>
      <w:pPr>
        <w:pStyle w:val="null3"/>
        <w:ind w:firstLine="960"/>
      </w:pPr>
      <w:r>
        <w:rPr>
          <w:rFonts w:ascii="仿宋_GB2312" w:hAnsi="仿宋_GB2312" w:cs="仿宋_GB2312" w:eastAsia="仿宋_GB2312"/>
        </w:rPr>
        <w:t>详见附件：业绩证明资料.docx</w:t>
      </w:r>
    </w:p>
    <w:p>
      <w:pPr>
        <w:pStyle w:val="null3"/>
        <w:ind w:firstLine="960"/>
      </w:pPr>
      <w:r>
        <w:rPr>
          <w:rFonts w:ascii="仿宋_GB2312" w:hAnsi="仿宋_GB2312" w:cs="仿宋_GB2312" w:eastAsia="仿宋_GB2312"/>
        </w:rPr>
        <w:t>详见附件：其他内容.docx</w:t>
      </w:r>
    </w:p>
    <w:p>
      <w:pPr>
        <w:pStyle w:val="null3"/>
        <w:ind w:firstLine="960"/>
      </w:pPr>
      <w:r>
        <w:rPr>
          <w:rFonts w:ascii="仿宋_GB2312" w:hAnsi="仿宋_GB2312" w:cs="仿宋_GB2312" w:eastAsia="仿宋_GB2312"/>
        </w:rPr>
        <w:t>详见附件：拟投入人员汇总表及设备说明.docx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