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版本号：OTXA-252003122320250916001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东软DSA球管维修服务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OTXA-2520031223</w:t>
      </w:r>
      <w:r>
        <w:br/>
      </w:r>
      <w:r>
        <w:br/>
      </w:r>
      <w:r>
        <w:br/>
      </w:r>
    </w:p>
    <w:p>
      <w:pPr>
        <w:pStyle w:val="null3"/>
        <w:jc w:val="center"/>
        <w:outlineLvl w:val="2"/>
      </w:pPr>
      <w:r>
        <w:rPr>
          <w:rFonts w:ascii="仿宋_GB2312" w:hAnsi="仿宋_GB2312" w:cs="仿宋_GB2312" w:eastAsia="仿宋_GB2312"/>
          <w:sz w:val="28"/>
          <w:b/>
        </w:rPr>
        <w:t>西安市第九医院</w:t>
      </w:r>
    </w:p>
    <w:p>
      <w:pPr>
        <w:pStyle w:val="null3"/>
        <w:jc w:val="center"/>
        <w:outlineLvl w:val="2"/>
      </w:pPr>
      <w:r>
        <w:rPr>
          <w:rFonts w:ascii="仿宋_GB2312" w:hAnsi="仿宋_GB2312" w:cs="仿宋_GB2312" w:eastAsia="仿宋_GB2312"/>
          <w:sz w:val="28"/>
          <w:b/>
        </w:rPr>
        <w:t>东方（西安）国际招标有限公司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东方（西安）国际招标有限公司</w:t>
      </w:r>
      <w:r>
        <w:rPr>
          <w:rFonts w:ascii="仿宋_GB2312" w:hAnsi="仿宋_GB2312" w:cs="仿宋_GB2312" w:eastAsia="仿宋_GB2312"/>
        </w:rPr>
        <w:t>（以下简称“代理机构”）受</w:t>
      </w:r>
      <w:r>
        <w:rPr>
          <w:rFonts w:ascii="仿宋_GB2312" w:hAnsi="仿宋_GB2312" w:cs="仿宋_GB2312" w:eastAsia="仿宋_GB2312"/>
        </w:rPr>
        <w:t>西安市第九医院</w:t>
      </w:r>
      <w:r>
        <w:rPr>
          <w:rFonts w:ascii="仿宋_GB2312" w:hAnsi="仿宋_GB2312" w:cs="仿宋_GB2312" w:eastAsia="仿宋_GB2312"/>
        </w:rPr>
        <w:t>委托，拟对</w:t>
      </w:r>
      <w:r>
        <w:rPr>
          <w:rFonts w:ascii="仿宋_GB2312" w:hAnsi="仿宋_GB2312" w:cs="仿宋_GB2312" w:eastAsia="仿宋_GB2312"/>
        </w:rPr>
        <w:t>东软DSA球管维修服务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OTXA-2520031223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东软DSA球管维修服务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东软DSA球管维修服务，服务期壹年。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有效的主体资格证明：在中华人民共和国境内注册，并有效存续的营业执照/事业单位法人证书/非企业专业服务机构执业许可证/民办非企业单位登记证书、税务登记证、组织机构代码证，或“三证合一”后的注册登记证。</w:t>
      </w:r>
    </w:p>
    <w:p>
      <w:pPr>
        <w:pStyle w:val="null3"/>
      </w:pPr>
      <w:r>
        <w:rPr>
          <w:rFonts w:ascii="仿宋_GB2312" w:hAnsi="仿宋_GB2312" w:cs="仿宋_GB2312" w:eastAsia="仿宋_GB2312"/>
        </w:rPr>
        <w:t>2、法定代表人委托授权书：：非法定代表人参加投标的，须提供法定代表人授权委托书及被授权人身份证、被授权人在投标单位近3个月连续缴纳的社保证明；法定代表人参加投标时,须提供法定代表人证明函及法定代表人身份证；</w:t>
      </w:r>
    </w:p>
    <w:p>
      <w:pPr>
        <w:pStyle w:val="null3"/>
      </w:pPr>
      <w:r>
        <w:rPr>
          <w:rFonts w:ascii="仿宋_GB2312" w:hAnsi="仿宋_GB2312" w:cs="仿宋_GB2312" w:eastAsia="仿宋_GB2312"/>
        </w:rPr>
        <w:t>3、履约能力：投标人须具有履行本合同所必需的设备和专业技术能力（提供承诺函）；</w:t>
      </w:r>
    </w:p>
    <w:p>
      <w:pPr>
        <w:pStyle w:val="null3"/>
      </w:pPr>
      <w:r>
        <w:rPr>
          <w:rFonts w:ascii="仿宋_GB2312" w:hAnsi="仿宋_GB2312" w:cs="仿宋_GB2312" w:eastAsia="仿宋_GB2312"/>
        </w:rPr>
        <w:t>4、医疗器械经营许可证：供应商须具备医疗器械经营许可证；</w:t>
      </w:r>
    </w:p>
    <w:p>
      <w:pPr>
        <w:pStyle w:val="null3"/>
      </w:pPr>
      <w:r>
        <w:rPr>
          <w:rFonts w:ascii="仿宋_GB2312" w:hAnsi="仿宋_GB2312" w:cs="仿宋_GB2312" w:eastAsia="仿宋_GB2312"/>
        </w:rPr>
        <w:t>5、具有良好的商业信誉和健全的财务会计制度（任选其一）：：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3财政部门认可的政府采购专业担保机构出具的投标担保函（以上三种形式的资料提供任何一种即可）；</w:t>
      </w:r>
    </w:p>
    <w:p>
      <w:pPr>
        <w:pStyle w:val="null3"/>
      </w:pPr>
      <w:r>
        <w:rPr>
          <w:rFonts w:ascii="仿宋_GB2312" w:hAnsi="仿宋_GB2312" w:cs="仿宋_GB2312" w:eastAsia="仿宋_GB2312"/>
        </w:rPr>
        <w:t>6、有依法缴纳税收和社会保障资金的良好记录：：6.1、社会保障资金缴纳证明：自2024年8月1日以来已缴存的至少连续三个月的社会保障资金缴存单据或社保机构开具的社会保险参保缴费情况证明，单据或证明上应有社保机构或代收机构的公章或业务专用章。依法不需要缴纳社会保障资金的投标人应提供相关文件证明。 6.2、税收缴纳证明：自2024年8月1日以来已缴纳的至少连续三个月的纳税证明或完税证明，纳税证明或完税证明上应有代收机构或税务机关的公章或业务专用章。依法免税的投标人应提供相关文件证明。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7、无重大违法记录声明：参加本次政府采购活动前3年内在经营活动中没有重大违法记录，以及未被列入失信被执行人、重大税收违法案件当事人名单、政府采购严重违法失信行为记录名单的书面声明。以及未被列入失信被执行人、重大税收违法案件当事人名单、政府采购严重违法失信行为记录名单的书面声明。同时附投标人在“信用中国”和“中国政府采购网”网站上的信用查询结果。：无重大违法记录声明：参加本次政府采购活动前3年内在经营活动中没有重大违法记录，以及未被列入失信被执行人、重大税收违法案件当事人名单、政府采购严重违法失信行为记录名单的书面声明。以及未被列入失信被执行人、重大税收违法案件当事人名单、政府采购严重违法失信行为记录名单的书面声明。同时附投标人在“信用中国”和“中国政府采购网”网站上的信用查询结果。</w:t>
      </w:r>
    </w:p>
    <w:p>
      <w:pPr>
        <w:pStyle w:val="null3"/>
      </w:pPr>
      <w:r>
        <w:rPr>
          <w:rFonts w:ascii="仿宋_GB2312" w:hAnsi="仿宋_GB2312" w:cs="仿宋_GB2312" w:eastAsia="仿宋_GB2312"/>
        </w:rPr>
        <w:t>8、信用信息：供应商的信用信息：8.1查询渠道：“信用中国”网站（www.creditchina.gov.vn）、中国政府采购网（www.ccgp.gov.vn）；以现场查询为准。 8.2截止时点：投标截止时间；8.3信用信息查询记录和证据留存的具体方式：网上查询 结果打印。 8.4信用信息的使用规则：凡在截止时点内，列入失信被执 行人、重大税收违法案件当事人名单、政府采购严重违法 失信行为记录名单的供应商，其投标视为无效投标；联合 体投标时，联合体成员存在不良信用记录的，视同联合体 存在不良信用记录，其投标视为无效投标。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西安市南二环东段151号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029-61165668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东方（西安）国际招标有限公司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太白南路181号西部电子社区A座A区208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孙翊轩、陈一凡、方丽娜、张强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029-89585662-807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代理服务费收费标准：代理服务费的金额参照国家发展计划委员会计价格[2002]1980号文件的规定标准下浮20%计算。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西安市第九医院</w:t>
      </w:r>
      <w:r>
        <w:rPr>
          <w:rFonts w:ascii="仿宋_GB2312" w:hAnsi="仿宋_GB2312" w:cs="仿宋_GB2312" w:eastAsia="仿宋_GB2312"/>
        </w:rPr>
        <w:t>和</w:t>
      </w:r>
      <w:r>
        <w:rPr>
          <w:rFonts w:ascii="仿宋_GB2312" w:hAnsi="仿宋_GB2312" w:cs="仿宋_GB2312" w:eastAsia="仿宋_GB2312"/>
        </w:rPr>
        <w:t>东方（西安）国际招标有限公司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东方（西安）国际招标有限公司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东方（西安）国际招标有限公司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满足本项目采购文件要求及相关行业规定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东方（西安）国际招标有限公司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联系人：孙翊轩、陈一凡、方丽娜、张强</w:t>
      </w:r>
    </w:p>
    <w:p>
      <w:pPr>
        <w:pStyle w:val="null3"/>
      </w:pPr>
      <w:r>
        <w:rPr>
          <w:rFonts w:ascii="仿宋_GB2312" w:hAnsi="仿宋_GB2312" w:cs="仿宋_GB2312" w:eastAsia="仿宋_GB2312"/>
        </w:rPr>
        <w:t>联系电话：029-89585662-807</w:t>
      </w:r>
    </w:p>
    <w:p>
      <w:pPr>
        <w:pStyle w:val="null3"/>
      </w:pPr>
      <w:r>
        <w:rPr>
          <w:rFonts w:ascii="仿宋_GB2312" w:hAnsi="仿宋_GB2312" w:cs="仿宋_GB2312" w:eastAsia="仿宋_GB2312"/>
        </w:rPr>
        <w:t>地址：太白南路181号西部电子社区A座A区208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东软DSA球管维修服务，服务期壹年。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东软DSA球管维修服务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标的名称：东软DSA球管维修服务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435"/>
              <w:tblBorders>
                <w:top w:val="none" w:color="000000" w:sz="4"/>
                <w:left w:val="none" w:color="000000" w:sz="4"/>
                <w:bottom w:val="none" w:color="000000" w:sz="4"/>
                <w:right w:val="none" w:color="000000" w:sz="4"/>
                <w:insideH w:val="none"/>
                <w:insideV w:val="none"/>
              </w:tblBorders>
            </w:tblPr>
            <w:tblGrid>
              <w:gridCol w:w="245"/>
              <w:gridCol w:w="2303"/>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供应商接到报修后</w:t>
                  </w:r>
                  <w:r>
                    <w:rPr>
                      <w:rFonts w:ascii="仿宋_GB2312" w:hAnsi="仿宋_GB2312" w:cs="仿宋_GB2312" w:eastAsia="仿宋_GB2312"/>
                      <w:sz w:val="19"/>
                    </w:rPr>
                    <w:t>2小时响应，6个小时内到达场地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供应商提供</w:t>
                  </w:r>
                  <w:r>
                    <w:rPr>
                      <w:rFonts w:ascii="仿宋_GB2312" w:hAnsi="仿宋_GB2312" w:cs="仿宋_GB2312" w:eastAsia="仿宋_GB2312"/>
                      <w:sz w:val="19"/>
                    </w:rPr>
                    <w:t>7×24小时响应的400或800电话</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维修工程师具有维修该球管所属</w:t>
                  </w:r>
                  <w:r>
                    <w:rPr>
                      <w:rFonts w:ascii="仿宋_GB2312" w:hAnsi="仿宋_GB2312" w:cs="仿宋_GB2312" w:eastAsia="仿宋_GB2312"/>
                      <w:sz w:val="19"/>
                    </w:rPr>
                    <w:t>DSA的原厂维修资质并提供证明文件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供应商具有远程</w:t>
                  </w:r>
                  <w:r>
                    <w:rPr>
                      <w:rFonts w:ascii="仿宋_GB2312" w:hAnsi="仿宋_GB2312" w:cs="仿宋_GB2312" w:eastAsia="仿宋_GB2312"/>
                      <w:sz w:val="19"/>
                    </w:rPr>
                    <w:t>监测</w:t>
                  </w:r>
                  <w:r>
                    <w:rPr>
                      <w:rFonts w:ascii="仿宋_GB2312" w:hAnsi="仿宋_GB2312" w:cs="仿宋_GB2312" w:eastAsia="仿宋_GB2312"/>
                      <w:sz w:val="19"/>
                    </w:rPr>
                    <w:t>诊断的能力，同时保证病人影像资料安全，要求提供信息系统安全等级保护备案证明</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维修、调试工艺符合相应的国家标准，没有国家标准的，必须按照设备出厂技术标准进项安装调试，保证各项功能能通过主机操作系统正常测试并保证各项功能完整、正常使用。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供应商须具有合法进入并合法使用设备全部软件系统的能力，</w:t>
                  </w:r>
                  <w:r>
                    <w:rPr>
                      <w:rFonts w:ascii="仿宋_GB2312" w:hAnsi="仿宋_GB2312" w:cs="仿宋_GB2312" w:eastAsia="仿宋_GB2312"/>
                      <w:sz w:val="19"/>
                    </w:rPr>
                    <w:t>具有</w:t>
                  </w:r>
                  <w:r>
                    <w:rPr>
                      <w:rFonts w:ascii="仿宋_GB2312" w:hAnsi="仿宋_GB2312" w:cs="仿宋_GB2312" w:eastAsia="仿宋_GB2312"/>
                      <w:sz w:val="19"/>
                    </w:rPr>
                    <w:t>使用系统软件进行精准测试、精准调试设备的权限，提供设备软件系统版权证书或登记人的授权书原件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供应商维修后设备与原装球管参数一致。具体参数如下</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最大连续散热功率</w:t>
                  </w:r>
                  <w:r>
                    <w:rPr>
                      <w:rFonts w:ascii="仿宋_GB2312" w:hAnsi="仿宋_GB2312" w:cs="仿宋_GB2312" w:eastAsia="仿宋_GB2312"/>
                      <w:sz w:val="19"/>
                    </w:rPr>
                    <w:t>≥2900W</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最大透视管电流</w:t>
                  </w:r>
                  <w:r>
                    <w:rPr>
                      <w:rFonts w:ascii="仿宋_GB2312" w:hAnsi="仿宋_GB2312" w:cs="仿宋_GB2312" w:eastAsia="仿宋_GB2312"/>
                      <w:sz w:val="19"/>
                    </w:rPr>
                    <w:t>≥250mA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球管阳极转速</w:t>
                  </w:r>
                  <w:r>
                    <w:rPr>
                      <w:rFonts w:ascii="仿宋_GB2312" w:hAnsi="仿宋_GB2312" w:cs="仿宋_GB2312" w:eastAsia="仿宋_GB2312"/>
                      <w:sz w:val="19"/>
                    </w:rPr>
                    <w:t>≥10000转/分</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阳极热容量</w:t>
                  </w:r>
                  <w:r>
                    <w:rPr>
                      <w:rFonts w:ascii="仿宋_GB2312" w:hAnsi="仿宋_GB2312" w:cs="仿宋_GB2312" w:eastAsia="仿宋_GB2312"/>
                      <w:sz w:val="19"/>
                    </w:rPr>
                    <w:t>≥3MHU</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管套热容量</w:t>
                  </w:r>
                  <w:r>
                    <w:rPr>
                      <w:rFonts w:ascii="仿宋_GB2312" w:hAnsi="仿宋_GB2312" w:cs="仿宋_GB2312" w:eastAsia="仿宋_GB2312"/>
                      <w:sz w:val="19"/>
                    </w:rPr>
                    <w:t>≥4MHU</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球管最大管电压</w:t>
                  </w:r>
                  <w:r>
                    <w:rPr>
                      <w:rFonts w:ascii="仿宋_GB2312" w:hAnsi="仿宋_GB2312" w:cs="仿宋_GB2312" w:eastAsia="仿宋_GB2312"/>
                      <w:sz w:val="19"/>
                    </w:rPr>
                    <w:t>≥125KV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球管焦点</w:t>
                  </w:r>
                  <w:r>
                    <w:rPr>
                      <w:rFonts w:ascii="仿宋_GB2312" w:hAnsi="仿宋_GB2312" w:cs="仿宋_GB2312" w:eastAsia="仿宋_GB2312"/>
                      <w:sz w:val="19"/>
                    </w:rPr>
                    <w:t>≥3个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最小焦点</w:t>
                  </w:r>
                  <w:r>
                    <w:rPr>
                      <w:rFonts w:ascii="仿宋_GB2312" w:hAnsi="仿宋_GB2312" w:cs="仿宋_GB2312" w:eastAsia="仿宋_GB2312"/>
                      <w:sz w:val="19"/>
                    </w:rPr>
                    <w:t>≤0.3mm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中焦点</w:t>
                  </w:r>
                  <w:r>
                    <w:rPr>
                      <w:rFonts w:ascii="仿宋_GB2312" w:hAnsi="仿宋_GB2312" w:cs="仿宋_GB2312" w:eastAsia="仿宋_GB2312"/>
                      <w:sz w:val="19"/>
                    </w:rPr>
                    <w:t>≤0.6mm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7.10</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最大焦点</w:t>
                  </w:r>
                  <w:r>
                    <w:rPr>
                      <w:rFonts w:ascii="仿宋_GB2312" w:hAnsi="仿宋_GB2312" w:cs="仿宋_GB2312" w:eastAsia="仿宋_GB2312"/>
                      <w:sz w:val="19"/>
                    </w:rPr>
                    <w:t>≥1.0mm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7.11</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球管采用油冷加水冷的冷却方式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7.12</w:t>
                  </w:r>
                </w:p>
              </w:tc>
              <w:tc>
                <w:tcPr>
                  <w:tcW w:type="dxa" w:w="2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球管采用液态金属轴承技术</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满足本项目招标内容需求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满足本项目招标内容需求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1.质量要求：必须符合行业标准及甲方技术参数要求。 2.零配件及耗材要求：（包括专用工具）必须使用原厂全新配件；维修后必须进行完整的功能与安全验证（提供承诺书）。 3.安装环境与场地要求：无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自合同签订之日起壹年，配件验收合格之日起免费质保一年,质保期内若配件故障或损坏免费更换全新配件（提供承诺书）。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西安市第九医院院内（采购人指定地点）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（一）首次验收：更换维修完成后，先由乙方进行自检并出具自检报告，自检合格后告知甲方；甲方确认乙方的自检内容后，组织乙方进行首次验收。 （二）最终验收：质保满后，先由乙方进行自检并出具自检报告，自检合格后向甲方提验收申请；甲方确认乙方的自检内容后，组织乙方进行最终验收。 （三）乙方向甲方提交服务实施过程中的所有资料。以便甲方日后管理和维护。 （四）验收依据： 1、竞争性磋商文件、竞争性磋商响应文件、澄清表（函）； 2、本合同及附件文本（包括但不限于满意度调查表）；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第一次结算：成交供应商完成维修工作持首次验收单，自检报告、本合同、本合同金额的全额发票与采购人办理资金结算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第二次结算：质保期结束后，持最终验收单、自检报告、本合同与采购人办理资金结算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（二）未按合同要求提供服务或服务质量不能满足合同要求，甲方有权依据《民法典》有关条款及合同约定终止合同，并要求乙方承担违约责任。 （三）在本合同履行过程中，双方因违约或造成对方经济等损失的应当赔偿。 （四）乙方提供的服务不符合本项目相关文件和本合同规定的，甲方有权拒绝，并且乙方须向甲方支付本合同总价款 %的违约金。 （五）乙方未能按照本合同约定时间提供服务或完成约定的项目服务内容的，从逾期之日起每日按本合同总价款 %的数额向甲方支付违约金；逾期10日以上的，甲方有权终止合同，由此造成的甲方经济损失由乙方承担。 （六）未经甲方同意，乙方不得擅自将本合同服务转包第三方承担。</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1.质量要求：必须符合行业标准及甲方技术参数要求。 2.零配件及耗材要求：（包括专用工具）必须使用原厂全新配件；维修后必须进行完整的功能与安全验证（提供承诺书）。 3.安装环境与场地要求：无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 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3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有效的主体资格证明：在中华人民共和国境内注册，并有效存续的营业执照/事业单位法人证书/非企业专业服务机构执业许可证/民办非企业单位登记证书、税务登记证、组织机构代码证，或“三证合一”后的注册登记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非法定代表人参加投标的，须提供法定代表人授权委托书及被授权人身份证、被授权人在投标单位近3个月连续缴纳的社保证明；法定代表人参加投标时,须提供法定代表人证明函及法定代表人身份证；</w:t>
            </w:r>
          </w:p>
        </w:tc>
        <w:tc>
          <w:tcPr>
            <w:tcW w:type="dxa" w:w="1661"/>
          </w:tcPr>
          <w:p>
            <w:pPr>
              <w:pStyle w:val="null3"/>
            </w:pPr>
            <w:r>
              <w:rPr>
                <w:rFonts w:ascii="仿宋_GB2312" w:hAnsi="仿宋_GB2312" w:cs="仿宋_GB2312" w:eastAsia="仿宋_GB2312"/>
              </w:rPr>
              <w:t>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投标人须具有履行本合同所必需的设备和专业技术能力（提供承诺函）；</w:t>
            </w:r>
          </w:p>
        </w:tc>
        <w:tc>
          <w:tcPr>
            <w:tcW w:type="dxa" w:w="1661"/>
          </w:tcPr>
          <w:p>
            <w:pPr>
              <w:pStyle w:val="null3"/>
            </w:pPr>
            <w:r>
              <w:rPr>
                <w:rFonts w:ascii="仿宋_GB2312" w:hAnsi="仿宋_GB2312" w:cs="仿宋_GB2312" w:eastAsia="仿宋_GB2312"/>
              </w:rPr>
              <w:t>投标人具有履行本合同所必需的设备和专业技术能力的说明及承诺.docx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供应商须具备医疗器械经营许可证；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具有良好的商业信誉和健全的财务会计制度（任选其一）：</w:t>
            </w:r>
          </w:p>
        </w:tc>
        <w:tc>
          <w:tcPr>
            <w:tcW w:type="dxa" w:w="3322"/>
          </w:tcPr>
          <w:p>
            <w:pPr>
              <w:pStyle w:val="null3"/>
            </w:pPr>
            <w:r>
              <w:rPr>
                <w:rFonts w:ascii="仿宋_GB2312" w:hAnsi="仿宋_GB2312" w:cs="仿宋_GB2312" w:eastAsia="仿宋_GB2312"/>
              </w:rPr>
              <w:t>1、提供2024年度经审计的财务会计报告（至少包括审计报告、资产负债表和利润表，成立时间至提交投标文件截止时间不足一年的可提供成立后任意时段的资产负债表）；2、或提供投标人基本存款账户信息及开标日期前三个月内其基本存款账户开户银行出具的资信证明。3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6.1、社会保障资金缴纳证明：自2024年8月1日以来已缴存的至少连续三个月的社会保障资金缴存单据或社保机构开具的社会保险参保缴费情况证明，单据或证明上应有社保机构或代收机构的公章或业务专用章。依法不需要缴纳社会保障资金的投标人应提供相关文件证明。 6.2、税收缴纳证明：自2024年8月1日以来已缴纳的至少连续三个月的纳税证明或完税证明，纳税证明或完税证明上应有代收机构或税务机关的公章或业务专用章。依法免税的投标人应提供相关文件证明。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参加本次政府采购活动前3年内在经营活动中没有重大违法记录，以及未被列入失信被执行人、重大税收违法案件当事人名单、政府采购严重违法失信行为记录名单的书面声明。以及未被列入失信被执行人、重大税收违法案件当事人名单、政府采购严重违法失信行为记录名单的书面声明。同时附投标人在“信用中国”和“中国政府采购网”网站上的信用查询结果。</w:t>
            </w:r>
          </w:p>
        </w:tc>
        <w:tc>
          <w:tcPr>
            <w:tcW w:type="dxa" w:w="3322"/>
          </w:tcPr>
          <w:p>
            <w:pPr>
              <w:pStyle w:val="null3"/>
            </w:pPr>
            <w:r>
              <w:rPr>
                <w:rFonts w:ascii="仿宋_GB2312" w:hAnsi="仿宋_GB2312" w:cs="仿宋_GB2312" w:eastAsia="仿宋_GB2312"/>
              </w:rPr>
              <w:t>无重大违法记录声明：参加本次政府采购活动前3年内在经营活动中没有重大违法记录，以及未被列入失信被执行人、重大税收违法案件当事人名单、政府采购严重违法失信行为记录名单的书面声明。以及未被列入失信被执行人、重大税收违法案件当事人名单、政府采购严重违法失信行为记录名单的书面声明。同时附投标人在“信用中国”和“中国政府采购网”网站上的信用查询结果。</w:t>
            </w:r>
          </w:p>
        </w:tc>
        <w:tc>
          <w:tcPr>
            <w:tcW w:type="dxa" w:w="1661"/>
          </w:tcPr>
          <w:p>
            <w:pPr>
              <w:pStyle w:val="null3"/>
            </w:pPr>
            <w:r>
              <w:rPr>
                <w:rFonts w:ascii="仿宋_GB2312" w:hAnsi="仿宋_GB2312" w:cs="仿宋_GB2312" w:eastAsia="仿宋_GB2312"/>
              </w:rPr>
              <w:t>投标人无重大违法记录的书面声明.docx 西安市政府采购供应商拒绝政府采购领域商业贿赂承诺书.docx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供应商的信用信息：8.1查询渠道：“信用中国”网站（www.creditchina.gov.vn）、中国政府采购网（www.ccgp.gov.vn）；以现场查询为准。 8.2截止时点：投标截止时间；8.3信用信息查询记录和证据留存的具体方式：网上查询 结果打印。 8.4信用信息的使用规则：凡在截止时点内，列入失信被执 行人、重大税收违法案件当事人名单、政府采购严重违法 失信行为记录名单的供应商，其投标视为无效投标；联合 体投标时，联合体成员存在不良信用记录的，视同联合体 存在不良信用记录，其投标视为无效投标。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1.符合性检查： 1.1投标文件的完整性审查。 1.1.1投标文件是否按照招标文件要求的格式编写； 1.1.2投标内容是否有重大缺漏项。 1.2投标文件的有效性审查。 1.2.1投标文件的签署、加盖印章是否合格、有效；提供的各种证明文件、数据、资料是否真实、有效。 1.2.2代理商投标时，是否提交了合格有效的货物来源渠道证明文件。（若有） 1.2.3是否提交了合格有效的本次采购特别要求的服务合格性证明。（若有） 1.3投标文件的响应性审查。 1.3.1投标报价是否超过采购预算； 1.3.2投标报价是否低于成本价，涉嫌不正当竞争；（如果评委会认为某投标报价明显不合理或者低于成本，应当要求其在规定期限内提供书面文件予以解释说明，并提交相关证明材料。） 1.3.3投标有效期是否符合招标文件的要求； 1.3.4投标文件响应内容是否符合国家法律法规，是否实质性响应了招标文件要求的全部条款、条件和规格要求，并且提供了支持文件，没有重大偏离。对于重大偏离，在开标后不得澄清、纠正及补充。</w:t>
            </w:r>
          </w:p>
        </w:tc>
        <w:tc>
          <w:tcPr>
            <w:tcW w:type="dxa" w:w="1661"/>
          </w:tcPr>
          <w:p>
            <w:pPr>
              <w:pStyle w:val="null3"/>
            </w:pPr>
            <w:r>
              <w:rPr>
                <w:rFonts w:ascii="仿宋_GB2312" w:hAnsi="仿宋_GB2312" w:cs="仿宋_GB2312" w:eastAsia="仿宋_GB2312"/>
              </w:rPr>
              <w:t>响应文件封面 投标方案说明书.docx 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提供利益关系承诺函（实质性要求）</w:t>
            </w:r>
          </w:p>
        </w:tc>
        <w:tc>
          <w:tcPr>
            <w:tcW w:type="dxa" w:w="3322"/>
          </w:tcPr>
          <w:p>
            <w:pPr>
              <w:pStyle w:val="null3"/>
            </w:pPr>
            <w:r>
              <w:rPr>
                <w:rFonts w:ascii="仿宋_GB2312" w:hAnsi="仿宋_GB2312" w:cs="仿宋_GB2312" w:eastAsia="仿宋_GB2312"/>
              </w:rPr>
              <w:t>承诺函内容详见附件</w:t>
            </w:r>
          </w:p>
        </w:tc>
        <w:tc>
          <w:tcPr>
            <w:tcW w:type="dxa" w:w="1661"/>
          </w:tcPr>
          <w:p>
            <w:pPr>
              <w:pStyle w:val="null3"/>
            </w:pPr>
            <w:r>
              <w:rPr>
                <w:rFonts w:ascii="仿宋_GB2312" w:hAnsi="仿宋_GB2312" w:cs="仿宋_GB2312" w:eastAsia="仿宋_GB2312"/>
              </w:rPr>
              <w:t>利益关系承诺函.docx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提供声明函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声明函.docx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提供承诺书</w:t>
            </w:r>
          </w:p>
        </w:tc>
        <w:tc>
          <w:tcPr>
            <w:tcW w:type="dxa" w:w="3322"/>
          </w:tcPr>
          <w:p>
            <w:pPr>
              <w:pStyle w:val="null3"/>
            </w:pPr>
            <w:r>
              <w:rPr>
                <w:rFonts w:ascii="仿宋_GB2312" w:hAnsi="仿宋_GB2312" w:cs="仿宋_GB2312" w:eastAsia="仿宋_GB2312"/>
              </w:rPr>
              <w:t>承诺声明投标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服务响应内容</w:t>
            </w:r>
          </w:p>
        </w:tc>
        <w:tc>
          <w:tcPr>
            <w:tcW w:type="dxa" w:w="2492"/>
          </w:tcPr>
          <w:p>
            <w:pPr>
              <w:pStyle w:val="null3"/>
            </w:pPr>
            <w:r>
              <w:rPr>
                <w:rFonts w:ascii="仿宋_GB2312" w:hAnsi="仿宋_GB2312" w:cs="仿宋_GB2312" w:eastAsia="仿宋_GB2312"/>
              </w:rPr>
              <w:t>依据磋商响应文件所提供的磋商响应服务要求的响应程度，按差别赋分：完全满足磋商文件服务要求，得满分；服务要求一项不满足，扣3分；扣完为止，不计负分。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根据响应文件提供的响应单位拟投入本项目的服务团队信息，包括但不限于①团队人员清单信息②人员简历及从业经历等③维修工程师资质④岗位设置及安排。 上述4方面内容中每有1项分析内容完整、与项目需求吻合、思路清晰、层次细化，有具体详细的闸述且符合项目要求的得3分，最高得12分；每缺少一项内容的扣3分，每有一处需求分析内容存在缺陷或不足的扣 1.5分，扣完为止。（缺陷是指：存在不适用项目实际情况的情形、凭空编造、内容不完整、逻辑不清晰、涉及的规范及标准错误、地点地区错误、内容缺漏、套用其他项目等不能完全满足招标文件要求等）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响应文件提供的响应单位针对本项提供的实施方案，方案内容至少包括①故障报修响应安排及电话技术支持②设备维护方案③安全、质量保证措施④是否可行并具备可落地性、可扩展性；⑤相关技术支持材料，自主赋分： 上述5方面内容中每有1项分析内容完整、与项目需求吻合、思路清晰、层次细化，有具体详细的闸述且符合项目要求的得2.4分，最高得12分；每缺少一项内容的扣2.4分，每有一处需求分析内容存在缺陷或不足的扣 1.5分，扣完为止。（缺陷是指：存在不适用项目实际情况的情形、凭空编造、内容不完整、逻辑不清晰、涉及的规范及标准错误、地点地区错误、内容缺漏、套用其他项目等不能完全满足招标文件要求等） 注：未提供总体设计方案，本项不得分。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需求解析</w:t>
            </w:r>
          </w:p>
        </w:tc>
        <w:tc>
          <w:tcPr>
            <w:tcW w:type="dxa" w:w="2492"/>
          </w:tcPr>
          <w:p>
            <w:pPr>
              <w:pStyle w:val="null3"/>
            </w:pPr>
            <w:r>
              <w:rPr>
                <w:rFonts w:ascii="仿宋_GB2312" w:hAnsi="仿宋_GB2312" w:cs="仿宋_GB2312" w:eastAsia="仿宋_GB2312"/>
              </w:rPr>
              <w:t>依据响应文件所提供的需求解析，至少包含①对维保设备(软件、硬件)的了解②设备常见故障分析③设备保养方案④软件支持等，上述4方面内容中每有1项分析内容完整、与项目需求吻合、思路清晰、层次细化，有具体详细的闸述且符合项目要求的得1.5分，最高得6分；每缺少一项内容的扣1.5分，每有一处需求分析内容存在缺陷或不足的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根据响应文件提供的响应单位针对本项提供的验收方案，至少包括①验收进度安排②验收内容③验收团队信息④验收方案的可行性、针对性。 上述4方面内容中每有1项分析内容完整、与项目需求吻合、思路清晰、层次细化，有具体详细的闸述且符合项目要求的得2分，最高得8分；每缺少一项内容的扣2分，每有一处需求分析内容存在缺陷或不足的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备品备件及专用工具配备方案</w:t>
            </w:r>
          </w:p>
        </w:tc>
        <w:tc>
          <w:tcPr>
            <w:tcW w:type="dxa" w:w="2492"/>
          </w:tcPr>
          <w:p>
            <w:pPr>
              <w:pStyle w:val="null3"/>
            </w:pPr>
            <w:r>
              <w:rPr>
                <w:rFonts w:ascii="仿宋_GB2312" w:hAnsi="仿宋_GB2312" w:cs="仿宋_GB2312" w:eastAsia="仿宋_GB2312"/>
              </w:rPr>
              <w:t>投标人针对本项目提供备品备件及专用工具配备方案，方案内容至少包括①备品备件及专用工具清单、报价及规格；②备品备件及专用工具供货保障能力等内容。 上述2方面内容中每有1项分析内容完整、与项目需求吻合、思路清晰、层次细化，有具体详细的闸述且符合项目要求的得5分，最高得10分；每缺少一项内容的扣 5分，每有一处需求分析内容存在缺陷或不足的扣3分，扣完为止。 注：未提供配备方案或备品备件承诺有效期年限≤质量保证期的，本项不得分。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提供2022年8月至今同类服务成功实施业绩证明材料（以合同复印件为准，合同复印件至少含封皮、首页、能反映采购内容页、双方签字盖章页等），每提供1个得2分，最高得10分。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最低评审价为评审基准价，得20分。 2.按（评审基准价/评审价×20）的公式计算价格得分。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详见附件：投标人具有履行本合同所必需的设备和专业技术能力的说明及承诺.docx</w:t>
      </w:r>
    </w:p>
    <w:p>
      <w:pPr>
        <w:pStyle w:val="null3"/>
        <w:ind w:firstLine="960"/>
      </w:pPr>
      <w:r>
        <w:rPr>
          <w:rFonts w:ascii="仿宋_GB2312" w:hAnsi="仿宋_GB2312" w:cs="仿宋_GB2312" w:eastAsia="仿宋_GB2312"/>
        </w:rPr>
        <w:t>详见附件：投标人无重大违法记录的书面声明.docx</w:t>
      </w:r>
    </w:p>
    <w:p>
      <w:pPr>
        <w:pStyle w:val="null3"/>
        <w:ind w:firstLine="960"/>
      </w:pPr>
      <w:r>
        <w:rPr>
          <w:rFonts w:ascii="仿宋_GB2312" w:hAnsi="仿宋_GB2312" w:cs="仿宋_GB2312" w:eastAsia="仿宋_GB2312"/>
        </w:rPr>
        <w:t>详见附件：西安市政府采购供应商拒绝政府采购领域商业贿赂承诺书.docx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