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1D473">
      <w:pPr>
        <w:spacing w:before="156" w:beforeLines="50" w:after="156" w:afterLines="50" w:line="360" w:lineRule="auto"/>
        <w:jc w:val="center"/>
        <w:rPr>
          <w:rFonts w:hint="default" w:ascii="仿宋" w:hAnsi="仿宋" w:eastAsia="仿宋" w:cs="仿宋"/>
          <w:b/>
          <w:color w:val="auto"/>
          <w:sz w:val="28"/>
          <w:szCs w:val="44"/>
          <w:highlight w:val="none"/>
          <w:lang w:val="en-US" w:eastAsia="zh-CN"/>
        </w:rPr>
      </w:pPr>
      <w:r>
        <w:rPr>
          <w:rFonts w:hint="eastAsia" w:ascii="仿宋" w:hAnsi="仿宋" w:eastAsia="仿宋" w:cs="仿宋"/>
          <w:b/>
          <w:color w:val="auto"/>
          <w:sz w:val="28"/>
          <w:szCs w:val="44"/>
          <w:highlight w:val="none"/>
          <w:lang w:val="en-US" w:eastAsia="zh-CN"/>
        </w:rPr>
        <w:t>合同主要条款</w:t>
      </w:r>
    </w:p>
    <w:p w14:paraId="1536A9E4">
      <w:pPr>
        <w:spacing w:before="156" w:beforeLines="50" w:after="156" w:afterLines="50" w:line="360" w:lineRule="auto"/>
        <w:jc w:val="center"/>
        <w:rPr>
          <w:rFonts w:ascii="仿宋" w:hAnsi="仿宋" w:eastAsia="仿宋" w:cs="仿宋"/>
          <w:b/>
          <w:color w:val="auto"/>
          <w:szCs w:val="32"/>
          <w:highlight w:val="none"/>
        </w:rPr>
      </w:pPr>
      <w:r>
        <w:rPr>
          <w:rFonts w:hint="eastAsia" w:ascii="仿宋" w:hAnsi="仿宋" w:eastAsia="仿宋" w:cs="仿宋"/>
          <w:b/>
          <w:color w:val="auto"/>
          <w:szCs w:val="32"/>
          <w:highlight w:val="none"/>
        </w:rPr>
        <w:t>(本合同仅供参考 具体以双方签订为准）</w:t>
      </w:r>
    </w:p>
    <w:p w14:paraId="0AA17B01">
      <w:pPr>
        <w:autoSpaceDE w:val="0"/>
        <w:autoSpaceDN w:val="0"/>
        <w:adjustRightInd w:val="0"/>
        <w:spacing w:line="360" w:lineRule="auto"/>
        <w:ind w:firstLine="480" w:firstLineChars="200"/>
        <w:rPr>
          <w:rFonts w:hint="default" w:ascii="仿宋" w:hAnsi="仿宋" w:eastAsia="仿宋" w:cs="仿宋"/>
          <w:color w:val="auto"/>
          <w:sz w:val="24"/>
          <w:highlight w:val="none"/>
          <w:lang w:val="en-US" w:eastAsia="zh-CN"/>
        </w:rPr>
      </w:pPr>
      <w:r>
        <w:rPr>
          <w:rFonts w:hint="eastAsia" w:ascii="仿宋" w:hAnsi="仿宋" w:eastAsia="仿宋" w:cs="仿宋"/>
          <w:bCs/>
          <w:color w:val="auto"/>
          <w:sz w:val="24"/>
          <w:highlight w:val="none"/>
        </w:rPr>
        <w:t>甲方：</w:t>
      </w:r>
      <w:r>
        <w:rPr>
          <w:rFonts w:hint="eastAsia" w:ascii="仿宋" w:hAnsi="仿宋" w:eastAsia="仿宋" w:cs="仿宋"/>
          <w:bCs/>
          <w:color w:val="auto"/>
          <w:sz w:val="24"/>
          <w:highlight w:val="none"/>
          <w:lang w:val="en-US" w:eastAsia="zh-CN"/>
        </w:rPr>
        <w:t>西安市水务局</w:t>
      </w:r>
    </w:p>
    <w:p w14:paraId="331CE3E1">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乙方：</w:t>
      </w:r>
    </w:p>
    <w:p w14:paraId="30B1FB21">
      <w:pPr>
        <w:autoSpaceDE w:val="0"/>
        <w:autoSpaceDN w:val="0"/>
        <w:adjustRightInd w:val="0"/>
        <w:spacing w:line="360" w:lineRule="auto"/>
        <w:ind w:firstLine="480" w:firstLineChars="200"/>
        <w:rPr>
          <w:rFonts w:ascii="仿宋" w:hAnsi="仿宋" w:eastAsia="仿宋" w:cs="仿宋"/>
          <w:bCs/>
          <w:color w:val="auto"/>
          <w:sz w:val="24"/>
          <w:highlight w:val="none"/>
        </w:rPr>
      </w:pPr>
      <w:bookmarkStart w:id="0" w:name="auto_fouce_1"/>
      <w:r>
        <w:rPr>
          <w:rFonts w:hint="eastAsia" w:ascii="仿宋" w:hAnsi="仿宋" w:eastAsia="仿宋" w:cs="仿宋"/>
          <w:bCs/>
          <w:color w:val="auto"/>
          <w:sz w:val="24"/>
          <w:highlight w:val="none"/>
          <w:u w:val="single"/>
        </w:rPr>
        <w:t>西安市中心城区暴雨强度公式和暴雨雨型修订项目</w:t>
      </w:r>
      <w:r>
        <w:rPr>
          <w:rFonts w:hint="eastAsia" w:ascii="仿宋" w:hAnsi="仿宋" w:eastAsia="仿宋" w:cs="仿宋"/>
          <w:bCs/>
          <w:color w:val="auto"/>
          <w:sz w:val="24"/>
          <w:highlight w:val="none"/>
        </w:rPr>
        <w:t>(项目编号：</w:t>
      </w:r>
      <w:r>
        <w:rPr>
          <w:rFonts w:hint="eastAsia" w:ascii="仿宋" w:hAnsi="仿宋" w:eastAsia="仿宋" w:cs="仿宋"/>
          <w:bCs/>
          <w:color w:val="auto"/>
          <w:sz w:val="24"/>
          <w:highlight w:val="none"/>
          <w:u w:val="single"/>
          <w:lang w:val="en-US" w:eastAsia="zh-CN"/>
        </w:rPr>
        <w:t xml:space="preserve">            </w:t>
      </w:r>
      <w:r>
        <w:rPr>
          <w:rFonts w:hint="eastAsia" w:ascii="仿宋" w:hAnsi="仿宋" w:eastAsia="仿宋" w:cs="仿宋"/>
          <w:bCs/>
          <w:color w:val="auto"/>
          <w:sz w:val="24"/>
          <w:highlight w:val="none"/>
        </w:rPr>
        <w:t>)由</w:t>
      </w:r>
      <w:r>
        <w:rPr>
          <w:rFonts w:hint="eastAsia" w:ascii="仿宋" w:hAnsi="仿宋" w:eastAsia="仿宋" w:cs="仿宋"/>
          <w:bCs/>
          <w:color w:val="auto"/>
          <w:sz w:val="24"/>
          <w:highlight w:val="none"/>
          <w:lang w:eastAsia="zh-CN"/>
        </w:rPr>
        <w:t>西北国际（陕西）造价管理集团有限公司</w:t>
      </w:r>
      <w:r>
        <w:rPr>
          <w:rFonts w:hint="eastAsia" w:ascii="仿宋" w:hAnsi="仿宋" w:eastAsia="仿宋" w:cs="仿宋"/>
          <w:bCs/>
          <w:color w:val="auto"/>
          <w:sz w:val="24"/>
          <w:highlight w:val="none"/>
        </w:rPr>
        <w:t>组织</w:t>
      </w:r>
      <w:r>
        <w:rPr>
          <w:rFonts w:hint="eastAsia" w:ascii="仿宋" w:hAnsi="仿宋" w:eastAsia="仿宋" w:cs="仿宋"/>
          <w:bCs/>
          <w:color w:val="auto"/>
          <w:sz w:val="24"/>
          <w:highlight w:val="none"/>
          <w:lang w:val="en-US" w:eastAsia="zh-CN"/>
        </w:rPr>
        <w:t>竞争性磋商</w:t>
      </w:r>
      <w:r>
        <w:rPr>
          <w:rFonts w:hint="eastAsia" w:ascii="仿宋" w:hAnsi="仿宋" w:eastAsia="仿宋" w:cs="仿宋"/>
          <w:bCs/>
          <w:color w:val="auto"/>
          <w:sz w:val="24"/>
          <w:highlight w:val="none"/>
        </w:rPr>
        <w:t>，甲方确定</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（以下简称“乙方”）为成交供应商。</w:t>
      </w:r>
      <w:bookmarkEnd w:id="0"/>
    </w:p>
    <w:p w14:paraId="0CDB7191">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依据《中华人民共和国政府采购法》、《中华人民共和国民法典》及相关法律法规，经双方协商按下述条款和条件签署本合同。</w:t>
      </w:r>
    </w:p>
    <w:p w14:paraId="7FA95CEA">
      <w:pPr>
        <w:autoSpaceDE w:val="0"/>
        <w:autoSpaceDN w:val="0"/>
        <w:adjustRightInd w:val="0"/>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rPr>
        <w:t>一、合同价款</w:t>
      </w:r>
    </w:p>
    <w:p w14:paraId="2E9D2A10">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（一）合同总价款为人民币（大写）</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w:t>
      </w:r>
    </w:p>
    <w:p w14:paraId="0F7A6996">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（二）合同总价包括为完成本项目要求的全部</w:t>
      </w:r>
      <w:r>
        <w:rPr>
          <w:rFonts w:hint="eastAsia" w:ascii="仿宋" w:hAnsi="仿宋" w:eastAsia="仿宋" w:cs="仿宋"/>
          <w:bCs/>
          <w:color w:val="auto"/>
          <w:sz w:val="24"/>
          <w:highlight w:val="none"/>
          <w:lang w:val="en-US" w:eastAsia="zh-CN"/>
        </w:rPr>
        <w:t>采购</w:t>
      </w:r>
      <w:r>
        <w:rPr>
          <w:rFonts w:hint="eastAsia" w:ascii="仿宋" w:hAnsi="仿宋" w:eastAsia="仿宋" w:cs="仿宋"/>
          <w:bCs/>
          <w:color w:val="auto"/>
          <w:sz w:val="24"/>
          <w:highlight w:val="none"/>
        </w:rPr>
        <w:t>内容的所有费用（含资料收集、成果编制、评审、后期校验、税费等），</w:t>
      </w:r>
      <w:r>
        <w:rPr>
          <w:rFonts w:hint="eastAsia" w:ascii="仿宋" w:hAnsi="仿宋" w:eastAsia="仿宋" w:cs="仿宋"/>
          <w:bCs/>
          <w:color w:val="auto"/>
          <w:sz w:val="24"/>
          <w:highlight w:val="none"/>
          <w:lang w:val="en-US" w:eastAsia="zh-CN"/>
        </w:rPr>
        <w:t>甲方</w:t>
      </w:r>
      <w:r>
        <w:rPr>
          <w:rFonts w:hint="eastAsia" w:ascii="仿宋" w:hAnsi="仿宋" w:eastAsia="仿宋" w:cs="仿宋"/>
          <w:bCs/>
          <w:color w:val="auto"/>
          <w:sz w:val="24"/>
          <w:highlight w:val="none"/>
        </w:rPr>
        <w:t>不再另行支付合同价以外的其他任何费用</w:t>
      </w:r>
      <w:r>
        <w:rPr>
          <w:rFonts w:hint="eastAsia" w:ascii="仿宋" w:hAnsi="仿宋" w:eastAsia="仿宋" w:cs="仿宋"/>
          <w:bCs/>
          <w:color w:val="auto"/>
          <w:sz w:val="24"/>
          <w:highlight w:val="none"/>
          <w:lang w:val="zh-CN"/>
        </w:rPr>
        <w:t>。</w:t>
      </w:r>
    </w:p>
    <w:p w14:paraId="0E0560C2">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（三）</w:t>
      </w:r>
      <w:bookmarkStart w:id="1" w:name="auto_fouce_2"/>
      <w:r>
        <w:rPr>
          <w:rFonts w:hint="eastAsia" w:ascii="仿宋" w:hAnsi="仿宋" w:eastAsia="仿宋" w:cs="仿宋"/>
          <w:bCs/>
          <w:color w:val="auto"/>
          <w:sz w:val="24"/>
          <w:highlight w:val="none"/>
        </w:rPr>
        <w:t>合同总价一次性包死，不受市场价格变化因素的影响。</w:t>
      </w:r>
      <w:bookmarkEnd w:id="1"/>
    </w:p>
    <w:p w14:paraId="79E86281">
      <w:pPr>
        <w:autoSpaceDE w:val="0"/>
        <w:autoSpaceDN w:val="0"/>
        <w:adjustRightInd w:val="0"/>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rPr>
        <w:t>二、款项结算</w:t>
      </w:r>
    </w:p>
    <w:p w14:paraId="699FFADA">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（一）结算方式：银行转账</w:t>
      </w:r>
    </w:p>
    <w:p w14:paraId="05D9745C">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（二）付款条件说明：</w:t>
      </w:r>
      <w:r>
        <w:rPr>
          <w:rFonts w:hint="eastAsia" w:ascii="仿宋" w:hAnsi="仿宋" w:eastAsia="仿宋" w:cs="仿宋"/>
          <w:color w:val="auto"/>
          <w:sz w:val="24"/>
          <w:highlight w:val="none"/>
          <w:lang w:val="en-US" w:eastAsia="zh-CN"/>
        </w:rPr>
        <w:t>分期付款</w:t>
      </w:r>
    </w:p>
    <w:p w14:paraId="77ADC380">
      <w:pPr>
        <w:autoSpaceDE w:val="0"/>
        <w:autoSpaceDN w:val="0"/>
        <w:adjustRightInd w:val="0"/>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bookmarkStart w:id="2" w:name="auto_fouce_3"/>
      <w:r>
        <w:rPr>
          <w:rFonts w:hint="eastAsia" w:ascii="仿宋" w:hAnsi="仿宋" w:eastAsia="仿宋" w:cs="仿宋"/>
          <w:color w:val="auto"/>
          <w:sz w:val="24"/>
          <w:highlight w:val="none"/>
          <w:lang w:val="en-US" w:eastAsia="zh-CN"/>
        </w:rPr>
        <w:t>付款条件说明：合同签订后 10 个工作日内，甲方向乙方支付合同总价款的70%，乙方向甲方开具相应金额的有效财务发票。</w:t>
      </w:r>
      <w:bookmarkEnd w:id="2"/>
    </w:p>
    <w:p w14:paraId="32E16BCC">
      <w:pPr>
        <w:autoSpaceDE w:val="0"/>
        <w:autoSpaceDN w:val="0"/>
        <w:adjustRightInd w:val="0"/>
        <w:spacing w:line="360" w:lineRule="auto"/>
        <w:ind w:firstLine="480" w:firstLineChars="200"/>
        <w:rPr>
          <w:rFonts w:hint="eastAsia" w:ascii="仿宋" w:hAnsi="仿宋" w:eastAsia="仿宋" w:cs="仿宋"/>
          <w:color w:val="auto"/>
          <w:sz w:val="24"/>
          <w:highlight w:val="none"/>
          <w:lang w:val="en-US" w:eastAsia="zh-CN"/>
        </w:rPr>
      </w:pPr>
      <w:bookmarkStart w:id="3" w:name="auto_fouce_5"/>
      <w:r>
        <w:rPr>
          <w:rFonts w:hint="eastAsia" w:ascii="仿宋" w:hAnsi="仿宋" w:eastAsia="仿宋" w:cs="仿宋"/>
          <w:color w:val="auto"/>
          <w:sz w:val="24"/>
          <w:highlight w:val="none"/>
          <w:lang w:val="en-US" w:eastAsia="zh-CN"/>
        </w:rPr>
        <w:t>2.付款条件说明：乙方完成中期资料提交并通过中期验收（中期资料包括：资料收集清单、暴雨强度公式拟合中间成果）且经甲方书面确认后10个工作日内，甲方向乙方支付合同总价款的 25%，乙方向甲方开具相应金额的有效财务发票。​</w:t>
      </w:r>
      <w:bookmarkEnd w:id="3"/>
    </w:p>
    <w:p w14:paraId="098F8245">
      <w:pPr>
        <w:autoSpaceDE w:val="0"/>
        <w:autoSpaceDN w:val="0"/>
        <w:adjustRightInd w:val="0"/>
        <w:spacing w:line="360" w:lineRule="auto"/>
        <w:ind w:firstLine="480" w:firstLineChars="200"/>
        <w:rPr>
          <w:rFonts w:hint="eastAsia" w:ascii="仿宋" w:hAnsi="仿宋" w:eastAsia="仿宋" w:cs="仿宋"/>
          <w:color w:val="auto"/>
          <w:sz w:val="24"/>
          <w:highlight w:val="none"/>
          <w:lang w:val="en-US" w:eastAsia="zh-CN"/>
        </w:rPr>
      </w:pPr>
      <w:bookmarkStart w:id="4" w:name="auto_fouce_4"/>
      <w:r>
        <w:rPr>
          <w:rFonts w:hint="eastAsia" w:ascii="仿宋" w:hAnsi="仿宋" w:eastAsia="仿宋" w:cs="仿宋"/>
          <w:color w:val="auto"/>
          <w:sz w:val="24"/>
          <w:highlight w:val="none"/>
          <w:lang w:val="en-US" w:eastAsia="zh-CN"/>
        </w:rPr>
        <w:t>乙方向甲方开具相应金额的有效财务发票，发票内容应与合同约定一致，发票开具错误或不符合要求导致付款延迟，乙方承担相应责任。</w:t>
      </w:r>
      <w:bookmarkEnd w:id="4"/>
    </w:p>
    <w:p w14:paraId="3E468F7A">
      <w:pPr>
        <w:autoSpaceDE w:val="0"/>
        <w:autoSpaceDN w:val="0"/>
        <w:adjustRightInd w:val="0"/>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3.付款条件说明：</w:t>
      </w:r>
      <w:bookmarkStart w:id="5" w:name="auto_fouce_6"/>
      <w:r>
        <w:rPr>
          <w:rFonts w:hint="eastAsia" w:ascii="仿宋" w:hAnsi="仿宋" w:eastAsia="仿宋" w:cs="仿宋"/>
          <w:color w:val="auto"/>
          <w:sz w:val="24"/>
          <w:highlight w:val="none"/>
          <w:lang w:val="en-US" w:eastAsia="zh-CN"/>
        </w:rPr>
        <w:t>乙方完成最终成果资料提交、通过专家评审及成果归档、技术交底等甲方书面确认的手续后 10 个工作日内，甲方向乙方支付合同总价款的 5%，乙方向甲方开具相应金额的有效财务发票。</w:t>
      </w:r>
      <w:bookmarkEnd w:id="5"/>
    </w:p>
    <w:p w14:paraId="7828121B">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（三）结算单位：由甲方负责结算，乙方按甲方要求开具等额发票交甲方。</w:t>
      </w:r>
    </w:p>
    <w:p w14:paraId="54DFA0C7">
      <w:pPr>
        <w:snapToGrid w:val="0"/>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rPr>
        <w:t>三、</w:t>
      </w:r>
      <w:r>
        <w:rPr>
          <w:rFonts w:hint="eastAsia" w:ascii="仿宋" w:hAnsi="仿宋" w:eastAsia="仿宋" w:cs="仿宋"/>
          <w:b/>
          <w:color w:val="auto"/>
          <w:sz w:val="24"/>
          <w:highlight w:val="none"/>
          <w:lang w:val="en-US" w:eastAsia="zh-CN"/>
        </w:rPr>
        <w:t>合同履约</w:t>
      </w:r>
      <w:r>
        <w:rPr>
          <w:rFonts w:hint="eastAsia" w:ascii="仿宋" w:hAnsi="仿宋" w:eastAsia="仿宋" w:cs="仿宋"/>
          <w:b/>
          <w:color w:val="auto"/>
          <w:sz w:val="24"/>
          <w:highlight w:val="none"/>
        </w:rPr>
        <w:t>地点</w:t>
      </w:r>
      <w:r>
        <w:rPr>
          <w:rFonts w:hint="eastAsia" w:ascii="仿宋" w:hAnsi="仿宋" w:eastAsia="仿宋" w:cs="仿宋"/>
          <w:b/>
          <w:color w:val="auto"/>
          <w:sz w:val="24"/>
          <w:highlight w:val="none"/>
          <w:lang w:val="en-US" w:eastAsia="zh-CN"/>
        </w:rPr>
        <w:t>及</w:t>
      </w:r>
      <w:r>
        <w:rPr>
          <w:rFonts w:hint="eastAsia" w:ascii="仿宋" w:hAnsi="仿宋" w:eastAsia="仿宋" w:cs="仿宋"/>
          <w:b/>
          <w:color w:val="auto"/>
          <w:sz w:val="24"/>
          <w:highlight w:val="none"/>
          <w:lang w:eastAsia="zh-CN"/>
        </w:rPr>
        <w:t>期限</w:t>
      </w:r>
    </w:p>
    <w:p w14:paraId="5D384BD1">
      <w:pPr>
        <w:snapToGrid w:val="0"/>
        <w:spacing w:line="360" w:lineRule="auto"/>
        <w:ind w:left="0" w:leftChars="0"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（一）合同履约地点：</w:t>
      </w:r>
      <w:r>
        <w:rPr>
          <w:rFonts w:hint="eastAsia" w:ascii="仿宋" w:hAnsi="仿宋" w:eastAsia="仿宋" w:cs="仿宋"/>
          <w:bCs/>
          <w:color w:val="auto"/>
          <w:sz w:val="24"/>
          <w:highlight w:val="none"/>
          <w:lang w:val="en-US" w:eastAsia="zh-CN"/>
        </w:rPr>
        <w:t>采购人</w:t>
      </w:r>
      <w:r>
        <w:rPr>
          <w:rFonts w:hint="eastAsia" w:ascii="仿宋" w:hAnsi="仿宋" w:eastAsia="仿宋" w:cs="仿宋"/>
          <w:bCs/>
          <w:color w:val="auto"/>
          <w:sz w:val="24"/>
          <w:highlight w:val="none"/>
        </w:rPr>
        <w:t>指定地点</w:t>
      </w:r>
    </w:p>
    <w:p w14:paraId="226869EF">
      <w:pPr>
        <w:snapToGrid w:val="0"/>
        <w:spacing w:line="360" w:lineRule="auto"/>
        <w:ind w:left="0" w:leftChars="0" w:firstLine="480" w:firstLineChars="200"/>
        <w:rPr>
          <w:rFonts w:hint="eastAsia" w:ascii="仿宋" w:hAnsi="仿宋" w:eastAsia="仿宋" w:cs="仿宋"/>
          <w:bCs/>
          <w:color w:val="auto"/>
          <w:sz w:val="24"/>
          <w:highlight w:val="none"/>
          <w:lang w:val="en-US" w:eastAsia="zh-CN"/>
        </w:rPr>
      </w:pPr>
      <w:r>
        <w:rPr>
          <w:rFonts w:hint="eastAsia" w:ascii="仿宋" w:hAnsi="仿宋" w:eastAsia="仿宋" w:cs="仿宋"/>
          <w:bCs/>
          <w:color w:val="auto"/>
          <w:sz w:val="24"/>
          <w:highlight w:val="none"/>
        </w:rPr>
        <w:t>（二）</w:t>
      </w:r>
      <w:bookmarkStart w:id="6" w:name="auto_fouce_7"/>
      <w:r>
        <w:rPr>
          <w:rFonts w:hint="eastAsia" w:ascii="仿宋" w:hAnsi="仿宋" w:eastAsia="仿宋" w:cs="仿宋"/>
          <w:bCs/>
          <w:color w:val="auto"/>
          <w:sz w:val="24"/>
          <w:highlight w:val="none"/>
        </w:rPr>
        <w:t>合同履行期限：合同签订后3个月内完成</w:t>
      </w:r>
      <w:r>
        <w:rPr>
          <w:rFonts w:hint="eastAsia" w:ascii="仿宋" w:hAnsi="仿宋" w:eastAsia="仿宋" w:cs="仿宋"/>
          <w:bCs/>
          <w:color w:val="auto"/>
          <w:sz w:val="24"/>
          <w:highlight w:val="none"/>
          <w:lang w:val="en-US" w:eastAsia="zh-CN"/>
        </w:rPr>
        <w:t>。</w:t>
      </w:r>
      <w:bookmarkStart w:id="7" w:name="auto_fouce_8"/>
    </w:p>
    <w:p w14:paraId="53448F11">
      <w:pPr>
        <w:snapToGrid w:val="0"/>
        <w:spacing w:line="360" w:lineRule="auto"/>
        <w:ind w:left="0" w:leftChars="0" w:firstLine="480" w:firstLineChars="200"/>
        <w:rPr>
          <w:rFonts w:hint="eastAsia" w:ascii="仿宋" w:hAnsi="仿宋" w:eastAsia="仿宋" w:cs="仿宋"/>
          <w:bCs/>
          <w:color w:val="auto"/>
          <w:sz w:val="24"/>
          <w:highlight w:val="none"/>
          <w:lang w:val="en-US" w:eastAsia="zh-CN"/>
        </w:rPr>
      </w:pPr>
      <w:r>
        <w:rPr>
          <w:rFonts w:hint="eastAsia" w:ascii="仿宋" w:hAnsi="仿宋" w:eastAsia="仿宋" w:cs="仿宋"/>
          <w:bCs/>
          <w:color w:val="auto"/>
          <w:sz w:val="24"/>
          <w:highlight w:val="none"/>
          <w:lang w:val="en-US" w:eastAsia="zh-CN"/>
        </w:rPr>
        <w:t>1，因不可抗力或甲方原因导致延期的，双方应协商确定延期及相应责任；因乙方原因导致延期的，乙方应承担违约责任并赔偿甲方因此产生的损失。</w:t>
      </w:r>
      <w:bookmarkEnd w:id="7"/>
      <w:r>
        <w:rPr>
          <w:rFonts w:hint="eastAsia" w:ascii="仿宋" w:hAnsi="仿宋" w:eastAsia="仿宋" w:cs="仿宋"/>
          <w:bCs/>
          <w:color w:val="auto"/>
          <w:sz w:val="24"/>
          <w:highlight w:val="none"/>
          <w:lang w:val="en-US" w:eastAsia="zh-CN"/>
        </w:rPr>
        <w:t xml:space="preserve"> 若因乙方原因导致延期，乙方应提前书面通知甲方并承担相应违约责任；因甲方原因或不可抗力导致乙方无法按期履行的，履行期限相应顺延；双方因不可抗力或其他原因导致延期的，应协商确定新的履约期限。</w:t>
      </w:r>
      <w:bookmarkEnd w:id="6"/>
    </w:p>
    <w:p w14:paraId="2CEBD7A2">
      <w:pPr>
        <w:snapToGrid w:val="0"/>
        <w:spacing w:line="360" w:lineRule="auto"/>
        <w:ind w:left="0" w:leftChars="0" w:firstLine="480" w:firstLineChars="200"/>
        <w:rPr>
          <w:rFonts w:hint="eastAsia" w:ascii="仿宋" w:hAnsi="仿宋" w:eastAsia="仿宋" w:cs="仿宋"/>
          <w:bCs/>
          <w:color w:val="auto"/>
          <w:sz w:val="24"/>
          <w:highlight w:val="none"/>
          <w:lang w:val="en-US" w:eastAsia="zh-CN"/>
        </w:rPr>
      </w:pPr>
      <w:r>
        <w:rPr>
          <w:rFonts w:hint="eastAsia" w:ascii="仿宋" w:hAnsi="仿宋" w:eastAsia="仿宋" w:cs="仿宋"/>
          <w:bCs/>
          <w:color w:val="auto"/>
          <w:sz w:val="24"/>
          <w:highlight w:val="none"/>
          <w:lang w:val="en-US" w:eastAsia="zh-CN"/>
        </w:rPr>
        <w:t>2.合同签订后 2 个月内完成中期资料提交；</w:t>
      </w:r>
      <w:bookmarkStart w:id="8" w:name="auto_fouce_9"/>
      <w:r>
        <w:rPr>
          <w:rFonts w:hint="eastAsia" w:ascii="仿宋" w:hAnsi="仿宋" w:eastAsia="仿宋" w:cs="仿宋"/>
          <w:bCs/>
          <w:color w:val="auto"/>
          <w:sz w:val="24"/>
          <w:highlight w:val="none"/>
          <w:lang w:val="en-US" w:eastAsia="zh-CN"/>
        </w:rPr>
        <w:t>如乙方未按期完成，视为违约，甲方有权要求整改或终止合同；合同签订后 3 个月内完成最终成果提交、专家评审及所有后续手续；如乙方未按期完成，视为违约，甲方有权要求整改或终止合同。</w:t>
      </w:r>
      <w:bookmarkEnd w:id="8"/>
    </w:p>
    <w:p w14:paraId="3A4D95ED">
      <w:pPr>
        <w:snapToGrid w:val="0"/>
        <w:spacing w:line="360" w:lineRule="auto"/>
        <w:ind w:firstLine="480" w:firstLineChars="200"/>
        <w:rPr>
          <w:rFonts w:hint="eastAsia" w:ascii="仿宋" w:hAnsi="仿宋" w:eastAsia="仿宋" w:cs="仿宋"/>
          <w:bCs/>
          <w:color w:val="auto"/>
          <w:sz w:val="24"/>
          <w:highlight w:val="none"/>
          <w:lang w:val="en-US" w:eastAsia="zh-CN"/>
        </w:rPr>
      </w:pPr>
      <w:r>
        <w:rPr>
          <w:rFonts w:hint="eastAsia" w:ascii="仿宋" w:hAnsi="仿宋" w:eastAsia="仿宋" w:cs="仿宋"/>
          <w:bCs/>
          <w:color w:val="auto"/>
          <w:sz w:val="24"/>
          <w:highlight w:val="none"/>
          <w:lang w:val="en-US" w:eastAsia="zh-CN"/>
        </w:rPr>
        <w:t>3.</w:t>
      </w:r>
      <w:bookmarkStart w:id="9" w:name="auto_fouce_10"/>
      <w:r>
        <w:rPr>
          <w:rFonts w:hint="eastAsia" w:ascii="仿宋" w:hAnsi="仿宋" w:eastAsia="仿宋" w:cs="仿宋"/>
          <w:bCs/>
          <w:color w:val="auto"/>
          <w:sz w:val="24"/>
          <w:highlight w:val="none"/>
          <w:lang w:val="en-US" w:eastAsia="zh-CN"/>
        </w:rPr>
        <w:t>最终成果通过评审后进入1年成果校验期（自评审通过之日起计算），校验期内乙方需配合甲方完成公式适用性验证（该期限不影响款项支付节点，仅作为乙方服务责任约定）。乙方不得以校验期内存在问题为由拒绝或延迟已到付款节点的款项支付。成果校验期内发现质量缺陷的，乙方应在接到甲方书面通知后15日内完成修正，逾期未修正的按每日合同总价0.1%支付违约金直至修正完成，累计超过60日的，甲方有权追回已支付价款的5%。如乙方未按要求配合或未能及时整改，甲方有权要求乙方承担相应违约责任。</w:t>
      </w:r>
      <w:bookmarkEnd w:id="9"/>
    </w:p>
    <w:p w14:paraId="2DCA39D2">
      <w:pPr>
        <w:snapToGrid w:val="0"/>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rPr>
        <w:t>四、质量验收标准或规范</w:t>
      </w:r>
    </w:p>
    <w:p w14:paraId="678501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提交的成果应满足国家、省、市相关部门出台的有关文件要求（如《室外排水设计规范》GB 50014-2021（2023 年版）、《中华人民共和国气象法》等）和技术评价指标。</w:t>
      </w:r>
    </w:p>
    <w:p w14:paraId="22E73A3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color w:val="auto"/>
          <w:sz w:val="24"/>
          <w:highlight w:val="none"/>
          <w:lang w:val="en-US" w:eastAsia="zh-CN"/>
        </w:rPr>
      </w:pPr>
      <w:bookmarkStart w:id="10" w:name="auto_fouce_12"/>
      <w:r>
        <w:rPr>
          <w:rFonts w:hint="eastAsia" w:ascii="仿宋" w:hAnsi="仿宋" w:eastAsia="仿宋" w:cs="仿宋"/>
          <w:b/>
          <w:color w:val="auto"/>
          <w:sz w:val="24"/>
          <w:highlight w:val="none"/>
          <w:lang w:val="en-US" w:eastAsia="zh-CN"/>
        </w:rPr>
        <w:t>五、成果交付要求</w:t>
      </w:r>
    </w:p>
    <w:p w14:paraId="5757F035">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（一）中期资料：</w:t>
      </w:r>
    </w:p>
    <w:p w14:paraId="583E5F49">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包括但不限于：资料收集清单（气象主管机构盖章的数据来源证明）、西安城区暴雨强度公式编制技术报告初稿</w:t>
      </w:r>
      <w:bookmarkStart w:id="30" w:name="_GoBack"/>
      <w:bookmarkEnd w:id="30"/>
      <w:r>
        <w:rPr>
          <w:rFonts w:hint="eastAsia" w:ascii="仿宋" w:hAnsi="仿宋" w:eastAsia="仿宋" w:cs="仿宋"/>
          <w:color w:val="auto"/>
          <w:sz w:val="24"/>
          <w:highlight w:val="none"/>
          <w:lang w:val="en-US" w:eastAsia="zh-CN"/>
        </w:rPr>
        <w:t>（含单一重现期公式初稿）、中期工作小结。</w:t>
      </w:r>
      <w:bookmarkEnd w:id="10"/>
    </w:p>
    <w:p w14:paraId="25CAEA06">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（二）最终成果：</w:t>
      </w:r>
    </w:p>
    <w:p w14:paraId="04AF030F">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编制《西安市中心城区暴雨强度公式编制与暴雨雨型修订技术报告》（需通过专家评审），报告应包含项目背景、资料收集与处理、公式推导过程、雨型分析方法、成果验证与精度评估、结论与建议等完整内容；</w:t>
      </w:r>
    </w:p>
    <w:p w14:paraId="580A26B4">
      <w:pPr>
        <w:spacing w:line="360" w:lineRule="auto"/>
        <w:ind w:firstLine="480" w:firstLineChars="200"/>
        <w:rPr>
          <w:rFonts w:hint="eastAsia" w:ascii="仿宋" w:hAnsi="仿宋" w:eastAsia="仿宋" w:cs="仿宋"/>
          <w:color w:val="auto"/>
          <w:sz w:val="24"/>
          <w:highlight w:val="none"/>
          <w:lang w:val="en-US" w:eastAsia="zh-CN"/>
        </w:rPr>
      </w:pPr>
      <w:bookmarkStart w:id="11" w:name="auto_fouce_13"/>
      <w:r>
        <w:rPr>
          <w:rFonts w:hint="eastAsia" w:ascii="仿宋" w:hAnsi="仿宋" w:eastAsia="仿宋" w:cs="仿宋"/>
          <w:color w:val="auto"/>
          <w:sz w:val="24"/>
          <w:highlight w:val="none"/>
          <w:lang w:val="en-US" w:eastAsia="zh-CN"/>
        </w:rPr>
        <w:t>气象资料需来自气象主管机构或经省气象主管机构审查的分钟级、日、月、年降水数据，且时间跨度满足近十年分析需求；甲方有权对数据来源及真实性进行核查，乙方应配合提供相关证明材料。</w:t>
      </w:r>
      <w:bookmarkEnd w:id="11"/>
    </w:p>
    <w:p w14:paraId="3431A934">
      <w:pPr>
        <w:spacing w:line="360" w:lineRule="auto"/>
        <w:ind w:firstLine="480" w:firstLineChars="200"/>
        <w:rPr>
          <w:rFonts w:hint="eastAsia" w:ascii="仿宋" w:hAnsi="仿宋" w:eastAsia="仿宋" w:cs="仿宋"/>
          <w:color w:val="auto"/>
          <w:sz w:val="24"/>
          <w:highlight w:val="none"/>
          <w:lang w:val="en-US" w:eastAsia="zh-CN"/>
        </w:rPr>
      </w:pPr>
      <w:bookmarkStart w:id="12" w:name="auto_fouce_14"/>
      <w:r>
        <w:rPr>
          <w:rFonts w:hint="eastAsia" w:ascii="仿宋" w:hAnsi="仿宋" w:eastAsia="仿宋" w:cs="仿宋"/>
          <w:color w:val="auto"/>
          <w:sz w:val="24"/>
          <w:highlight w:val="none"/>
          <w:lang w:val="en-US" w:eastAsia="zh-CN"/>
        </w:rPr>
        <w:t>所有成果提供电子版 1 份（存储介质为 U 盘或指定网络平台传输，格式为 WORD/PDF，其中 WORD 版本需可编辑），纸质报告6 本（A4 纸张双面印刷，装订规范，注明项目名称、编制单位、日期），交付时间应不迟于各验收节点前5个工作日。</w:t>
      </w:r>
      <w:bookmarkEnd w:id="12"/>
    </w:p>
    <w:p w14:paraId="3A9EA0AF">
      <w:pPr>
        <w:snapToGrid w:val="0"/>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六</w:t>
      </w:r>
      <w:r>
        <w:rPr>
          <w:rFonts w:hint="eastAsia" w:ascii="仿宋" w:hAnsi="仿宋" w:eastAsia="仿宋" w:cs="仿宋"/>
          <w:b/>
          <w:color w:val="auto"/>
          <w:sz w:val="24"/>
          <w:highlight w:val="none"/>
        </w:rPr>
        <w:t>、甲方的权利及义务</w:t>
      </w:r>
    </w:p>
    <w:p w14:paraId="16AF6A49">
      <w:pPr>
        <w:spacing w:line="360" w:lineRule="auto"/>
        <w:ind w:left="420" w:leftChars="200" w:firstLine="0" w:firstLineChars="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（一）</w:t>
      </w:r>
      <w:bookmarkStart w:id="13" w:name="auto_fouce_15"/>
      <w:r>
        <w:rPr>
          <w:rFonts w:hint="eastAsia" w:ascii="仿宋" w:hAnsi="仿宋" w:eastAsia="仿宋" w:cs="仿宋"/>
          <w:color w:val="auto"/>
          <w:sz w:val="24"/>
          <w:highlight w:val="none"/>
          <w:lang w:val="en-US" w:eastAsia="zh-CN"/>
        </w:rPr>
        <w:t>甲方有权对乙方的服务行为、人员配置、进度节点进行监督检查，定期核对项目进展；乙方应配合甲方的监督检查，及时提供相关资料和信息；</w:t>
      </w:r>
      <w:bookmarkEnd w:id="13"/>
      <w:r>
        <w:rPr>
          <w:rFonts w:hint="default" w:ascii="仿宋" w:hAnsi="仿宋" w:eastAsia="仿宋" w:cs="仿宋"/>
          <w:color w:val="auto"/>
          <w:sz w:val="24"/>
          <w:highlight w:val="none"/>
          <w:lang w:val="en-US" w:eastAsia="zh-CN"/>
        </w:rPr>
        <w:br w:type="textWrapping"/>
      </w:r>
      <w:r>
        <w:rPr>
          <w:rFonts w:hint="default" w:ascii="仿宋" w:hAnsi="仿宋" w:eastAsia="仿宋" w:cs="仿宋"/>
          <w:color w:val="auto"/>
          <w:sz w:val="24"/>
          <w:highlight w:val="none"/>
          <w:lang w:val="en-US" w:eastAsia="zh-CN"/>
        </w:rPr>
        <w:t>（二）按本合同约定及时支付服务费用；</w:t>
      </w:r>
      <w:r>
        <w:rPr>
          <w:rFonts w:hint="default" w:ascii="仿宋" w:hAnsi="仿宋" w:eastAsia="仿宋" w:cs="仿宋"/>
          <w:color w:val="auto"/>
          <w:sz w:val="24"/>
          <w:highlight w:val="none"/>
          <w:lang w:val="en-US" w:eastAsia="zh-CN"/>
        </w:rPr>
        <w:br w:type="textWrapping"/>
      </w:r>
      <w:r>
        <w:rPr>
          <w:rFonts w:hint="default" w:ascii="仿宋" w:hAnsi="仿宋" w:eastAsia="仿宋" w:cs="仿宋"/>
          <w:color w:val="auto"/>
          <w:sz w:val="24"/>
          <w:highlight w:val="none"/>
          <w:lang w:val="en-US" w:eastAsia="zh-CN"/>
        </w:rPr>
        <w:t>（三）</w:t>
      </w:r>
      <w:bookmarkStart w:id="14" w:name="auto_fouce_16"/>
      <w:r>
        <w:rPr>
          <w:rFonts w:hint="default" w:ascii="仿宋" w:hAnsi="仿宋" w:eastAsia="仿宋" w:cs="仿宋"/>
          <w:color w:val="auto"/>
          <w:sz w:val="24"/>
          <w:highlight w:val="none"/>
          <w:lang w:val="en-US" w:eastAsia="zh-CN"/>
        </w:rPr>
        <w:t>中期验收和最终验收时，组织</w:t>
      </w:r>
      <w:r>
        <w:rPr>
          <w:rFonts w:hint="eastAsia" w:ascii="仿宋" w:hAnsi="仿宋" w:eastAsia="仿宋" w:cs="仿宋"/>
          <w:color w:val="auto"/>
          <w:sz w:val="24"/>
          <w:highlight w:val="none"/>
          <w:lang w:val="en-US" w:eastAsia="zh-CN"/>
        </w:rPr>
        <w:t>双方共同认可的</w:t>
      </w:r>
      <w:r>
        <w:rPr>
          <w:rFonts w:hint="default" w:ascii="仿宋" w:hAnsi="仿宋" w:eastAsia="仿宋" w:cs="仿宋"/>
          <w:color w:val="auto"/>
          <w:sz w:val="24"/>
          <w:highlight w:val="none"/>
          <w:lang w:val="en-US" w:eastAsia="zh-CN"/>
        </w:rPr>
        <w:t>专家评审组并提供</w:t>
      </w:r>
      <w:r>
        <w:rPr>
          <w:rFonts w:hint="eastAsia" w:ascii="仿宋" w:hAnsi="仿宋" w:eastAsia="仿宋" w:cs="仿宋"/>
          <w:color w:val="auto"/>
          <w:sz w:val="24"/>
          <w:highlight w:val="none"/>
          <w:lang w:val="en-US" w:eastAsia="zh-CN"/>
        </w:rPr>
        <w:t>书面</w:t>
      </w:r>
      <w:r>
        <w:rPr>
          <w:rFonts w:hint="default" w:ascii="仿宋" w:hAnsi="仿宋" w:eastAsia="仿宋" w:cs="仿宋"/>
          <w:color w:val="auto"/>
          <w:sz w:val="24"/>
          <w:highlight w:val="none"/>
          <w:lang w:val="en-US" w:eastAsia="zh-CN"/>
        </w:rPr>
        <w:t>评审意见；</w:t>
      </w:r>
      <w:bookmarkEnd w:id="14"/>
      <w:r>
        <w:rPr>
          <w:rFonts w:hint="default" w:ascii="仿宋" w:hAnsi="仿宋" w:eastAsia="仿宋" w:cs="仿宋"/>
          <w:color w:val="auto"/>
          <w:sz w:val="24"/>
          <w:highlight w:val="none"/>
          <w:lang w:val="en-US" w:eastAsia="zh-CN"/>
        </w:rPr>
        <w:br w:type="textWrapping"/>
      </w:r>
      <w:r>
        <w:rPr>
          <w:rFonts w:hint="default" w:ascii="仿宋" w:hAnsi="仿宋" w:eastAsia="仿宋" w:cs="仿宋"/>
          <w:color w:val="auto"/>
          <w:sz w:val="24"/>
          <w:highlight w:val="none"/>
          <w:lang w:val="en-US" w:eastAsia="zh-CN"/>
        </w:rPr>
        <w:t>（四）</w:t>
      </w:r>
      <w:bookmarkStart w:id="15" w:name="auto_fouce_17"/>
      <w:r>
        <w:rPr>
          <w:rFonts w:hint="default" w:ascii="仿宋" w:hAnsi="仿宋" w:eastAsia="仿宋" w:cs="仿宋"/>
          <w:color w:val="auto"/>
          <w:sz w:val="24"/>
          <w:highlight w:val="none"/>
          <w:lang w:val="en-US" w:eastAsia="zh-CN"/>
        </w:rPr>
        <w:t>1 年成果校验期内，及时向乙方反馈公式应用中发现的问题，协助乙方完成校验工作；</w:t>
      </w:r>
      <w:r>
        <w:rPr>
          <w:rFonts w:hint="eastAsia" w:ascii="仿宋" w:hAnsi="仿宋" w:eastAsia="仿宋" w:cs="仿宋"/>
          <w:color w:val="auto"/>
          <w:sz w:val="24"/>
          <w:highlight w:val="none"/>
          <w:lang w:val="en-US" w:eastAsia="zh-CN"/>
        </w:rPr>
        <w:t>乙方应在接到反馈后10个工作日内响应并提出解决方案，确保问题及时整改。</w:t>
      </w:r>
      <w:bookmarkEnd w:id="15"/>
      <w:r>
        <w:rPr>
          <w:rFonts w:hint="default" w:ascii="仿宋" w:hAnsi="仿宋" w:eastAsia="仿宋" w:cs="仿宋"/>
          <w:color w:val="auto"/>
          <w:sz w:val="24"/>
          <w:highlight w:val="none"/>
          <w:lang w:val="en-US" w:eastAsia="zh-CN"/>
        </w:rPr>
        <w:br w:type="textWrapping"/>
      </w:r>
      <w:r>
        <w:rPr>
          <w:rFonts w:hint="default" w:ascii="仿宋" w:hAnsi="仿宋" w:eastAsia="仿宋" w:cs="仿宋"/>
          <w:color w:val="auto"/>
          <w:sz w:val="24"/>
          <w:highlight w:val="none"/>
          <w:lang w:val="en-US" w:eastAsia="zh-CN"/>
        </w:rPr>
        <w:t>（五）履行国家法律法规规定的其他责任。</w:t>
      </w:r>
    </w:p>
    <w:p w14:paraId="57616B4E">
      <w:pPr>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七</w:t>
      </w:r>
      <w:r>
        <w:rPr>
          <w:rFonts w:hint="eastAsia" w:ascii="仿宋" w:hAnsi="仿宋" w:eastAsia="仿宋" w:cs="仿宋"/>
          <w:b/>
          <w:color w:val="auto"/>
          <w:sz w:val="24"/>
          <w:highlight w:val="none"/>
        </w:rPr>
        <w:t>、乙方的权利及义务</w:t>
      </w:r>
    </w:p>
    <w:p w14:paraId="4C41BD02">
      <w:pPr>
        <w:spacing w:line="360" w:lineRule="auto"/>
        <w:ind w:left="420" w:leftChars="200" w:firstLine="0" w:firstLineChars="0"/>
        <w:rPr>
          <w:rFonts w:hint="default" w:ascii="仿宋" w:hAnsi="仿宋" w:eastAsia="仿宋" w:cs="仿宋"/>
          <w:color w:val="auto"/>
          <w:sz w:val="24"/>
          <w:highlight w:val="none"/>
          <w:lang w:val="en-US" w:eastAsia="zh-CN"/>
        </w:rPr>
      </w:pPr>
      <w:r>
        <w:rPr>
          <w:rFonts w:hint="default" w:ascii="仿宋" w:hAnsi="仿宋" w:eastAsia="仿宋" w:cs="仿宋"/>
          <w:color w:val="auto"/>
          <w:sz w:val="24"/>
          <w:highlight w:val="none"/>
          <w:lang w:val="en-US" w:eastAsia="zh-CN"/>
        </w:rPr>
        <w:t>（一）按合同约定完成中期及最终成果编制，确保成果质量；</w:t>
      </w:r>
      <w:r>
        <w:rPr>
          <w:rFonts w:hint="default" w:ascii="仿宋" w:hAnsi="仿宋" w:eastAsia="仿宋" w:cs="仿宋"/>
          <w:color w:val="auto"/>
          <w:sz w:val="24"/>
          <w:highlight w:val="none"/>
          <w:lang w:val="en-US" w:eastAsia="zh-CN"/>
        </w:rPr>
        <w:br w:type="textWrapping"/>
      </w:r>
      <w:r>
        <w:rPr>
          <w:rFonts w:hint="default" w:ascii="仿宋" w:hAnsi="仿宋" w:eastAsia="仿宋" w:cs="仿宋"/>
          <w:color w:val="auto"/>
          <w:sz w:val="24"/>
          <w:highlight w:val="none"/>
          <w:lang w:val="en-US" w:eastAsia="zh-CN"/>
        </w:rPr>
        <w:t>（二）</w:t>
      </w:r>
      <w:bookmarkStart w:id="16" w:name="auto_fouce_18"/>
      <w:r>
        <w:rPr>
          <w:rFonts w:hint="default" w:ascii="仿宋" w:hAnsi="仿宋" w:eastAsia="仿宋" w:cs="仿宋"/>
          <w:color w:val="auto"/>
          <w:sz w:val="24"/>
          <w:highlight w:val="none"/>
          <w:lang w:val="en-US" w:eastAsia="zh-CN"/>
        </w:rPr>
        <w:t>中期验收前</w:t>
      </w:r>
      <w:r>
        <w:rPr>
          <w:rFonts w:hint="eastAsia" w:ascii="仿宋" w:hAnsi="仿宋" w:eastAsia="仿宋" w:cs="仿宋"/>
          <w:color w:val="auto"/>
          <w:sz w:val="24"/>
          <w:highlight w:val="none"/>
          <w:lang w:val="en-US" w:eastAsia="zh-CN"/>
        </w:rPr>
        <w:t>一次性完整</w:t>
      </w:r>
      <w:r>
        <w:rPr>
          <w:rFonts w:hint="default" w:ascii="仿宋" w:hAnsi="仿宋" w:eastAsia="仿宋" w:cs="仿宋"/>
          <w:color w:val="auto"/>
          <w:sz w:val="24"/>
          <w:highlight w:val="none"/>
          <w:lang w:val="en-US" w:eastAsia="zh-CN"/>
        </w:rPr>
        <w:t>提交中期资料，最终验收前 5 个工作日提交最终成果；</w:t>
      </w:r>
      <w:r>
        <w:rPr>
          <w:rFonts w:hint="eastAsia" w:ascii="仿宋" w:hAnsi="仿宋" w:eastAsia="仿宋" w:cs="仿宋"/>
          <w:color w:val="auto"/>
          <w:sz w:val="24"/>
          <w:highlight w:val="none"/>
          <w:lang w:val="en-US" w:eastAsia="zh-CN"/>
        </w:rPr>
        <w:t>如乙方无法按期提交，应提前至少10个工作日书面通知甲方并说明原因，经甲方同意后方可延期。</w:t>
      </w:r>
      <w:bookmarkEnd w:id="16"/>
      <w:r>
        <w:rPr>
          <w:rFonts w:hint="default" w:ascii="仿宋" w:hAnsi="仿宋" w:eastAsia="仿宋" w:cs="仿宋"/>
          <w:color w:val="auto"/>
          <w:sz w:val="24"/>
          <w:highlight w:val="none"/>
          <w:lang w:val="en-US" w:eastAsia="zh-CN"/>
        </w:rPr>
        <w:br w:type="textWrapping"/>
      </w:r>
      <w:r>
        <w:rPr>
          <w:rFonts w:hint="default" w:ascii="仿宋" w:hAnsi="仿宋" w:eastAsia="仿宋" w:cs="仿宋"/>
          <w:color w:val="auto"/>
          <w:sz w:val="24"/>
          <w:highlight w:val="none"/>
          <w:lang w:val="en-US" w:eastAsia="zh-CN"/>
        </w:rPr>
        <w:t>（三）</w:t>
      </w:r>
      <w:bookmarkStart w:id="17" w:name="auto_fouce_19"/>
      <w:r>
        <w:rPr>
          <w:rFonts w:hint="default" w:ascii="仿宋" w:hAnsi="仿宋" w:eastAsia="仿宋" w:cs="仿宋"/>
          <w:color w:val="auto"/>
          <w:sz w:val="24"/>
          <w:highlight w:val="none"/>
          <w:lang w:val="en-US" w:eastAsia="zh-CN"/>
        </w:rPr>
        <w:t>1 年成果校验期内，</w:t>
      </w:r>
      <w:r>
        <w:rPr>
          <w:rFonts w:hint="eastAsia" w:ascii="仿宋" w:hAnsi="仿宋" w:eastAsia="仿宋" w:cs="仿宋"/>
          <w:color w:val="auto"/>
          <w:sz w:val="24"/>
          <w:highlight w:val="none"/>
          <w:lang w:val="en-US" w:eastAsia="zh-CN"/>
        </w:rPr>
        <w:t>乙方应</w:t>
      </w:r>
      <w:r>
        <w:rPr>
          <w:rFonts w:hint="default" w:ascii="仿宋" w:hAnsi="仿宋" w:eastAsia="仿宋" w:cs="仿宋"/>
          <w:color w:val="auto"/>
          <w:sz w:val="24"/>
          <w:highlight w:val="none"/>
          <w:lang w:val="en-US" w:eastAsia="zh-CN"/>
        </w:rPr>
        <w:t>配合甲方开展公式适用性验证，对发现的问题进行补充分析或修正，直至成果符合实际应用需求；</w:t>
      </w:r>
      <w:r>
        <w:rPr>
          <w:rFonts w:hint="eastAsia" w:ascii="仿宋" w:hAnsi="仿宋" w:eastAsia="仿宋" w:cs="仿宋"/>
          <w:color w:val="auto"/>
          <w:sz w:val="24"/>
          <w:highlight w:val="none"/>
          <w:lang w:val="en-US" w:eastAsia="zh-CN"/>
        </w:rPr>
        <w:t>乙方不得以任何理由推诿或拒绝履行该项义务；校验期结束后两年内，因成果固有缺陷导致的应用问题，乙方仍负有免费修正义务；无正当理由拒不配合校验或超过48小时未响应的，每次按合同总价1%支付违约金。</w:t>
      </w:r>
      <w:bookmarkEnd w:id="17"/>
      <w:r>
        <w:rPr>
          <w:rFonts w:hint="default" w:ascii="仿宋" w:hAnsi="仿宋" w:eastAsia="仿宋" w:cs="仿宋"/>
          <w:color w:val="auto"/>
          <w:sz w:val="24"/>
          <w:highlight w:val="none"/>
          <w:lang w:val="en-US" w:eastAsia="zh-CN"/>
        </w:rPr>
        <w:br w:type="textWrapping"/>
      </w:r>
      <w:r>
        <w:rPr>
          <w:rFonts w:hint="default" w:ascii="仿宋" w:hAnsi="仿宋" w:eastAsia="仿宋" w:cs="仿宋"/>
          <w:color w:val="auto"/>
          <w:sz w:val="24"/>
          <w:highlight w:val="none"/>
          <w:lang w:val="en-US" w:eastAsia="zh-CN"/>
        </w:rPr>
        <w:t>（四）及时向甲方通告项目重大事项，配合处理相关投诉；</w:t>
      </w:r>
      <w:r>
        <w:rPr>
          <w:rFonts w:hint="default" w:ascii="仿宋" w:hAnsi="仿宋" w:eastAsia="仿宋" w:cs="仿宋"/>
          <w:color w:val="auto"/>
          <w:sz w:val="24"/>
          <w:highlight w:val="none"/>
          <w:lang w:val="en-US" w:eastAsia="zh-CN"/>
        </w:rPr>
        <w:br w:type="textWrapping"/>
      </w:r>
      <w:r>
        <w:rPr>
          <w:rFonts w:hint="default" w:ascii="仿宋" w:hAnsi="仿宋" w:eastAsia="仿宋" w:cs="仿宋"/>
          <w:color w:val="auto"/>
          <w:sz w:val="24"/>
          <w:highlight w:val="none"/>
          <w:lang w:val="en-US" w:eastAsia="zh-CN"/>
        </w:rPr>
        <w:t>（五）接受甲方及行业主管部门的监督指导；</w:t>
      </w:r>
      <w:r>
        <w:rPr>
          <w:rFonts w:hint="default" w:ascii="仿宋" w:hAnsi="仿宋" w:eastAsia="仿宋" w:cs="仿宋"/>
          <w:color w:val="auto"/>
          <w:sz w:val="24"/>
          <w:highlight w:val="none"/>
          <w:lang w:val="en-US" w:eastAsia="zh-CN"/>
        </w:rPr>
        <w:br w:type="textWrapping"/>
      </w:r>
      <w:r>
        <w:rPr>
          <w:rFonts w:hint="default" w:ascii="仿宋" w:hAnsi="仿宋" w:eastAsia="仿宋" w:cs="仿宋"/>
          <w:color w:val="auto"/>
          <w:sz w:val="24"/>
          <w:highlight w:val="none"/>
          <w:lang w:val="en-US" w:eastAsia="zh-CN"/>
        </w:rPr>
        <w:t>（六）履行国家法律法规规定的其他责任。</w:t>
      </w:r>
    </w:p>
    <w:p w14:paraId="7DE1B6CC">
      <w:pPr>
        <w:autoSpaceDE w:val="0"/>
        <w:autoSpaceDN w:val="0"/>
        <w:adjustRightInd w:val="0"/>
        <w:spacing w:line="360" w:lineRule="auto"/>
        <w:ind w:firstLine="482" w:firstLineChars="200"/>
        <w:rPr>
          <w:rFonts w:hint="eastAsia" w:ascii="仿宋" w:hAnsi="仿宋" w:eastAsia="仿宋" w:cs="仿宋"/>
          <w:b/>
          <w:color w:val="auto"/>
          <w:sz w:val="24"/>
          <w:highlight w:val="none"/>
          <w:lang w:val="en-US" w:eastAsia="zh-CN"/>
        </w:rPr>
      </w:pPr>
      <w:r>
        <w:rPr>
          <w:rFonts w:hint="eastAsia" w:ascii="仿宋" w:hAnsi="仿宋" w:eastAsia="仿宋" w:cs="仿宋"/>
          <w:b/>
          <w:color w:val="auto"/>
          <w:sz w:val="24"/>
          <w:highlight w:val="none"/>
          <w:lang w:val="en-US" w:eastAsia="zh-CN"/>
        </w:rPr>
        <w:t>八</w:t>
      </w:r>
      <w:r>
        <w:rPr>
          <w:rFonts w:hint="eastAsia" w:ascii="仿宋" w:hAnsi="仿宋" w:eastAsia="仿宋" w:cs="仿宋"/>
          <w:b/>
          <w:color w:val="auto"/>
          <w:sz w:val="24"/>
          <w:highlight w:val="none"/>
        </w:rPr>
        <w:t>、验收要求</w:t>
      </w:r>
      <w:r>
        <w:rPr>
          <w:rFonts w:hint="eastAsia" w:ascii="仿宋" w:hAnsi="仿宋" w:eastAsia="仿宋" w:cs="仿宋"/>
          <w:b/>
          <w:color w:val="auto"/>
          <w:sz w:val="24"/>
          <w:highlight w:val="none"/>
          <w:lang w:val="en-US" w:eastAsia="zh-CN"/>
        </w:rPr>
        <w:t>及标准</w:t>
      </w:r>
    </w:p>
    <w:p w14:paraId="2B69747D">
      <w:pPr>
        <w:spacing w:line="360" w:lineRule="auto"/>
        <w:ind w:firstLine="480" w:firstLineChars="200"/>
        <w:rPr>
          <w:rFonts w:hint="default" w:ascii="仿宋" w:hAnsi="仿宋" w:eastAsia="仿宋" w:cs="仿宋"/>
          <w:color w:val="auto"/>
          <w:sz w:val="24"/>
          <w:highlight w:val="none"/>
        </w:rPr>
      </w:pPr>
      <w:bookmarkStart w:id="18" w:name="auto_fouce_20"/>
      <w:r>
        <w:rPr>
          <w:rFonts w:hint="eastAsia" w:ascii="仿宋" w:hAnsi="仿宋" w:eastAsia="仿宋" w:cs="仿宋"/>
          <w:color w:val="auto"/>
          <w:sz w:val="24"/>
          <w:highlight w:val="none"/>
        </w:rPr>
        <w:t>（一）中期验收：甲方组织专家对中期资料的完整性、数据处理的规范性进行评审，</w:t>
      </w:r>
      <w:r>
        <w:rPr>
          <w:rFonts w:hint="eastAsia" w:ascii="仿宋" w:hAnsi="仿宋" w:eastAsia="仿宋" w:cs="仿宋"/>
          <w:color w:val="auto"/>
          <w:sz w:val="24"/>
          <w:highlight w:val="none"/>
          <w:lang w:eastAsia="zh-CN"/>
        </w:rPr>
        <w:t>若不合格，甲方应书面</w:t>
      </w:r>
      <w:r>
        <w:rPr>
          <w:rFonts w:hint="eastAsia" w:ascii="仿宋" w:hAnsi="仿宋" w:eastAsia="仿宋" w:cs="仿宋"/>
          <w:color w:val="auto"/>
          <w:sz w:val="24"/>
          <w:highlight w:val="none"/>
        </w:rPr>
        <w:t>通</w:t>
      </w:r>
      <w:r>
        <w:rPr>
          <w:rFonts w:hint="eastAsia" w:ascii="仿宋" w:hAnsi="仿宋" w:eastAsia="仿宋" w:cs="仿宋"/>
          <w:color w:val="auto"/>
          <w:sz w:val="24"/>
          <w:highlight w:val="none"/>
          <w:lang w:eastAsia="zh-CN"/>
        </w:rPr>
        <w:t>知乙方整改，乙方应在10个工作日内完成整改并重新提交，甲方复验合格</w:t>
      </w:r>
      <w:r>
        <w:rPr>
          <w:rFonts w:hint="eastAsia" w:ascii="仿宋" w:hAnsi="仿宋" w:eastAsia="仿宋" w:cs="仿宋"/>
          <w:color w:val="auto"/>
          <w:sz w:val="24"/>
          <w:highlight w:val="none"/>
        </w:rPr>
        <w:t>后出具中期验收合格意见；</w:t>
      </w:r>
      <w:bookmarkEnd w:id="18"/>
      <w:r>
        <w:rPr>
          <w:rFonts w:hint="default" w:ascii="仿宋" w:hAnsi="仿宋" w:eastAsia="仿宋" w:cs="仿宋"/>
          <w:color w:val="auto"/>
          <w:sz w:val="24"/>
          <w:highlight w:val="none"/>
        </w:rPr>
        <w:br w:type="textWrapping"/>
      </w:r>
      <w:r>
        <w:rPr>
          <w:rFonts w:hint="eastAsia" w:ascii="仿宋" w:hAnsi="仿宋" w:eastAsia="仿宋" w:cs="仿宋"/>
          <w:color w:val="auto"/>
          <w:sz w:val="24"/>
          <w:highlight w:val="none"/>
          <w:lang w:val="en-US" w:eastAsia="zh-CN"/>
        </w:rPr>
        <w:t xml:space="preserve">     </w:t>
      </w:r>
      <w:r>
        <w:rPr>
          <w:rFonts w:hint="default" w:ascii="仿宋" w:hAnsi="仿宋" w:eastAsia="仿宋" w:cs="仿宋"/>
          <w:color w:val="auto"/>
          <w:sz w:val="24"/>
          <w:highlight w:val="none"/>
        </w:rPr>
        <w:t>（二）最终验收：</w:t>
      </w:r>
      <w:bookmarkStart w:id="19" w:name="auto_fouce_21"/>
      <w:r>
        <w:rPr>
          <w:rFonts w:hint="eastAsia" w:ascii="仿宋" w:hAnsi="仿宋" w:eastAsia="仿宋" w:cs="仿宋"/>
          <w:color w:val="auto"/>
          <w:sz w:val="24"/>
          <w:highlight w:val="none"/>
          <w:lang w:eastAsia="zh-CN"/>
        </w:rPr>
        <w:t>按照《关于进一步加强政府采购需求和履约验收管理的指导意见》（财库〔2016〕205 号）等规定，由甲方组织专家对最终成果的科学性、准确性、合规性进行评审。若验收不合格，乙方应在甲方指定期限内进行整改，逾期未整改或整改不合格，甲方有权拒付相应款项并视情况终止合同；</w:t>
      </w:r>
      <w:bookmarkEnd w:id="19"/>
      <w:r>
        <w:rPr>
          <w:rFonts w:hint="default" w:ascii="仿宋" w:hAnsi="仿宋" w:eastAsia="仿宋" w:cs="仿宋"/>
          <w:color w:val="auto"/>
          <w:sz w:val="24"/>
          <w:highlight w:val="none"/>
        </w:rPr>
        <w:br w:type="textWrapping"/>
      </w:r>
      <w:r>
        <w:rPr>
          <w:rFonts w:hint="eastAsia" w:ascii="仿宋" w:hAnsi="仿宋" w:eastAsia="仿宋" w:cs="仿宋"/>
          <w:color w:val="auto"/>
          <w:sz w:val="24"/>
          <w:highlight w:val="none"/>
          <w:lang w:val="en-US" w:eastAsia="zh-CN"/>
        </w:rPr>
        <w:t xml:space="preserve">     </w:t>
      </w:r>
      <w:r>
        <w:rPr>
          <w:rFonts w:hint="default" w:ascii="仿宋" w:hAnsi="仿宋" w:eastAsia="仿宋" w:cs="仿宋"/>
          <w:color w:val="auto"/>
          <w:sz w:val="24"/>
          <w:highlight w:val="none"/>
        </w:rPr>
        <w:t>（三）1 年成果校验期验收：校验期届满后，甲方对公式应用效果进行评估，确认无质量或服务问题后出具校验合格意见。</w:t>
      </w:r>
    </w:p>
    <w:p w14:paraId="6849DE72">
      <w:pPr>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九</w:t>
      </w:r>
      <w:r>
        <w:rPr>
          <w:rFonts w:hint="eastAsia" w:ascii="仿宋" w:hAnsi="仿宋" w:eastAsia="仿宋" w:cs="仿宋"/>
          <w:b/>
          <w:color w:val="auto"/>
          <w:sz w:val="24"/>
          <w:highlight w:val="none"/>
        </w:rPr>
        <w:t>、知识产权</w:t>
      </w:r>
    </w:p>
    <w:p w14:paraId="34FFE7CA">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（一）乙方保证所提供的技术服务没有侵犯第三方专利权、专有技术、商业秘密及其他知识产权，若甲方使用乙方提供的技术服务成果受到第三方追究责任，由乙方负责妥善解决，并</w:t>
      </w:r>
      <w:bookmarkStart w:id="20" w:name="auto_fouce_22"/>
      <w:r>
        <w:rPr>
          <w:rFonts w:hint="eastAsia" w:ascii="仿宋" w:hAnsi="仿宋" w:eastAsia="仿宋" w:cs="仿宋"/>
          <w:color w:val="auto"/>
          <w:sz w:val="24"/>
          <w:highlight w:val="none"/>
        </w:rPr>
        <w:t>赔偿由此给甲方造成的所有损失（包括不限于对第三方权益的侵害和守约方维权所产生的律师费等费用）</w:t>
      </w:r>
      <w:r>
        <w:rPr>
          <w:rFonts w:hint="eastAsia" w:ascii="仿宋" w:hAnsi="仿宋" w:eastAsia="仿宋" w:cs="仿宋"/>
          <w:color w:val="auto"/>
          <w:sz w:val="24"/>
          <w:highlight w:val="none"/>
          <w:lang w:eastAsia="zh-CN"/>
        </w:rPr>
        <w:t>，包括市政工程规划调整费用、已建排水设施改造损失等直接损失</w:t>
      </w:r>
      <w:r>
        <w:rPr>
          <w:rFonts w:hint="eastAsia" w:ascii="仿宋" w:hAnsi="仿宋" w:eastAsia="仿宋" w:cs="仿宋"/>
          <w:color w:val="auto"/>
          <w:sz w:val="24"/>
          <w:highlight w:val="none"/>
        </w:rPr>
        <w:t>。</w:t>
      </w:r>
      <w:bookmarkEnd w:id="20"/>
      <w:r>
        <w:rPr>
          <w:rFonts w:hint="eastAsia" w:ascii="仿宋" w:hAnsi="仿宋" w:eastAsia="仿宋" w:cs="仿宋"/>
          <w:color w:val="auto"/>
          <w:sz w:val="24"/>
          <w:highlight w:val="none"/>
        </w:rPr>
        <w:t xml:space="preserve"> </w:t>
      </w:r>
    </w:p>
    <w:p w14:paraId="6DE7B4E2">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（二）乙方无论出于任何目的如在其他地方使用该成果，必须经甲方同意方可使用。</w:t>
      </w:r>
      <w:bookmarkStart w:id="21" w:name="auto_fouce_23"/>
      <w:r>
        <w:rPr>
          <w:rFonts w:hint="eastAsia" w:ascii="仿宋" w:hAnsi="仿宋" w:eastAsia="仿宋" w:cs="仿宋"/>
          <w:color w:val="auto"/>
          <w:sz w:val="24"/>
          <w:highlight w:val="none"/>
        </w:rPr>
        <w:t>否则，甲方有权要求终止涉及到</w:t>
      </w:r>
      <w:r>
        <w:rPr>
          <w:rFonts w:hint="eastAsia" w:ascii="仿宋" w:hAnsi="仿宋" w:eastAsia="仿宋" w:cs="仿宋"/>
          <w:color w:val="auto"/>
          <w:sz w:val="24"/>
          <w:highlight w:val="none"/>
          <w:lang w:eastAsia="zh-CN"/>
        </w:rPr>
        <w:t>本项目技术成果及相关</w:t>
      </w:r>
      <w:r>
        <w:rPr>
          <w:rFonts w:hint="eastAsia" w:ascii="仿宋" w:hAnsi="仿宋" w:eastAsia="仿宋" w:cs="仿宋"/>
          <w:color w:val="auto"/>
          <w:sz w:val="24"/>
          <w:highlight w:val="none"/>
        </w:rPr>
        <w:t>知识产权的任何使用活动并保留追究卖方相应的法律责任的权利。</w:t>
      </w:r>
      <w:bookmarkEnd w:id="21"/>
      <w:r>
        <w:rPr>
          <w:rFonts w:hint="eastAsia" w:ascii="仿宋" w:hAnsi="仿宋" w:eastAsia="仿宋" w:cs="仿宋"/>
          <w:color w:val="auto"/>
          <w:sz w:val="24"/>
          <w:highlight w:val="none"/>
        </w:rPr>
        <w:t xml:space="preserve"> </w:t>
      </w:r>
    </w:p>
    <w:p w14:paraId="0B67724A">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（三）乙方为执行本合同而提供的技术资料使用权归甲方所有。</w:t>
      </w:r>
    </w:p>
    <w:p w14:paraId="3F0D07EB">
      <w:pPr>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十</w:t>
      </w:r>
      <w:r>
        <w:rPr>
          <w:rFonts w:hint="eastAsia" w:ascii="仿宋" w:hAnsi="仿宋" w:eastAsia="仿宋" w:cs="仿宋"/>
          <w:b/>
          <w:color w:val="auto"/>
          <w:sz w:val="24"/>
          <w:highlight w:val="none"/>
        </w:rPr>
        <w:t>、保密规定</w:t>
      </w:r>
    </w:p>
    <w:p w14:paraId="1F9B48D7">
      <w:pPr>
        <w:spacing w:line="360" w:lineRule="auto"/>
        <w:ind w:firstLine="480" w:firstLineChars="200"/>
        <w:rPr>
          <w:rFonts w:hint="eastAsia" w:ascii="仿宋" w:hAnsi="仿宋" w:eastAsia="仿宋" w:cs="仿宋"/>
          <w:color w:val="auto"/>
          <w:sz w:val="24"/>
          <w:highlight w:val="none"/>
          <w:lang w:eastAsia="zh-CN"/>
        </w:rPr>
      </w:pPr>
      <w:bookmarkStart w:id="22" w:name="auto_fouce_24"/>
      <w:r>
        <w:rPr>
          <w:rFonts w:hint="eastAsia" w:ascii="仿宋" w:hAnsi="仿宋" w:eastAsia="仿宋" w:cs="仿宋"/>
          <w:color w:val="auto"/>
          <w:sz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r>
        <w:rPr>
          <w:rFonts w:hint="eastAsia" w:ascii="仿宋" w:hAnsi="仿宋" w:eastAsia="仿宋" w:cs="仿宋"/>
          <w:color w:val="auto"/>
          <w:sz w:val="24"/>
          <w:highlight w:val="none"/>
          <w:lang w:eastAsia="zh-CN"/>
        </w:rPr>
        <w:t>泄密方还应承担违约金，金额不少于合同总价的20%。</w:t>
      </w:r>
      <w:bookmarkEnd w:id="22"/>
    </w:p>
    <w:p w14:paraId="4EDB12E8">
      <w:pPr>
        <w:autoSpaceDE w:val="0"/>
        <w:autoSpaceDN w:val="0"/>
        <w:adjustRightInd w:val="0"/>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rPr>
        <w:t>十</w:t>
      </w:r>
      <w:r>
        <w:rPr>
          <w:rFonts w:hint="eastAsia" w:ascii="仿宋" w:hAnsi="仿宋" w:eastAsia="仿宋" w:cs="仿宋"/>
          <w:b/>
          <w:color w:val="auto"/>
          <w:sz w:val="24"/>
          <w:highlight w:val="none"/>
          <w:lang w:val="en-US" w:eastAsia="zh-CN"/>
        </w:rPr>
        <w:t>一</w:t>
      </w:r>
      <w:r>
        <w:rPr>
          <w:rFonts w:hint="eastAsia" w:ascii="仿宋" w:hAnsi="仿宋" w:eastAsia="仿宋" w:cs="仿宋"/>
          <w:b/>
          <w:color w:val="auto"/>
          <w:sz w:val="24"/>
          <w:highlight w:val="none"/>
        </w:rPr>
        <w:t>、其</w:t>
      </w:r>
      <w:r>
        <w:rPr>
          <w:rFonts w:hint="eastAsia" w:ascii="仿宋" w:hAnsi="仿宋" w:eastAsia="仿宋" w:cs="仿宋"/>
          <w:b/>
          <w:color w:val="auto"/>
          <w:sz w:val="24"/>
          <w:highlight w:val="none"/>
          <w:lang w:val="en-US" w:eastAsia="zh-CN"/>
        </w:rPr>
        <w:t>他</w:t>
      </w:r>
      <w:r>
        <w:rPr>
          <w:rFonts w:hint="eastAsia" w:ascii="仿宋" w:hAnsi="仿宋" w:eastAsia="仿宋" w:cs="仿宋"/>
          <w:b/>
          <w:color w:val="auto"/>
          <w:sz w:val="24"/>
          <w:highlight w:val="none"/>
        </w:rPr>
        <w:t>事项</w:t>
      </w:r>
    </w:p>
    <w:p w14:paraId="1A16240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（一）</w:t>
      </w:r>
      <w:bookmarkStart w:id="23" w:name="auto_fouce_25"/>
      <w:r>
        <w:rPr>
          <w:rFonts w:hint="eastAsia" w:ascii="仿宋" w:hAnsi="仿宋" w:eastAsia="仿宋" w:cs="仿宋"/>
          <w:color w:val="auto"/>
          <w:sz w:val="24"/>
          <w:highlight w:val="none"/>
        </w:rPr>
        <w:t>乙方</w:t>
      </w:r>
      <w:r>
        <w:rPr>
          <w:rFonts w:hint="eastAsia" w:ascii="仿宋" w:hAnsi="仿宋" w:eastAsia="仿宋" w:cs="仿宋"/>
          <w:color w:val="auto"/>
          <w:sz w:val="24"/>
          <w:highlight w:val="none"/>
          <w:lang w:eastAsia="zh-CN"/>
        </w:rPr>
        <w:t>未经甲方书面同意，</w:t>
      </w:r>
      <w:r>
        <w:rPr>
          <w:rFonts w:hint="eastAsia" w:ascii="仿宋" w:hAnsi="仿宋" w:eastAsia="仿宋" w:cs="仿宋"/>
          <w:color w:val="auto"/>
          <w:sz w:val="24"/>
          <w:highlight w:val="none"/>
        </w:rPr>
        <w:t>不得转让、分包给其它单位或个人。</w:t>
      </w:r>
      <w:r>
        <w:rPr>
          <w:rFonts w:hint="eastAsia" w:ascii="仿宋" w:hAnsi="仿宋" w:eastAsia="仿宋" w:cs="仿宋"/>
          <w:color w:val="auto"/>
          <w:sz w:val="24"/>
          <w:highlight w:val="none"/>
          <w:lang w:eastAsia="zh-CN"/>
        </w:rPr>
        <w:t>经甲方书面同意的非核心辅助性工作除外。违反本条款，甲方有权单方面解除合同并追究违约责任。</w:t>
      </w:r>
      <w:bookmarkEnd w:id="23"/>
    </w:p>
    <w:p w14:paraId="69596382">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（二）乙方的投标文件和承诺等内容将列入合同。</w:t>
      </w:r>
    </w:p>
    <w:p w14:paraId="5C429AA9">
      <w:pPr>
        <w:autoSpaceDE w:val="0"/>
        <w:autoSpaceDN w:val="0"/>
        <w:adjustRightInd w:val="0"/>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rPr>
        <w:t>十</w:t>
      </w:r>
      <w:r>
        <w:rPr>
          <w:rFonts w:hint="eastAsia" w:ascii="仿宋" w:hAnsi="仿宋" w:eastAsia="仿宋" w:cs="仿宋"/>
          <w:b/>
          <w:color w:val="auto"/>
          <w:sz w:val="24"/>
          <w:highlight w:val="none"/>
          <w:lang w:val="en-US" w:eastAsia="zh-CN"/>
        </w:rPr>
        <w:t>二</w:t>
      </w:r>
      <w:r>
        <w:rPr>
          <w:rFonts w:hint="eastAsia" w:ascii="仿宋" w:hAnsi="仿宋" w:eastAsia="仿宋" w:cs="仿宋"/>
          <w:b/>
          <w:color w:val="auto"/>
          <w:sz w:val="24"/>
          <w:highlight w:val="none"/>
        </w:rPr>
        <w:t>、违约责任</w:t>
      </w:r>
    </w:p>
    <w:p w14:paraId="6B795EE9">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（一）按</w:t>
      </w:r>
      <w:r>
        <w:rPr>
          <w:rFonts w:hint="eastAsia" w:ascii="仿宋" w:hAnsi="仿宋" w:eastAsia="仿宋" w:cs="仿宋"/>
          <w:bCs/>
          <w:color w:val="auto"/>
          <w:sz w:val="24"/>
          <w:highlight w:val="none"/>
          <w:lang w:val="en-US" w:eastAsia="zh-CN"/>
        </w:rPr>
        <w:t>照</w:t>
      </w:r>
      <w:r>
        <w:rPr>
          <w:rFonts w:hint="eastAsia" w:ascii="仿宋" w:hAnsi="仿宋" w:eastAsia="仿宋" w:cs="仿宋"/>
          <w:bCs/>
          <w:color w:val="auto"/>
          <w:sz w:val="24"/>
          <w:highlight w:val="none"/>
        </w:rPr>
        <w:t>《中华人民共和国政府采购法》、《中华人民共和国民法典》中的相关条款执行。</w:t>
      </w:r>
    </w:p>
    <w:p w14:paraId="1FE113E2">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（二）</w:t>
      </w:r>
      <w:bookmarkStart w:id="24" w:name="auto_fouce_26"/>
      <w:r>
        <w:rPr>
          <w:rFonts w:hint="eastAsia" w:ascii="仿宋" w:hAnsi="仿宋" w:eastAsia="仿宋" w:cs="仿宋"/>
          <w:bCs/>
          <w:color w:val="auto"/>
          <w:sz w:val="24"/>
          <w:highlight w:val="none"/>
          <w:lang w:eastAsia="zh-CN"/>
        </w:rPr>
        <w:t>未按合同要求提供服务或服务质量不能满足本次项目要求</w:t>
      </w:r>
      <w:bookmarkEnd w:id="24"/>
      <w:r>
        <w:rPr>
          <w:rFonts w:hint="eastAsia" w:ascii="仿宋" w:hAnsi="仿宋" w:eastAsia="仿宋" w:cs="仿宋"/>
          <w:bCs/>
          <w:color w:val="auto"/>
          <w:sz w:val="24"/>
          <w:highlight w:val="none"/>
          <w:lang w:eastAsia="zh-CN"/>
        </w:rPr>
        <w:t>，甲方有权终止合同和对乙方违约行为进行追究，同时</w:t>
      </w:r>
      <w:bookmarkStart w:id="25" w:name="auto_fouce_27"/>
      <w:r>
        <w:rPr>
          <w:rFonts w:hint="eastAsia" w:ascii="仿宋" w:hAnsi="仿宋" w:eastAsia="仿宋" w:cs="仿宋"/>
          <w:bCs/>
          <w:color w:val="auto"/>
          <w:sz w:val="24"/>
          <w:highlight w:val="none"/>
          <w:lang w:eastAsia="zh-CN"/>
        </w:rPr>
        <w:t>除退还已收取款项外，还应按未履行部分合同价款的</w:t>
      </w:r>
      <w:r>
        <w:rPr>
          <w:rFonts w:hint="eastAsia" w:ascii="仿宋" w:hAnsi="仿宋" w:eastAsia="仿宋" w:cs="仿宋"/>
          <w:bCs/>
          <w:color w:val="auto"/>
          <w:sz w:val="24"/>
          <w:highlight w:val="none"/>
          <w:lang w:val="en-US" w:eastAsia="zh-CN"/>
        </w:rPr>
        <w:t>2</w:t>
      </w:r>
      <w:r>
        <w:rPr>
          <w:rFonts w:hint="eastAsia" w:ascii="仿宋" w:hAnsi="仿宋" w:eastAsia="仿宋" w:cs="仿宋"/>
          <w:bCs/>
          <w:color w:val="auto"/>
          <w:sz w:val="24"/>
          <w:highlight w:val="none"/>
          <w:lang w:eastAsia="zh-CN"/>
        </w:rPr>
        <w:t>0%支付违约金，且不免除缺陷成果导致的损害赔偿责任</w:t>
      </w:r>
      <w:r>
        <w:rPr>
          <w:rFonts w:hint="eastAsia" w:ascii="仿宋" w:hAnsi="仿宋" w:eastAsia="仿宋" w:cs="仿宋"/>
          <w:bCs/>
          <w:color w:val="auto"/>
          <w:sz w:val="24"/>
          <w:highlight w:val="none"/>
        </w:rPr>
        <w:t>。</w:t>
      </w:r>
      <w:bookmarkEnd w:id="25"/>
    </w:p>
    <w:p w14:paraId="50463E99">
      <w:pPr>
        <w:autoSpaceDE w:val="0"/>
        <w:autoSpaceDN w:val="0"/>
        <w:adjustRightInd w:val="0"/>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rPr>
        <w:t>十</w:t>
      </w:r>
      <w:r>
        <w:rPr>
          <w:rFonts w:hint="eastAsia" w:ascii="仿宋" w:hAnsi="仿宋" w:eastAsia="仿宋" w:cs="仿宋"/>
          <w:b/>
          <w:color w:val="auto"/>
          <w:sz w:val="24"/>
          <w:highlight w:val="none"/>
          <w:lang w:val="en-US" w:eastAsia="zh-CN"/>
        </w:rPr>
        <w:t>三</w:t>
      </w:r>
      <w:r>
        <w:rPr>
          <w:rFonts w:hint="eastAsia" w:ascii="仿宋" w:hAnsi="仿宋" w:eastAsia="仿宋" w:cs="仿宋"/>
          <w:b/>
          <w:color w:val="auto"/>
          <w:sz w:val="24"/>
          <w:highlight w:val="none"/>
        </w:rPr>
        <w:t>、合同争议解决的方式</w:t>
      </w:r>
    </w:p>
    <w:p w14:paraId="05C80649">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本合同在履行过程中发生的争议，由甲、乙双方当事人协商解决，协商不成的</w:t>
      </w:r>
      <w:bookmarkStart w:id="26" w:name="auto_fouce_29"/>
      <w:r>
        <w:rPr>
          <w:rFonts w:hint="eastAsia" w:ascii="仿宋" w:hAnsi="仿宋" w:eastAsia="仿宋" w:cs="仿宋"/>
          <w:bCs/>
          <w:color w:val="auto"/>
          <w:sz w:val="24"/>
          <w:highlight w:val="none"/>
        </w:rPr>
        <w:t>依法向甲方所在地</w:t>
      </w:r>
      <w:r>
        <w:rPr>
          <w:rFonts w:hint="eastAsia" w:ascii="仿宋" w:hAnsi="仿宋" w:eastAsia="仿宋" w:cs="仿宋"/>
          <w:bCs/>
          <w:color w:val="auto"/>
          <w:sz w:val="24"/>
          <w:highlight w:val="none"/>
          <w:lang w:eastAsia="zh-CN"/>
        </w:rPr>
        <w:t>人民</w:t>
      </w:r>
      <w:r>
        <w:rPr>
          <w:rFonts w:hint="eastAsia" w:ascii="仿宋" w:hAnsi="仿宋" w:eastAsia="仿宋" w:cs="仿宋"/>
          <w:bCs/>
          <w:color w:val="auto"/>
          <w:sz w:val="24"/>
          <w:highlight w:val="none"/>
        </w:rPr>
        <w:t>法院起诉</w:t>
      </w:r>
      <w:bookmarkEnd w:id="26"/>
      <w:r>
        <w:rPr>
          <w:rFonts w:hint="eastAsia" w:ascii="仿宋" w:hAnsi="仿宋" w:eastAsia="仿宋" w:cs="仿宋"/>
          <w:bCs/>
          <w:color w:val="auto"/>
          <w:sz w:val="24"/>
          <w:highlight w:val="none"/>
        </w:rPr>
        <w:t>。</w:t>
      </w:r>
    </w:p>
    <w:p w14:paraId="3774AF4C">
      <w:pPr>
        <w:autoSpaceDE w:val="0"/>
        <w:autoSpaceDN w:val="0"/>
        <w:adjustRightInd w:val="0"/>
        <w:spacing w:line="360" w:lineRule="auto"/>
        <w:ind w:firstLine="482" w:firstLineChars="200"/>
        <w:rPr>
          <w:rFonts w:ascii="仿宋" w:hAnsi="仿宋" w:eastAsia="仿宋" w:cs="仿宋"/>
          <w:b/>
          <w:bCs/>
          <w:color w:val="auto"/>
          <w:sz w:val="24"/>
          <w:highlight w:val="none"/>
        </w:rPr>
      </w:pPr>
      <w:r>
        <w:rPr>
          <w:rFonts w:hint="eastAsia" w:ascii="仿宋" w:hAnsi="仿宋" w:eastAsia="仿宋" w:cs="仿宋"/>
          <w:b/>
          <w:bCs/>
          <w:color w:val="auto"/>
          <w:sz w:val="24"/>
          <w:highlight w:val="none"/>
        </w:rPr>
        <w:t>十</w:t>
      </w:r>
      <w:r>
        <w:rPr>
          <w:rFonts w:hint="eastAsia" w:ascii="仿宋" w:hAnsi="仿宋" w:eastAsia="仿宋" w:cs="仿宋"/>
          <w:b/>
          <w:bCs/>
          <w:color w:val="auto"/>
          <w:sz w:val="24"/>
          <w:highlight w:val="none"/>
          <w:lang w:val="en-US" w:eastAsia="zh-CN"/>
        </w:rPr>
        <w:t>四</w:t>
      </w:r>
      <w:r>
        <w:rPr>
          <w:rFonts w:hint="eastAsia" w:ascii="仿宋" w:hAnsi="仿宋" w:eastAsia="仿宋" w:cs="仿宋"/>
          <w:b/>
          <w:bCs/>
          <w:color w:val="auto"/>
          <w:sz w:val="24"/>
          <w:highlight w:val="none"/>
        </w:rPr>
        <w:t>、合同生效</w:t>
      </w:r>
    </w:p>
    <w:p w14:paraId="2277D825">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（一）本合同经双方签字盖章后生效。</w:t>
      </w:r>
    </w:p>
    <w:p w14:paraId="18D9CBAA">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（二）本合同须经甲、乙双方的法定代表人（授权代理人）在合同书上签字并加盖本单位公章后正式生效。</w:t>
      </w:r>
    </w:p>
    <w:p w14:paraId="013D15D6">
      <w:pPr>
        <w:autoSpaceDE w:val="0"/>
        <w:autoSpaceDN w:val="0"/>
        <w:adjustRightIn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（三）合同生效后，甲、乙双方须严格执行本合同条款的规定，全</w:t>
      </w:r>
      <w:bookmarkStart w:id="27" w:name="auto_fouce_32"/>
      <w:r>
        <w:rPr>
          <w:rFonts w:hint="eastAsia" w:ascii="仿宋" w:hAnsi="仿宋" w:eastAsia="仿宋" w:cs="仿宋"/>
          <w:bCs/>
          <w:color w:val="auto"/>
          <w:sz w:val="24"/>
          <w:highlight w:val="none"/>
        </w:rPr>
        <w:t>面履行合同，违者按《中华人民共和国民法典》的有关规定承担相应责任。</w:t>
      </w:r>
    </w:p>
    <w:p w14:paraId="1270AF47">
      <w:pPr>
        <w:autoSpaceDE w:val="0"/>
        <w:autoSpaceDN w:val="0"/>
        <w:adjustRightInd w:val="0"/>
        <w:spacing w:line="360" w:lineRule="auto"/>
        <w:ind w:firstLine="480" w:firstLineChars="200"/>
        <w:rPr>
          <w:rFonts w:ascii="仿宋" w:hAnsi="仿宋" w:eastAsia="仿宋" w:cs="仿宋"/>
          <w:bCs/>
          <w:color w:val="auto"/>
          <w:sz w:val="24"/>
          <w:highlight w:val="none"/>
        </w:rPr>
      </w:pPr>
      <w:bookmarkStart w:id="28" w:name="auto_fouce_31"/>
      <w:r>
        <w:rPr>
          <w:rFonts w:hint="eastAsia" w:ascii="仿宋" w:hAnsi="仿宋" w:eastAsia="仿宋" w:cs="仿宋"/>
          <w:bCs/>
          <w:color w:val="auto"/>
          <w:sz w:val="24"/>
          <w:highlight w:val="none"/>
        </w:rPr>
        <w:t>（四）本合同一式</w:t>
      </w:r>
      <w:r>
        <w:rPr>
          <w:rFonts w:hint="eastAsia" w:ascii="仿宋" w:hAnsi="仿宋" w:eastAsia="仿宋" w:cs="仿宋"/>
          <w:bCs/>
          <w:color w:val="auto"/>
          <w:sz w:val="24"/>
          <w:highlight w:val="none"/>
          <w:u w:val="single"/>
          <w:lang w:eastAsia="zh-CN"/>
        </w:rPr>
        <w:t>陆</w:t>
      </w:r>
      <w:r>
        <w:rPr>
          <w:rFonts w:hint="eastAsia" w:ascii="仿宋" w:hAnsi="仿宋" w:eastAsia="仿宋" w:cs="仿宋"/>
          <w:bCs/>
          <w:color w:val="auto"/>
          <w:sz w:val="24"/>
          <w:highlight w:val="none"/>
        </w:rPr>
        <w:t>份，甲乙双方各</w:t>
      </w:r>
      <w:bookmarkEnd w:id="27"/>
      <w:r>
        <w:rPr>
          <w:rFonts w:hint="eastAsia" w:ascii="仿宋" w:hAnsi="仿宋" w:eastAsia="仿宋" w:cs="仿宋"/>
          <w:bCs/>
          <w:color w:val="auto"/>
          <w:sz w:val="24"/>
          <w:highlight w:val="none"/>
        </w:rPr>
        <w:t>执</w:t>
      </w:r>
      <w:r>
        <w:rPr>
          <w:rFonts w:hint="eastAsia" w:ascii="仿宋" w:hAnsi="仿宋" w:eastAsia="仿宋" w:cs="仿宋"/>
          <w:bCs/>
          <w:color w:val="auto"/>
          <w:sz w:val="24"/>
          <w:highlight w:val="none"/>
          <w:u w:val="single"/>
          <w:lang w:eastAsia="zh-CN"/>
        </w:rPr>
        <w:t>叁</w:t>
      </w:r>
      <w:r>
        <w:rPr>
          <w:rFonts w:hint="eastAsia" w:ascii="仿宋" w:hAnsi="仿宋" w:eastAsia="仿宋" w:cs="仿宋"/>
          <w:bCs/>
          <w:color w:val="auto"/>
          <w:sz w:val="24"/>
          <w:highlight w:val="none"/>
        </w:rPr>
        <w:t>份。</w:t>
      </w:r>
      <w:bookmarkEnd w:id="28"/>
    </w:p>
    <w:p w14:paraId="697533C3">
      <w:pPr>
        <w:autoSpaceDE w:val="0"/>
        <w:autoSpaceDN w:val="0"/>
        <w:adjustRightInd w:val="0"/>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rPr>
        <w:t>（五）本合同如有未尽事宜，甲、乙双方协商解决。</w:t>
      </w:r>
      <w:bookmarkStart w:id="29" w:name="auto_fouce_33"/>
    </w:p>
    <w:bookmarkEnd w:id="29"/>
    <w:p w14:paraId="6E489997">
      <w:pPr>
        <w:pStyle w:val="3"/>
        <w:jc w:val="center"/>
        <w:rPr>
          <w:rFonts w:ascii="仿宋" w:hAnsi="仿宋" w:eastAsia="仿宋" w:cs="仿宋"/>
          <w:color w:val="auto"/>
          <w:sz w:val="24"/>
          <w:highlight w:val="none"/>
        </w:rPr>
      </w:pPr>
    </w:p>
    <w:tbl>
      <w:tblPr>
        <w:tblStyle w:val="5"/>
        <w:tblW w:w="0" w:type="auto"/>
        <w:jc w:val="center"/>
        <w:tblLayout w:type="fixed"/>
        <w:tblCellMar>
          <w:top w:w="0" w:type="dxa"/>
          <w:left w:w="108" w:type="dxa"/>
          <w:bottom w:w="0" w:type="dxa"/>
          <w:right w:w="108" w:type="dxa"/>
        </w:tblCellMar>
      </w:tblPr>
      <w:tblGrid>
        <w:gridCol w:w="4199"/>
        <w:gridCol w:w="4200"/>
      </w:tblGrid>
      <w:tr w14:paraId="797B79FC">
        <w:tblPrEx>
          <w:tblCellMar>
            <w:top w:w="0" w:type="dxa"/>
            <w:left w:w="108" w:type="dxa"/>
            <w:bottom w:w="0" w:type="dxa"/>
            <w:right w:w="108" w:type="dxa"/>
          </w:tblCellMar>
        </w:tblPrEx>
        <w:trPr>
          <w:trHeight w:val="490" w:hRule="exact"/>
          <w:jc w:val="center"/>
        </w:trPr>
        <w:tc>
          <w:tcPr>
            <w:tcW w:w="4199" w:type="dxa"/>
            <w:vAlign w:val="center"/>
          </w:tcPr>
          <w:p w14:paraId="0502CAA6">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甲  方</w:t>
            </w:r>
          </w:p>
        </w:tc>
        <w:tc>
          <w:tcPr>
            <w:tcW w:w="4200" w:type="dxa"/>
            <w:vAlign w:val="center"/>
          </w:tcPr>
          <w:p w14:paraId="461524A9">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乙  方</w:t>
            </w:r>
          </w:p>
        </w:tc>
      </w:tr>
      <w:tr w14:paraId="3E26E72B">
        <w:tblPrEx>
          <w:tblCellMar>
            <w:top w:w="0" w:type="dxa"/>
            <w:left w:w="108" w:type="dxa"/>
            <w:bottom w:w="0" w:type="dxa"/>
            <w:right w:w="108" w:type="dxa"/>
          </w:tblCellMar>
        </w:tblPrEx>
        <w:trPr>
          <w:trHeight w:val="490" w:hRule="exact"/>
          <w:jc w:val="center"/>
        </w:trPr>
        <w:tc>
          <w:tcPr>
            <w:tcW w:w="4199" w:type="dxa"/>
            <w:vAlign w:val="center"/>
          </w:tcPr>
          <w:p w14:paraId="30749A55">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（盖章）</w:t>
            </w:r>
          </w:p>
        </w:tc>
        <w:tc>
          <w:tcPr>
            <w:tcW w:w="4200" w:type="dxa"/>
            <w:vAlign w:val="center"/>
          </w:tcPr>
          <w:p w14:paraId="7EC77436">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（盖章）</w:t>
            </w:r>
          </w:p>
        </w:tc>
      </w:tr>
      <w:tr w14:paraId="05D65DF3">
        <w:tblPrEx>
          <w:tblCellMar>
            <w:top w:w="0" w:type="dxa"/>
            <w:left w:w="108" w:type="dxa"/>
            <w:bottom w:w="0" w:type="dxa"/>
            <w:right w:w="108" w:type="dxa"/>
          </w:tblCellMar>
        </w:tblPrEx>
        <w:trPr>
          <w:trHeight w:val="490" w:hRule="exact"/>
          <w:jc w:val="center"/>
        </w:trPr>
        <w:tc>
          <w:tcPr>
            <w:tcW w:w="4199" w:type="dxa"/>
            <w:vAlign w:val="center"/>
          </w:tcPr>
          <w:p w14:paraId="13C605EE">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lang w:val="en-US" w:eastAsia="zh-CN"/>
              </w:rPr>
              <w:t>送达</w:t>
            </w:r>
            <w:r>
              <w:rPr>
                <w:rFonts w:hint="eastAsia" w:ascii="仿宋" w:hAnsi="仿宋" w:eastAsia="仿宋" w:cs="仿宋"/>
                <w:color w:val="auto"/>
                <w:sz w:val="24"/>
                <w:highlight w:val="none"/>
              </w:rPr>
              <w:t xml:space="preserve">地址： </w:t>
            </w:r>
          </w:p>
        </w:tc>
        <w:tc>
          <w:tcPr>
            <w:tcW w:w="4200" w:type="dxa"/>
            <w:vAlign w:val="center"/>
          </w:tcPr>
          <w:p w14:paraId="724DFC8B">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lang w:val="en-US" w:eastAsia="zh-CN"/>
              </w:rPr>
              <w:t>送达</w:t>
            </w:r>
            <w:r>
              <w:rPr>
                <w:rFonts w:hint="eastAsia" w:ascii="仿宋" w:hAnsi="仿宋" w:eastAsia="仿宋" w:cs="仿宋"/>
                <w:color w:val="auto"/>
                <w:sz w:val="24"/>
                <w:highlight w:val="none"/>
              </w:rPr>
              <w:t>地址：</w:t>
            </w:r>
          </w:p>
        </w:tc>
      </w:tr>
      <w:tr w14:paraId="0D623690">
        <w:tblPrEx>
          <w:tblCellMar>
            <w:top w:w="0" w:type="dxa"/>
            <w:left w:w="108" w:type="dxa"/>
            <w:bottom w:w="0" w:type="dxa"/>
            <w:right w:w="108" w:type="dxa"/>
          </w:tblCellMar>
        </w:tblPrEx>
        <w:trPr>
          <w:trHeight w:val="490" w:hRule="exact"/>
          <w:jc w:val="center"/>
        </w:trPr>
        <w:tc>
          <w:tcPr>
            <w:tcW w:w="4199" w:type="dxa"/>
            <w:vAlign w:val="center"/>
          </w:tcPr>
          <w:p w14:paraId="76BE4E67">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邮编：</w:t>
            </w:r>
          </w:p>
        </w:tc>
        <w:tc>
          <w:tcPr>
            <w:tcW w:w="4200" w:type="dxa"/>
            <w:vAlign w:val="center"/>
          </w:tcPr>
          <w:p w14:paraId="7019958A">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邮编：</w:t>
            </w:r>
          </w:p>
        </w:tc>
      </w:tr>
      <w:tr w14:paraId="09AEA7D5">
        <w:tblPrEx>
          <w:tblCellMar>
            <w:top w:w="0" w:type="dxa"/>
            <w:left w:w="108" w:type="dxa"/>
            <w:bottom w:w="0" w:type="dxa"/>
            <w:right w:w="108" w:type="dxa"/>
          </w:tblCellMar>
        </w:tblPrEx>
        <w:trPr>
          <w:trHeight w:val="490" w:hRule="exact"/>
          <w:jc w:val="center"/>
        </w:trPr>
        <w:tc>
          <w:tcPr>
            <w:tcW w:w="4199" w:type="dxa"/>
            <w:vAlign w:val="center"/>
          </w:tcPr>
          <w:p w14:paraId="0E3C4E4D">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 xml:space="preserve">法定代表人： </w:t>
            </w:r>
          </w:p>
        </w:tc>
        <w:tc>
          <w:tcPr>
            <w:tcW w:w="4200" w:type="dxa"/>
            <w:vAlign w:val="center"/>
          </w:tcPr>
          <w:p w14:paraId="36C4B8C7">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法定代表人：</w:t>
            </w:r>
          </w:p>
        </w:tc>
      </w:tr>
      <w:tr w14:paraId="50F7351A">
        <w:tblPrEx>
          <w:tblCellMar>
            <w:top w:w="0" w:type="dxa"/>
            <w:left w:w="108" w:type="dxa"/>
            <w:bottom w:w="0" w:type="dxa"/>
            <w:right w:w="108" w:type="dxa"/>
          </w:tblCellMar>
        </w:tblPrEx>
        <w:trPr>
          <w:trHeight w:val="490" w:hRule="exact"/>
          <w:jc w:val="center"/>
        </w:trPr>
        <w:tc>
          <w:tcPr>
            <w:tcW w:w="4199" w:type="dxa"/>
            <w:vAlign w:val="center"/>
          </w:tcPr>
          <w:p w14:paraId="657CFFD8">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被授权代表：</w:t>
            </w:r>
          </w:p>
        </w:tc>
        <w:tc>
          <w:tcPr>
            <w:tcW w:w="4200" w:type="dxa"/>
            <w:vAlign w:val="center"/>
          </w:tcPr>
          <w:p w14:paraId="58FD4668">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被授权代表：</w:t>
            </w:r>
          </w:p>
        </w:tc>
      </w:tr>
      <w:tr w14:paraId="0C6247E7">
        <w:tblPrEx>
          <w:tblCellMar>
            <w:top w:w="0" w:type="dxa"/>
            <w:left w:w="108" w:type="dxa"/>
            <w:bottom w:w="0" w:type="dxa"/>
            <w:right w:w="108" w:type="dxa"/>
          </w:tblCellMar>
        </w:tblPrEx>
        <w:trPr>
          <w:trHeight w:val="490" w:hRule="exact"/>
          <w:jc w:val="center"/>
        </w:trPr>
        <w:tc>
          <w:tcPr>
            <w:tcW w:w="4199" w:type="dxa"/>
            <w:vAlign w:val="center"/>
          </w:tcPr>
          <w:p w14:paraId="7FF47816">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电话：</w:t>
            </w:r>
          </w:p>
        </w:tc>
        <w:tc>
          <w:tcPr>
            <w:tcW w:w="4200" w:type="dxa"/>
            <w:vAlign w:val="center"/>
          </w:tcPr>
          <w:p w14:paraId="5A1466E1">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电话：</w:t>
            </w:r>
          </w:p>
        </w:tc>
      </w:tr>
      <w:tr w14:paraId="32864F8C">
        <w:tblPrEx>
          <w:tblCellMar>
            <w:top w:w="0" w:type="dxa"/>
            <w:left w:w="108" w:type="dxa"/>
            <w:bottom w:w="0" w:type="dxa"/>
            <w:right w:w="108" w:type="dxa"/>
          </w:tblCellMar>
        </w:tblPrEx>
        <w:trPr>
          <w:trHeight w:val="490" w:hRule="exact"/>
          <w:jc w:val="center"/>
        </w:trPr>
        <w:tc>
          <w:tcPr>
            <w:tcW w:w="4199" w:type="dxa"/>
            <w:vAlign w:val="center"/>
          </w:tcPr>
          <w:p w14:paraId="3CE73088">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传真：</w:t>
            </w:r>
          </w:p>
        </w:tc>
        <w:tc>
          <w:tcPr>
            <w:tcW w:w="4200" w:type="dxa"/>
            <w:vAlign w:val="center"/>
          </w:tcPr>
          <w:p w14:paraId="0DE26575">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传真：</w:t>
            </w:r>
          </w:p>
        </w:tc>
      </w:tr>
      <w:tr w14:paraId="710F0E8D">
        <w:tblPrEx>
          <w:tblCellMar>
            <w:top w:w="0" w:type="dxa"/>
            <w:left w:w="108" w:type="dxa"/>
            <w:bottom w:w="0" w:type="dxa"/>
            <w:right w:w="108" w:type="dxa"/>
          </w:tblCellMar>
        </w:tblPrEx>
        <w:trPr>
          <w:trHeight w:val="490" w:hRule="exact"/>
          <w:jc w:val="center"/>
        </w:trPr>
        <w:tc>
          <w:tcPr>
            <w:tcW w:w="4199" w:type="dxa"/>
            <w:vAlign w:val="center"/>
          </w:tcPr>
          <w:p w14:paraId="4158393E">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开户银行：</w:t>
            </w:r>
          </w:p>
        </w:tc>
        <w:tc>
          <w:tcPr>
            <w:tcW w:w="4200" w:type="dxa"/>
            <w:vAlign w:val="center"/>
          </w:tcPr>
          <w:p w14:paraId="7B4524D4">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开户银行：</w:t>
            </w:r>
          </w:p>
        </w:tc>
      </w:tr>
      <w:tr w14:paraId="0785AF53">
        <w:tblPrEx>
          <w:tblCellMar>
            <w:top w:w="0" w:type="dxa"/>
            <w:left w:w="108" w:type="dxa"/>
            <w:bottom w:w="0" w:type="dxa"/>
            <w:right w:w="108" w:type="dxa"/>
          </w:tblCellMar>
        </w:tblPrEx>
        <w:trPr>
          <w:trHeight w:val="490" w:hRule="exact"/>
          <w:jc w:val="center"/>
        </w:trPr>
        <w:tc>
          <w:tcPr>
            <w:tcW w:w="4199" w:type="dxa"/>
            <w:vAlign w:val="center"/>
          </w:tcPr>
          <w:p w14:paraId="4B54CF22">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日期：</w:t>
            </w:r>
          </w:p>
        </w:tc>
        <w:tc>
          <w:tcPr>
            <w:tcW w:w="4200" w:type="dxa"/>
            <w:vAlign w:val="center"/>
          </w:tcPr>
          <w:p w14:paraId="090D737E">
            <w:pPr>
              <w:pStyle w:val="3"/>
              <w:spacing w:after="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日期：</w:t>
            </w:r>
          </w:p>
        </w:tc>
      </w:tr>
    </w:tbl>
    <w:p w14:paraId="1EF16031">
      <w:pPr>
        <w:rPr>
          <w:rFonts w:ascii="宋体" w:hAnsi="宋体" w:eastAsia="宋体" w:cs="宋体"/>
          <w:color w:val="auto"/>
          <w:highlight w:val="none"/>
        </w:rPr>
      </w:pPr>
    </w:p>
    <w:p w14:paraId="2F4D97A2">
      <w:pPr>
        <w:rPr>
          <w:color w:val="auto"/>
        </w:rPr>
      </w:pPr>
    </w:p>
    <w:sectPr>
      <w:footerReference r:id="rId3"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BD9A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774F77">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6774F77">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kOTA0OTMyODczOGZkYmI3ZThmMWQ2OGY3MDgyZDYifQ=="/>
  </w:docVars>
  <w:rsids>
    <w:rsidRoot w:val="2C8C3EBF"/>
    <w:rsid w:val="01392B63"/>
    <w:rsid w:val="0797BAC2"/>
    <w:rsid w:val="10E82A33"/>
    <w:rsid w:val="17533077"/>
    <w:rsid w:val="1A210E8E"/>
    <w:rsid w:val="1FF3E8A3"/>
    <w:rsid w:val="28571314"/>
    <w:rsid w:val="2C8C3EBF"/>
    <w:rsid w:val="30740975"/>
    <w:rsid w:val="32AB6503"/>
    <w:rsid w:val="351166E1"/>
    <w:rsid w:val="366941FF"/>
    <w:rsid w:val="3682497E"/>
    <w:rsid w:val="3DFEB473"/>
    <w:rsid w:val="3EFFC9F6"/>
    <w:rsid w:val="3F2DDAB6"/>
    <w:rsid w:val="3F5DC6AB"/>
    <w:rsid w:val="4FFAAAC7"/>
    <w:rsid w:val="54BD3913"/>
    <w:rsid w:val="56FFA3E8"/>
    <w:rsid w:val="57B62608"/>
    <w:rsid w:val="5A0CCCA3"/>
    <w:rsid w:val="5BF750FE"/>
    <w:rsid w:val="5C3E9980"/>
    <w:rsid w:val="6A6D90F8"/>
    <w:rsid w:val="6DCED621"/>
    <w:rsid w:val="6E4E6AE8"/>
    <w:rsid w:val="7337CFA5"/>
    <w:rsid w:val="738835DA"/>
    <w:rsid w:val="73F93A46"/>
    <w:rsid w:val="7CBF2C4D"/>
    <w:rsid w:val="7FC17746"/>
    <w:rsid w:val="7FFF73FE"/>
    <w:rsid w:val="7FFFDD6E"/>
    <w:rsid w:val="977D6C98"/>
    <w:rsid w:val="A06FB571"/>
    <w:rsid w:val="B7E244D7"/>
    <w:rsid w:val="D79BD394"/>
    <w:rsid w:val="DAFFFAC3"/>
    <w:rsid w:val="E6B5B6EE"/>
    <w:rsid w:val="EE7C205D"/>
    <w:rsid w:val="F6BD23DF"/>
    <w:rsid w:val="F7F62843"/>
    <w:rsid w:val="FAEB70EC"/>
    <w:rsid w:val="FBBFB84C"/>
    <w:rsid w:val="FEFE0848"/>
    <w:rsid w:val="FF1DE2C2"/>
    <w:rsid w:val="FFEA9036"/>
    <w:rsid w:val="FFFC97F2"/>
    <w:rsid w:val="FFFD3EB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adjustRightInd w:val="0"/>
      <w:spacing w:line="360" w:lineRule="atLeast"/>
      <w:jc w:val="left"/>
      <w:textAlignment w:val="baseline"/>
    </w:pPr>
    <w:rPr>
      <w:kern w:val="0"/>
      <w:sz w:val="24"/>
      <w:szCs w:val="20"/>
    </w:rPr>
  </w:style>
  <w:style w:type="paragraph" w:styleId="3">
    <w:name w:val="Body Text"/>
    <w:basedOn w:val="1"/>
    <w:qFormat/>
    <w:uiPriority w:val="0"/>
    <w:pPr>
      <w:spacing w:after="120"/>
    </w:pPr>
    <w:rPr>
      <w:rFonts w:ascii="Times New Roman"/>
    </w:rPr>
  </w:style>
  <w:style w:type="paragraph" w:styleId="4">
    <w:name w:val="footer"/>
    <w:basedOn w:val="1"/>
    <w:next w:val="3"/>
    <w:qFormat/>
    <w:uiPriority w:val="0"/>
    <w:pPr>
      <w:tabs>
        <w:tab w:val="center" w:pos="4153"/>
        <w:tab w:val="right" w:pos="8306"/>
      </w:tabs>
      <w:snapToGrid w:val="0"/>
      <w:jc w:val="left"/>
    </w:pPr>
    <w:rPr>
      <w:sz w:val="18"/>
    </w:rPr>
  </w:style>
  <w:style w:type="character" w:styleId="7">
    <w:name w:val="Strong"/>
    <w:basedOn w:val="6"/>
    <w:qFormat/>
    <w:uiPriority w:val="0"/>
    <w:rPr>
      <w:b/>
    </w:rPr>
  </w:style>
  <w:style w:type="paragraph" w:customStyle="1" w:styleId="8">
    <w:name w:val="表格样式"/>
    <w:qFormat/>
    <w:uiPriority w:val="0"/>
    <w:pPr>
      <w:spacing w:line="360" w:lineRule="auto"/>
    </w:pPr>
    <w:rPr>
      <w:rFonts w:ascii="Times New Roman" w:hAnsi="Times New Roman" w:eastAsia="宋体" w:cstheme="minorBidi"/>
      <w:kern w:val="2"/>
      <w:sz w:val="21"/>
      <w:szCs w:val="22"/>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3495</Words>
  <Characters>3552</Characters>
  <Lines>0</Lines>
  <Paragraphs>0</Paragraphs>
  <TotalTime>11</TotalTime>
  <ScaleCrop>false</ScaleCrop>
  <LinksUpToDate>false</LinksUpToDate>
  <CharactersWithSpaces>3634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2024-04-08T22:19:00Z</dcterms:created>
  <dc:creator>pepper</dc:creator>
  <cp:lastModifiedBy>惊蛰</cp:lastModifiedBy>
  <cp:lastPrinted>2025-08-20T08:10:00Z</cp:lastPrinted>
  <dcterms:modified xsi:type="dcterms:W3CDTF">2025-08-27T02:03:20Z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A2C12420CA65479B86901084C3D05061_13</vt:lpwstr>
  </property>
  <property fmtid="{D5CDD505-2E9C-101B-9397-08002B2CF9AE}" pid="3" name="KSOProductBuildVer">
    <vt:lpwstr>2052-12.1.0.21915</vt:lpwstr>
  </property>
  <property fmtid="{D5CDD505-2E9C-101B-9397-08002B2CF9AE}" pid="4" name="KSOTemplateDocerSaveRecord">
    <vt:lpwstr>eyJoZGlkIjoiOWY5Yzk1YmJmNDNmZGVmYjlkNmMzMDE0YWUxMTBlZDAiLCJ1c2VySWQiOiI4MjU5NjMxNDEifQ==</vt:lpwstr>
  </property>
</Properties>
</file>