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192203">
      <w:pPr>
        <w:shd w:val="clear" w:color="auto"/>
        <w:spacing w:line="360" w:lineRule="auto"/>
        <w:jc w:val="center"/>
        <w:outlineLvl w:val="0"/>
        <w:rPr>
          <w:rStyle w:val="10"/>
          <w:rFonts w:ascii="Times New Roman" w:eastAsia="仿宋"/>
          <w:b/>
          <w:bCs w:val="0"/>
          <w:color w:val="auto"/>
          <w:sz w:val="32"/>
          <w:szCs w:val="32"/>
          <w:highlight w:val="none"/>
        </w:rPr>
      </w:pPr>
      <w:r>
        <w:rPr>
          <w:rStyle w:val="10"/>
          <w:rFonts w:ascii="Times New Roman" w:eastAsia="仿宋"/>
          <w:b/>
          <w:bCs w:val="0"/>
          <w:color w:val="auto"/>
          <w:sz w:val="32"/>
          <w:szCs w:val="32"/>
          <w:highlight w:val="none"/>
        </w:rPr>
        <w:t>拟签订的合同</w:t>
      </w:r>
      <w:bookmarkStart w:id="0" w:name="_Hlt487972895"/>
      <w:bookmarkEnd w:id="0"/>
      <w:bookmarkStart w:id="1" w:name="_Toc216513788"/>
      <w:bookmarkStart w:id="2" w:name="_Toc487900382"/>
      <w:r>
        <w:rPr>
          <w:rStyle w:val="10"/>
          <w:rFonts w:ascii="Times New Roman" w:eastAsia="仿宋"/>
          <w:b/>
          <w:bCs w:val="0"/>
          <w:color w:val="auto"/>
          <w:sz w:val="32"/>
          <w:szCs w:val="32"/>
          <w:highlight w:val="none"/>
        </w:rPr>
        <w:t>文本</w:t>
      </w:r>
      <w:bookmarkEnd w:id="1"/>
      <w:bookmarkEnd w:id="2"/>
      <w:bookmarkStart w:id="4" w:name="_GoBack"/>
      <w:bookmarkEnd w:id="4"/>
    </w:p>
    <w:tbl>
      <w:tblPr>
        <w:tblStyle w:val="8"/>
        <w:tblpPr w:leftFromText="180" w:rightFromText="180" w:vertAnchor="text" w:horzAnchor="page" w:tblpX="8555" w:tblpY="57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tblGrid>
      <w:tr w14:paraId="019BB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1376" w:type="dxa"/>
            <w:noWrap w:val="0"/>
            <w:vAlign w:val="top"/>
          </w:tcPr>
          <w:p w14:paraId="02BDA1E2">
            <w:pPr>
              <w:shd w:val="clear"/>
              <w:ind w:firstLine="201" w:firstLineChars="100"/>
              <w:rPr>
                <w:rFonts w:hint="eastAsia" w:ascii="黑体" w:eastAsia="黑体"/>
                <w:b/>
                <w:color w:val="auto"/>
                <w:sz w:val="18"/>
                <w:szCs w:val="18"/>
                <w:highlight w:val="none"/>
              </w:rPr>
            </w:pPr>
            <w:r>
              <w:rPr>
                <w:rFonts w:hint="eastAsia" w:ascii="黑体" w:eastAsia="黑体"/>
                <w:b/>
                <w:color w:val="auto"/>
                <w:sz w:val="20"/>
                <w:szCs w:val="20"/>
                <w:highlight w:val="none"/>
              </w:rPr>
              <w:t>医疗设备</w:t>
            </w:r>
          </w:p>
        </w:tc>
      </w:tr>
    </w:tbl>
    <w:p w14:paraId="398222AE">
      <w:pPr>
        <w:shd w:val="clear"/>
        <w:jc w:val="center"/>
        <w:rPr>
          <w:rFonts w:hint="eastAsia" w:ascii="黑体" w:eastAsia="黑体"/>
          <w:color w:val="auto"/>
          <w:sz w:val="52"/>
          <w:szCs w:val="52"/>
          <w:highlight w:val="none"/>
        </w:rPr>
      </w:pPr>
    </w:p>
    <w:p w14:paraId="3AFE1410">
      <w:pPr>
        <w:shd w:val="clear"/>
        <w:ind w:firstLine="2120" w:firstLineChars="400"/>
        <w:rPr>
          <w:rFonts w:hint="eastAsia" w:ascii="黑体" w:hAnsi="宋体" w:eastAsia="黑体"/>
          <w:b/>
          <w:color w:val="auto"/>
          <w:spacing w:val="4"/>
          <w:sz w:val="52"/>
          <w:szCs w:val="48"/>
          <w:highlight w:val="none"/>
        </w:rPr>
      </w:pPr>
      <w:r>
        <w:rPr>
          <w:rFonts w:hint="eastAsia" w:ascii="黑体" w:hAnsi="宋体" w:eastAsia="黑体"/>
          <w:b/>
          <w:color w:val="auto"/>
          <w:spacing w:val="4"/>
          <w:sz w:val="52"/>
          <w:szCs w:val="48"/>
          <w:highlight w:val="none"/>
        </w:rPr>
        <w:t>西安市中心医院货物类</w:t>
      </w:r>
    </w:p>
    <w:p w14:paraId="397D83E6">
      <w:pPr>
        <w:shd w:val="clear"/>
        <w:ind w:firstLine="3233" w:firstLineChars="350"/>
        <w:rPr>
          <w:rFonts w:hint="eastAsia" w:eastAsia="黑体"/>
          <w:b/>
          <w:color w:val="auto"/>
          <w:spacing w:val="-20"/>
          <w:sz w:val="96"/>
          <w:szCs w:val="58"/>
          <w:highlight w:val="none"/>
        </w:rPr>
      </w:pPr>
    </w:p>
    <w:p w14:paraId="64BE52C3">
      <w:pPr>
        <w:shd w:val="clear"/>
        <w:ind w:firstLine="3614" w:firstLineChars="500"/>
        <w:rPr>
          <w:rFonts w:hint="eastAsia" w:ascii="黑体" w:eastAsia="黑体"/>
          <w:b/>
          <w:color w:val="auto"/>
          <w:sz w:val="72"/>
          <w:szCs w:val="72"/>
          <w:highlight w:val="none"/>
        </w:rPr>
      </w:pPr>
      <w:r>
        <w:rPr>
          <w:rFonts w:hint="eastAsia" w:ascii="黑体" w:eastAsia="黑体"/>
          <w:b/>
          <w:color w:val="auto"/>
          <w:sz w:val="72"/>
          <w:szCs w:val="72"/>
          <w:highlight w:val="none"/>
        </w:rPr>
        <w:t>合  同</w:t>
      </w:r>
    </w:p>
    <w:p w14:paraId="6D6DD4C1">
      <w:pPr>
        <w:shd w:val="clear"/>
        <w:jc w:val="center"/>
        <w:rPr>
          <w:rFonts w:hint="eastAsia" w:ascii="黑体" w:eastAsia="黑体"/>
          <w:b/>
          <w:color w:val="auto"/>
          <w:sz w:val="72"/>
          <w:szCs w:val="72"/>
          <w:highlight w:val="none"/>
        </w:rPr>
      </w:pPr>
    </w:p>
    <w:p w14:paraId="5D77BBF4">
      <w:pPr>
        <w:shd w:val="clear"/>
        <w:ind w:firstLine="3080" w:firstLineChars="1100"/>
        <w:rPr>
          <w:rFonts w:hint="eastAsia" w:ascii="黑体" w:eastAsia="黑体"/>
          <w:color w:val="auto"/>
          <w:sz w:val="28"/>
          <w:szCs w:val="30"/>
          <w:highlight w:val="none"/>
        </w:rPr>
      </w:pPr>
    </w:p>
    <w:p w14:paraId="39B057E4">
      <w:pPr>
        <w:shd w:val="clear"/>
        <w:ind w:firstLine="1120" w:firstLineChars="400"/>
        <w:rPr>
          <w:rFonts w:hint="eastAsia" w:ascii="黑体" w:hAnsi="黑体" w:eastAsia="黑体" w:cs="黑体"/>
          <w:color w:val="auto"/>
          <w:sz w:val="28"/>
          <w:szCs w:val="28"/>
          <w:highlight w:val="none"/>
          <w:u w:val="single"/>
        </w:rPr>
      </w:pPr>
      <w:bookmarkStart w:id="3" w:name="_Hlk205215532"/>
      <w:r>
        <w:rPr>
          <w:rFonts w:hint="eastAsia" w:ascii="黑体" w:eastAsia="黑体"/>
          <w:color w:val="auto"/>
          <w:sz w:val="28"/>
          <w:szCs w:val="30"/>
          <w:highlight w:val="none"/>
        </w:rPr>
        <w:t>项目名称：</w:t>
      </w:r>
      <w:r>
        <w:rPr>
          <w:rFonts w:ascii="黑体" w:eastAsia="黑体"/>
          <w:color w:val="auto"/>
          <w:sz w:val="28"/>
          <w:szCs w:val="30"/>
          <w:highlight w:val="none"/>
        </w:rPr>
        <w:t xml:space="preserve"> </w:t>
      </w:r>
      <w:r>
        <w:rPr>
          <w:rFonts w:ascii="黑体" w:eastAsia="黑体"/>
          <w:color w:val="auto"/>
          <w:sz w:val="28"/>
          <w:szCs w:val="30"/>
          <w:highlight w:val="none"/>
          <w:u w:val="single"/>
        </w:rPr>
        <w:t xml:space="preserve">                                 </w:t>
      </w:r>
      <w:r>
        <w:rPr>
          <w:rFonts w:ascii="黑体" w:hAnsi="黑体" w:eastAsia="黑体" w:cs="黑体"/>
          <w:color w:val="auto"/>
          <w:sz w:val="28"/>
          <w:szCs w:val="28"/>
          <w:highlight w:val="none"/>
          <w:u w:val="single"/>
        </w:rPr>
        <w:t xml:space="preserve"> </w:t>
      </w:r>
    </w:p>
    <w:p w14:paraId="208C4F83">
      <w:pPr>
        <w:shd w:val="clear"/>
        <w:ind w:firstLine="1120" w:firstLineChars="400"/>
        <w:rPr>
          <w:rFonts w:hint="eastAsia" w:ascii="黑体" w:hAnsi="黑体" w:eastAsia="黑体" w:cs="黑体"/>
          <w:color w:val="auto"/>
          <w:sz w:val="28"/>
          <w:szCs w:val="28"/>
          <w:highlight w:val="none"/>
          <w:u w:val="single"/>
        </w:rPr>
      </w:pPr>
      <w:r>
        <w:rPr>
          <w:rFonts w:hint="eastAsia" w:ascii="黑体" w:hAnsi="黑体" w:eastAsia="黑体" w:cs="黑体"/>
          <w:color w:val="auto"/>
          <w:sz w:val="28"/>
          <w:szCs w:val="28"/>
          <w:highlight w:val="none"/>
        </w:rPr>
        <w:t>项目编号：</w:t>
      </w:r>
      <w:r>
        <w:rPr>
          <w:rFonts w:ascii="黑体" w:hAnsi="黑体" w:eastAsia="黑体" w:cs="黑体"/>
          <w:color w:val="auto"/>
          <w:sz w:val="28"/>
          <w:szCs w:val="28"/>
          <w:highlight w:val="none"/>
        </w:rPr>
        <w:t xml:space="preserve"> </w:t>
      </w:r>
      <w:r>
        <w:rPr>
          <w:rFonts w:ascii="黑体" w:hAnsi="黑体" w:eastAsia="黑体" w:cs="黑体"/>
          <w:color w:val="auto"/>
          <w:sz w:val="28"/>
          <w:szCs w:val="28"/>
          <w:highlight w:val="none"/>
          <w:u w:val="single"/>
        </w:rPr>
        <w:t xml:space="preserve">                                  </w:t>
      </w:r>
    </w:p>
    <w:p w14:paraId="6D107494">
      <w:pPr>
        <w:shd w:val="clear"/>
        <w:jc w:val="center"/>
        <w:rPr>
          <w:rFonts w:hint="eastAsia" w:ascii="黑体" w:eastAsia="黑体"/>
          <w:color w:val="auto"/>
          <w:sz w:val="28"/>
          <w:szCs w:val="30"/>
          <w:highlight w:val="none"/>
        </w:rPr>
      </w:pPr>
    </w:p>
    <w:p w14:paraId="7BFCBCC9">
      <w:pPr>
        <w:shd w:val="clear"/>
        <w:jc w:val="center"/>
        <w:rPr>
          <w:rFonts w:hint="eastAsia" w:ascii="黑体" w:eastAsia="黑体"/>
          <w:color w:val="auto"/>
          <w:sz w:val="28"/>
          <w:szCs w:val="30"/>
          <w:highlight w:val="none"/>
        </w:rPr>
      </w:pPr>
    </w:p>
    <w:p w14:paraId="17A4AFF5">
      <w:pPr>
        <w:shd w:val="clear"/>
        <w:jc w:val="both"/>
        <w:rPr>
          <w:rFonts w:ascii="黑体" w:eastAsia="黑体"/>
          <w:color w:val="auto"/>
          <w:sz w:val="28"/>
          <w:szCs w:val="30"/>
          <w:highlight w:val="none"/>
        </w:rPr>
      </w:pPr>
    </w:p>
    <w:p w14:paraId="7E08F048">
      <w:pPr>
        <w:shd w:val="clear"/>
        <w:jc w:val="both"/>
        <w:rPr>
          <w:rFonts w:ascii="黑体" w:eastAsia="黑体"/>
          <w:color w:val="auto"/>
          <w:sz w:val="28"/>
          <w:szCs w:val="30"/>
          <w:highlight w:val="none"/>
        </w:rPr>
      </w:pPr>
    </w:p>
    <w:p w14:paraId="3A12AB5C">
      <w:pPr>
        <w:shd w:val="clear"/>
        <w:jc w:val="center"/>
        <w:rPr>
          <w:rFonts w:hint="eastAsia" w:ascii="黑体" w:eastAsia="黑体"/>
          <w:color w:val="auto"/>
          <w:sz w:val="28"/>
          <w:szCs w:val="30"/>
          <w:highlight w:val="none"/>
        </w:rPr>
      </w:pPr>
    </w:p>
    <w:p w14:paraId="04584732">
      <w:pPr>
        <w:shd w:val="clear"/>
        <w:ind w:firstLine="2240" w:firstLineChars="700"/>
        <w:rPr>
          <w:rFonts w:hint="eastAsia" w:ascii="黑体" w:hAnsi="宋体" w:eastAsia="黑体"/>
          <w:color w:val="auto"/>
          <w:sz w:val="32"/>
          <w:szCs w:val="32"/>
          <w:highlight w:val="none"/>
        </w:rPr>
      </w:pPr>
      <w:r>
        <w:rPr>
          <w:rFonts w:hint="eastAsia" w:ascii="黑体" w:hAnsi="宋体" w:eastAsia="黑体"/>
          <w:color w:val="auto"/>
          <w:sz w:val="32"/>
          <w:szCs w:val="32"/>
          <w:highlight w:val="none"/>
        </w:rPr>
        <w:t>甲  方：西安市中心医院</w:t>
      </w:r>
    </w:p>
    <w:p w14:paraId="117512D1">
      <w:pPr>
        <w:shd w:val="clear"/>
        <w:tabs>
          <w:tab w:val="left" w:pos="480"/>
        </w:tabs>
        <w:ind w:firstLine="2240" w:firstLineChars="700"/>
        <w:rPr>
          <w:rFonts w:hint="eastAsia" w:ascii="黑体" w:hAnsi="黑体" w:eastAsia="黑体" w:cs="黑体"/>
          <w:color w:val="auto"/>
          <w:sz w:val="32"/>
          <w:szCs w:val="32"/>
          <w:highlight w:val="none"/>
        </w:rPr>
      </w:pPr>
      <w:r>
        <w:rPr>
          <w:rFonts w:hint="eastAsia" w:ascii="黑体" w:hAnsi="宋体" w:eastAsia="黑体"/>
          <w:color w:val="auto"/>
          <w:sz w:val="32"/>
          <w:szCs w:val="32"/>
          <w:highlight w:val="none"/>
        </w:rPr>
        <w:t>乙  方：</w:t>
      </w:r>
      <w:r>
        <w:rPr>
          <w:rFonts w:ascii="黑体" w:hAnsi="宋体" w:eastAsia="黑体"/>
          <w:color w:val="auto"/>
          <w:sz w:val="32"/>
          <w:szCs w:val="32"/>
          <w:highlight w:val="none"/>
        </w:rPr>
        <w:t xml:space="preserve">                          </w:t>
      </w:r>
    </w:p>
    <w:p w14:paraId="0E57AFA0">
      <w:pPr>
        <w:shd w:val="clear"/>
        <w:rPr>
          <w:rFonts w:ascii="黑体" w:hAnsi="宋体" w:eastAsia="黑体"/>
          <w:color w:val="auto"/>
          <w:sz w:val="32"/>
          <w:szCs w:val="32"/>
          <w:highlight w:val="none"/>
        </w:rPr>
      </w:pPr>
    </w:p>
    <w:p w14:paraId="627C13A0">
      <w:pPr>
        <w:shd w:val="clear"/>
        <w:ind w:firstLine="3200" w:firstLineChars="1000"/>
        <w:rPr>
          <w:rFonts w:hint="eastAsia" w:eastAsia="等线"/>
          <w:color w:val="auto"/>
          <w:highlight w:val="none"/>
        </w:rPr>
      </w:pPr>
      <w:r>
        <w:rPr>
          <w:rFonts w:hint="eastAsia" w:ascii="黑体" w:hAnsi="宋体" w:eastAsia="黑体"/>
          <w:color w:val="auto"/>
          <w:sz w:val="32"/>
          <w:szCs w:val="32"/>
          <w:highlight w:val="none"/>
        </w:rPr>
        <w:t>二O二</w:t>
      </w:r>
      <w:r>
        <w:rPr>
          <w:rFonts w:ascii="黑体" w:hAnsi="宋体" w:eastAsia="黑体"/>
          <w:color w:val="auto"/>
          <w:sz w:val="32"/>
          <w:szCs w:val="32"/>
          <w:highlight w:val="none"/>
        </w:rPr>
        <w:t xml:space="preserve"> </w:t>
      </w:r>
      <w:r>
        <w:rPr>
          <w:rFonts w:hint="eastAsia" w:ascii="黑体" w:hAnsi="宋体" w:eastAsia="黑体"/>
          <w:color w:val="auto"/>
          <w:sz w:val="32"/>
          <w:szCs w:val="32"/>
          <w:highlight w:val="none"/>
        </w:rPr>
        <w:t>五 年   月</w:t>
      </w:r>
      <w:bookmarkEnd w:id="3"/>
    </w:p>
    <w:p w14:paraId="3780A4D4">
      <w:pPr>
        <w:shd w:val="clear"/>
        <w:tabs>
          <w:tab w:val="left" w:pos="480"/>
        </w:tabs>
        <w:spacing w:line="360" w:lineRule="auto"/>
        <w:ind w:firstLine="480" w:firstLineChars="200"/>
        <w:jc w:val="left"/>
        <w:rPr>
          <w:rFonts w:hint="eastAsia" w:ascii="仿宋" w:hAnsi="仿宋" w:eastAsia="仿宋" w:cs="仿宋"/>
          <w:color w:val="auto"/>
          <w:sz w:val="24"/>
          <w:highlight w:val="none"/>
        </w:rPr>
      </w:pPr>
    </w:p>
    <w:p w14:paraId="466EB13E">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甲方：西安市中心医院 </w:t>
      </w:r>
    </w:p>
    <w:p w14:paraId="64D61F2D">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乙方：</w:t>
      </w:r>
    </w:p>
    <w:p w14:paraId="5AE9188B">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就甲方所需货物，按照政府采购程序组织招标，确定乙方为成交供应商。依据《中华人民共和国政府采购法》、《中华人民共和国招标投标法》、《中华人民共和国民法典》，经甲、乙双方协商、确认，达成如下条款。</w:t>
      </w:r>
    </w:p>
    <w:p w14:paraId="6D9CC351">
      <w:pPr>
        <w:shd w:val="clear"/>
        <w:tabs>
          <w:tab w:val="left" w:pos="480"/>
        </w:tabs>
        <w:spacing w:line="360" w:lineRule="auto"/>
        <w:rPr>
          <w:rFonts w:hint="eastAsia" w:ascii="仿宋" w:hAnsi="仿宋" w:eastAsia="仿宋" w:cs="仿宋"/>
          <w:b/>
          <w:bCs/>
          <w:color w:val="auto"/>
          <w:sz w:val="24"/>
          <w:highlight w:val="none"/>
          <w:lang w:val="zh-CN"/>
        </w:rPr>
      </w:pPr>
      <w:r>
        <w:rPr>
          <w:rFonts w:hint="eastAsia" w:ascii="仿宋" w:hAnsi="仿宋" w:eastAsia="仿宋" w:cs="仿宋"/>
          <w:b/>
          <w:bCs/>
          <w:color w:val="auto"/>
          <w:sz w:val="24"/>
          <w:highlight w:val="none"/>
          <w:lang w:val="zh-CN"/>
        </w:rPr>
        <w:t>一、合同标的货物内容及数量</w:t>
      </w:r>
    </w:p>
    <w:tbl>
      <w:tblPr>
        <w:tblStyle w:val="8"/>
        <w:tblW w:w="96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268"/>
        <w:gridCol w:w="1182"/>
        <w:gridCol w:w="1226"/>
        <w:gridCol w:w="1073"/>
        <w:gridCol w:w="920"/>
        <w:gridCol w:w="1154"/>
        <w:gridCol w:w="1096"/>
        <w:gridCol w:w="960"/>
      </w:tblGrid>
      <w:tr w14:paraId="1986B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788" w:type="dxa"/>
            <w:noWrap w:val="0"/>
            <w:vAlign w:val="center"/>
          </w:tcPr>
          <w:p w14:paraId="042321BD">
            <w:pPr>
              <w:shd w:val="clea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1268" w:type="dxa"/>
            <w:noWrap w:val="0"/>
            <w:vAlign w:val="center"/>
          </w:tcPr>
          <w:p w14:paraId="56044A42">
            <w:pPr>
              <w:shd w:val="clea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设备名称</w:t>
            </w:r>
          </w:p>
        </w:tc>
        <w:tc>
          <w:tcPr>
            <w:tcW w:w="1182" w:type="dxa"/>
            <w:noWrap w:val="0"/>
            <w:vAlign w:val="center"/>
          </w:tcPr>
          <w:p w14:paraId="4200FB60">
            <w:pPr>
              <w:shd w:val="clea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规格参数</w:t>
            </w:r>
          </w:p>
        </w:tc>
        <w:tc>
          <w:tcPr>
            <w:tcW w:w="1226" w:type="dxa"/>
            <w:noWrap w:val="0"/>
            <w:vAlign w:val="center"/>
          </w:tcPr>
          <w:p w14:paraId="7DD0BB6C">
            <w:pPr>
              <w:shd w:val="clea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生产</w:t>
            </w:r>
          </w:p>
          <w:p w14:paraId="5B9AD87D">
            <w:pPr>
              <w:shd w:val="clea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厂家</w:t>
            </w:r>
          </w:p>
        </w:tc>
        <w:tc>
          <w:tcPr>
            <w:tcW w:w="1073" w:type="dxa"/>
            <w:noWrap w:val="0"/>
            <w:vAlign w:val="center"/>
          </w:tcPr>
          <w:p w14:paraId="68D7D86D">
            <w:pPr>
              <w:shd w:val="clea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计量</w:t>
            </w:r>
          </w:p>
          <w:p w14:paraId="66CEF186">
            <w:pPr>
              <w:shd w:val="clea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单位</w:t>
            </w:r>
          </w:p>
        </w:tc>
        <w:tc>
          <w:tcPr>
            <w:tcW w:w="920" w:type="dxa"/>
            <w:noWrap w:val="0"/>
            <w:vAlign w:val="center"/>
          </w:tcPr>
          <w:p w14:paraId="016E08DC">
            <w:pPr>
              <w:shd w:val="clea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数量</w:t>
            </w:r>
          </w:p>
        </w:tc>
        <w:tc>
          <w:tcPr>
            <w:tcW w:w="1154" w:type="dxa"/>
            <w:noWrap w:val="0"/>
            <w:vAlign w:val="center"/>
          </w:tcPr>
          <w:p w14:paraId="1773CC51">
            <w:pPr>
              <w:shd w:val="clea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单价</w:t>
            </w:r>
          </w:p>
          <w:p w14:paraId="0716CC3E">
            <w:pPr>
              <w:shd w:val="clea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（万元）</w:t>
            </w:r>
          </w:p>
        </w:tc>
        <w:tc>
          <w:tcPr>
            <w:tcW w:w="1096" w:type="dxa"/>
            <w:noWrap w:val="0"/>
            <w:vAlign w:val="center"/>
          </w:tcPr>
          <w:p w14:paraId="48A57F39">
            <w:pPr>
              <w:shd w:val="clea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金额</w:t>
            </w:r>
          </w:p>
          <w:p w14:paraId="52E8A859">
            <w:pPr>
              <w:shd w:val="clea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（万元）</w:t>
            </w:r>
          </w:p>
        </w:tc>
        <w:tc>
          <w:tcPr>
            <w:tcW w:w="960" w:type="dxa"/>
            <w:noWrap w:val="0"/>
            <w:vAlign w:val="center"/>
          </w:tcPr>
          <w:p w14:paraId="48FF5651">
            <w:pPr>
              <w:shd w:val="clea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备注</w:t>
            </w:r>
          </w:p>
        </w:tc>
      </w:tr>
      <w:tr w14:paraId="70CD1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788" w:type="dxa"/>
            <w:noWrap w:val="0"/>
            <w:vAlign w:val="center"/>
          </w:tcPr>
          <w:p w14:paraId="58DCBE22">
            <w:pPr>
              <w:shd w:val="clea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p>
        </w:tc>
        <w:tc>
          <w:tcPr>
            <w:tcW w:w="1268" w:type="dxa"/>
            <w:noWrap w:val="0"/>
            <w:vAlign w:val="center"/>
          </w:tcPr>
          <w:p w14:paraId="4FF3420B">
            <w:pPr>
              <w:shd w:val="clear"/>
              <w:tabs>
                <w:tab w:val="left" w:pos="480"/>
              </w:tabs>
              <w:spacing w:line="360" w:lineRule="auto"/>
              <w:jc w:val="center"/>
              <w:rPr>
                <w:rFonts w:hint="eastAsia" w:ascii="仿宋" w:hAnsi="仿宋" w:eastAsia="仿宋" w:cs="仿宋"/>
                <w:color w:val="auto"/>
                <w:sz w:val="24"/>
                <w:highlight w:val="none"/>
              </w:rPr>
            </w:pPr>
          </w:p>
        </w:tc>
        <w:tc>
          <w:tcPr>
            <w:tcW w:w="1182" w:type="dxa"/>
            <w:noWrap w:val="0"/>
            <w:vAlign w:val="center"/>
          </w:tcPr>
          <w:p w14:paraId="118E023A">
            <w:pPr>
              <w:shd w:val="clear"/>
              <w:tabs>
                <w:tab w:val="left" w:pos="480"/>
              </w:tabs>
              <w:spacing w:line="360" w:lineRule="auto"/>
              <w:jc w:val="center"/>
              <w:rPr>
                <w:rFonts w:hint="eastAsia" w:ascii="仿宋" w:hAnsi="仿宋" w:eastAsia="仿宋" w:cs="仿宋"/>
                <w:color w:val="auto"/>
                <w:sz w:val="24"/>
                <w:highlight w:val="none"/>
              </w:rPr>
            </w:pPr>
          </w:p>
        </w:tc>
        <w:tc>
          <w:tcPr>
            <w:tcW w:w="1226" w:type="dxa"/>
            <w:noWrap w:val="0"/>
            <w:vAlign w:val="center"/>
          </w:tcPr>
          <w:p w14:paraId="09D25000">
            <w:pPr>
              <w:shd w:val="clear"/>
              <w:tabs>
                <w:tab w:val="left" w:pos="480"/>
              </w:tabs>
              <w:spacing w:line="360" w:lineRule="auto"/>
              <w:jc w:val="center"/>
              <w:rPr>
                <w:rFonts w:hint="eastAsia" w:ascii="仿宋" w:hAnsi="仿宋" w:eastAsia="仿宋" w:cs="仿宋"/>
                <w:color w:val="auto"/>
                <w:sz w:val="24"/>
                <w:highlight w:val="none"/>
              </w:rPr>
            </w:pPr>
          </w:p>
        </w:tc>
        <w:tc>
          <w:tcPr>
            <w:tcW w:w="1073" w:type="dxa"/>
            <w:noWrap w:val="0"/>
            <w:vAlign w:val="center"/>
          </w:tcPr>
          <w:p w14:paraId="5D33584B">
            <w:pPr>
              <w:shd w:val="clear"/>
              <w:tabs>
                <w:tab w:val="left" w:pos="480"/>
              </w:tabs>
              <w:spacing w:line="360" w:lineRule="auto"/>
              <w:jc w:val="center"/>
              <w:rPr>
                <w:rFonts w:hint="eastAsia" w:ascii="仿宋" w:hAnsi="仿宋" w:eastAsia="仿宋" w:cs="仿宋"/>
                <w:color w:val="auto"/>
                <w:sz w:val="24"/>
                <w:highlight w:val="none"/>
              </w:rPr>
            </w:pPr>
          </w:p>
        </w:tc>
        <w:tc>
          <w:tcPr>
            <w:tcW w:w="920" w:type="dxa"/>
            <w:noWrap w:val="0"/>
            <w:vAlign w:val="center"/>
          </w:tcPr>
          <w:p w14:paraId="3DEC9C5A">
            <w:pPr>
              <w:shd w:val="clear"/>
              <w:tabs>
                <w:tab w:val="left" w:pos="480"/>
              </w:tabs>
              <w:spacing w:line="360" w:lineRule="auto"/>
              <w:jc w:val="center"/>
              <w:rPr>
                <w:rFonts w:hint="eastAsia" w:ascii="仿宋" w:hAnsi="仿宋" w:eastAsia="仿宋" w:cs="仿宋"/>
                <w:color w:val="auto"/>
                <w:sz w:val="24"/>
                <w:highlight w:val="none"/>
              </w:rPr>
            </w:pPr>
          </w:p>
        </w:tc>
        <w:tc>
          <w:tcPr>
            <w:tcW w:w="1154" w:type="dxa"/>
            <w:noWrap w:val="0"/>
            <w:vAlign w:val="center"/>
          </w:tcPr>
          <w:p w14:paraId="63B3D83F">
            <w:pPr>
              <w:shd w:val="clear"/>
              <w:tabs>
                <w:tab w:val="left" w:pos="480"/>
              </w:tabs>
              <w:spacing w:line="360" w:lineRule="auto"/>
              <w:jc w:val="center"/>
              <w:rPr>
                <w:rFonts w:hint="eastAsia" w:ascii="仿宋" w:hAnsi="仿宋" w:eastAsia="仿宋" w:cs="仿宋"/>
                <w:color w:val="auto"/>
                <w:sz w:val="24"/>
                <w:highlight w:val="none"/>
              </w:rPr>
            </w:pPr>
          </w:p>
        </w:tc>
        <w:tc>
          <w:tcPr>
            <w:tcW w:w="1096" w:type="dxa"/>
            <w:noWrap w:val="0"/>
            <w:vAlign w:val="center"/>
          </w:tcPr>
          <w:p w14:paraId="0BF1B60D">
            <w:pPr>
              <w:shd w:val="clear"/>
              <w:tabs>
                <w:tab w:val="left" w:pos="480"/>
              </w:tabs>
              <w:spacing w:line="360" w:lineRule="auto"/>
              <w:jc w:val="center"/>
              <w:rPr>
                <w:rFonts w:hint="eastAsia" w:ascii="仿宋" w:hAnsi="仿宋" w:eastAsia="仿宋" w:cs="仿宋"/>
                <w:color w:val="auto"/>
                <w:sz w:val="24"/>
                <w:highlight w:val="none"/>
              </w:rPr>
            </w:pPr>
          </w:p>
        </w:tc>
        <w:tc>
          <w:tcPr>
            <w:tcW w:w="960" w:type="dxa"/>
            <w:noWrap w:val="0"/>
            <w:vAlign w:val="top"/>
          </w:tcPr>
          <w:p w14:paraId="532FBA34">
            <w:pPr>
              <w:shd w:val="clear"/>
              <w:tabs>
                <w:tab w:val="left" w:pos="480"/>
              </w:tabs>
              <w:spacing w:line="360" w:lineRule="auto"/>
              <w:jc w:val="center"/>
              <w:rPr>
                <w:rFonts w:hint="eastAsia" w:ascii="仿宋" w:hAnsi="仿宋" w:eastAsia="仿宋" w:cs="仿宋"/>
                <w:color w:val="auto"/>
                <w:sz w:val="24"/>
                <w:highlight w:val="none"/>
              </w:rPr>
            </w:pPr>
          </w:p>
        </w:tc>
      </w:tr>
      <w:tr w14:paraId="345B8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8" w:type="dxa"/>
            <w:noWrap w:val="0"/>
            <w:vAlign w:val="center"/>
          </w:tcPr>
          <w:p w14:paraId="6A9AA3BB">
            <w:pPr>
              <w:shd w:val="clea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1268" w:type="dxa"/>
            <w:noWrap w:val="0"/>
            <w:vAlign w:val="center"/>
          </w:tcPr>
          <w:p w14:paraId="3D1AB67C">
            <w:pPr>
              <w:shd w:val="clear"/>
              <w:tabs>
                <w:tab w:val="left" w:pos="480"/>
              </w:tabs>
              <w:spacing w:line="360" w:lineRule="auto"/>
              <w:jc w:val="center"/>
              <w:rPr>
                <w:rFonts w:hint="eastAsia" w:ascii="仿宋" w:hAnsi="仿宋" w:eastAsia="仿宋" w:cs="仿宋"/>
                <w:color w:val="auto"/>
                <w:sz w:val="24"/>
                <w:highlight w:val="none"/>
              </w:rPr>
            </w:pPr>
          </w:p>
        </w:tc>
        <w:tc>
          <w:tcPr>
            <w:tcW w:w="1182" w:type="dxa"/>
            <w:noWrap w:val="0"/>
            <w:vAlign w:val="top"/>
          </w:tcPr>
          <w:p w14:paraId="2DEDF10C">
            <w:pPr>
              <w:shd w:val="clear"/>
              <w:tabs>
                <w:tab w:val="left" w:pos="480"/>
              </w:tabs>
              <w:spacing w:line="360" w:lineRule="auto"/>
              <w:jc w:val="center"/>
              <w:rPr>
                <w:rFonts w:hint="eastAsia" w:ascii="仿宋" w:hAnsi="仿宋" w:eastAsia="仿宋" w:cs="仿宋"/>
                <w:color w:val="auto"/>
                <w:sz w:val="24"/>
                <w:highlight w:val="none"/>
              </w:rPr>
            </w:pPr>
          </w:p>
        </w:tc>
        <w:tc>
          <w:tcPr>
            <w:tcW w:w="1226" w:type="dxa"/>
            <w:noWrap w:val="0"/>
            <w:vAlign w:val="top"/>
          </w:tcPr>
          <w:p w14:paraId="07D5D069">
            <w:pPr>
              <w:shd w:val="clear"/>
              <w:tabs>
                <w:tab w:val="left" w:pos="480"/>
              </w:tabs>
              <w:spacing w:line="360" w:lineRule="auto"/>
              <w:jc w:val="center"/>
              <w:rPr>
                <w:rFonts w:hint="eastAsia" w:ascii="仿宋" w:hAnsi="仿宋" w:eastAsia="仿宋" w:cs="仿宋"/>
                <w:color w:val="auto"/>
                <w:sz w:val="24"/>
                <w:highlight w:val="none"/>
              </w:rPr>
            </w:pPr>
          </w:p>
        </w:tc>
        <w:tc>
          <w:tcPr>
            <w:tcW w:w="1073" w:type="dxa"/>
            <w:noWrap w:val="0"/>
            <w:vAlign w:val="center"/>
          </w:tcPr>
          <w:p w14:paraId="31BD48D9">
            <w:pPr>
              <w:shd w:val="clear"/>
              <w:tabs>
                <w:tab w:val="left" w:pos="480"/>
              </w:tabs>
              <w:spacing w:line="360" w:lineRule="auto"/>
              <w:jc w:val="center"/>
              <w:rPr>
                <w:rFonts w:hint="eastAsia" w:ascii="仿宋" w:hAnsi="仿宋" w:eastAsia="仿宋" w:cs="仿宋"/>
                <w:color w:val="auto"/>
                <w:sz w:val="24"/>
                <w:highlight w:val="none"/>
              </w:rPr>
            </w:pPr>
          </w:p>
        </w:tc>
        <w:tc>
          <w:tcPr>
            <w:tcW w:w="920" w:type="dxa"/>
            <w:noWrap w:val="0"/>
            <w:vAlign w:val="top"/>
          </w:tcPr>
          <w:p w14:paraId="0CC90C18">
            <w:pPr>
              <w:shd w:val="clear"/>
              <w:tabs>
                <w:tab w:val="left" w:pos="480"/>
              </w:tabs>
              <w:spacing w:line="360" w:lineRule="auto"/>
              <w:jc w:val="center"/>
              <w:rPr>
                <w:rFonts w:hint="eastAsia" w:ascii="仿宋" w:hAnsi="仿宋" w:eastAsia="仿宋" w:cs="仿宋"/>
                <w:color w:val="auto"/>
                <w:sz w:val="24"/>
                <w:highlight w:val="none"/>
              </w:rPr>
            </w:pPr>
          </w:p>
        </w:tc>
        <w:tc>
          <w:tcPr>
            <w:tcW w:w="1154" w:type="dxa"/>
            <w:noWrap w:val="0"/>
            <w:vAlign w:val="center"/>
          </w:tcPr>
          <w:p w14:paraId="49011391">
            <w:pPr>
              <w:shd w:val="clear"/>
              <w:tabs>
                <w:tab w:val="left" w:pos="480"/>
              </w:tabs>
              <w:spacing w:line="360" w:lineRule="auto"/>
              <w:jc w:val="center"/>
              <w:rPr>
                <w:rFonts w:hint="eastAsia" w:ascii="仿宋" w:hAnsi="仿宋" w:eastAsia="仿宋" w:cs="仿宋"/>
                <w:color w:val="auto"/>
                <w:sz w:val="24"/>
                <w:highlight w:val="none"/>
              </w:rPr>
            </w:pPr>
          </w:p>
        </w:tc>
        <w:tc>
          <w:tcPr>
            <w:tcW w:w="1096" w:type="dxa"/>
            <w:noWrap w:val="0"/>
            <w:vAlign w:val="top"/>
          </w:tcPr>
          <w:p w14:paraId="38F15443">
            <w:pPr>
              <w:shd w:val="clear"/>
              <w:tabs>
                <w:tab w:val="left" w:pos="480"/>
              </w:tabs>
              <w:spacing w:line="360" w:lineRule="auto"/>
              <w:jc w:val="center"/>
              <w:rPr>
                <w:rFonts w:hint="eastAsia" w:ascii="仿宋" w:hAnsi="仿宋" w:eastAsia="仿宋" w:cs="仿宋"/>
                <w:color w:val="auto"/>
                <w:sz w:val="24"/>
                <w:highlight w:val="none"/>
              </w:rPr>
            </w:pPr>
          </w:p>
        </w:tc>
        <w:tc>
          <w:tcPr>
            <w:tcW w:w="960" w:type="dxa"/>
            <w:noWrap w:val="0"/>
            <w:vAlign w:val="top"/>
          </w:tcPr>
          <w:p w14:paraId="0125500F">
            <w:pPr>
              <w:shd w:val="clear"/>
              <w:tabs>
                <w:tab w:val="left" w:pos="480"/>
              </w:tabs>
              <w:spacing w:line="360" w:lineRule="auto"/>
              <w:jc w:val="center"/>
              <w:rPr>
                <w:rFonts w:hint="eastAsia" w:ascii="仿宋" w:hAnsi="仿宋" w:eastAsia="仿宋" w:cs="仿宋"/>
                <w:color w:val="auto"/>
                <w:sz w:val="24"/>
                <w:highlight w:val="none"/>
              </w:rPr>
            </w:pPr>
          </w:p>
        </w:tc>
      </w:tr>
      <w:tr w14:paraId="74206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9667" w:type="dxa"/>
            <w:gridSpan w:val="9"/>
            <w:noWrap w:val="0"/>
            <w:vAlign w:val="center"/>
          </w:tcPr>
          <w:p w14:paraId="503B72C0">
            <w:pPr>
              <w:shd w:val="clear"/>
              <w:tabs>
                <w:tab w:val="left" w:pos="480"/>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合计人民币（大写）：</w:t>
            </w:r>
          </w:p>
          <w:p w14:paraId="7D530DE5">
            <w:pPr>
              <w:shd w:val="clear"/>
              <w:tabs>
                <w:tab w:val="left" w:pos="480"/>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合计：¥</w:t>
            </w:r>
          </w:p>
        </w:tc>
      </w:tr>
      <w:tr w14:paraId="72E7F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788" w:type="dxa"/>
            <w:noWrap w:val="0"/>
            <w:vAlign w:val="center"/>
          </w:tcPr>
          <w:p w14:paraId="24F369B9">
            <w:pPr>
              <w:shd w:val="clea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说明</w:t>
            </w:r>
          </w:p>
        </w:tc>
        <w:tc>
          <w:tcPr>
            <w:tcW w:w="8879" w:type="dxa"/>
            <w:gridSpan w:val="8"/>
            <w:noWrap w:val="0"/>
            <w:vAlign w:val="center"/>
          </w:tcPr>
          <w:p w14:paraId="23143DC3">
            <w:pPr>
              <w:shd w:val="clea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含安装、调试、检验、培训及技术服务等</w:t>
            </w:r>
          </w:p>
        </w:tc>
      </w:tr>
    </w:tbl>
    <w:p w14:paraId="3982854F">
      <w:pPr>
        <w:shd w:val="clear"/>
        <w:tabs>
          <w:tab w:val="left" w:pos="480"/>
        </w:tabs>
        <w:spacing w:line="360" w:lineRule="auto"/>
        <w:rPr>
          <w:rFonts w:hint="eastAsia" w:ascii="仿宋" w:hAnsi="仿宋" w:eastAsia="仿宋" w:cs="仿宋"/>
          <w:b/>
          <w:bCs/>
          <w:color w:val="auto"/>
          <w:sz w:val="24"/>
          <w:highlight w:val="none"/>
          <w:lang w:val="zh-CN"/>
        </w:rPr>
      </w:pPr>
      <w:r>
        <w:rPr>
          <w:rFonts w:hint="eastAsia" w:ascii="仿宋" w:hAnsi="仿宋" w:eastAsia="仿宋" w:cs="仿宋"/>
          <w:b/>
          <w:bCs/>
          <w:color w:val="auto"/>
          <w:sz w:val="24"/>
          <w:highlight w:val="none"/>
          <w:lang w:val="zh-CN"/>
        </w:rPr>
        <w:t>二、合同价款</w:t>
      </w:r>
    </w:p>
    <w:p w14:paraId="0224F0F7">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（一）合同总价款为人民币（大写）                  （¥            元）。</w:t>
      </w:r>
    </w:p>
    <w:p w14:paraId="5296CD50">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二）合同总价包括：税费、货物费、运输费（含保险费）、装卸、安装调试费、检测验收、培训、技术服务及其它乙方履行合同义务所需的全部费用。本合同执行期间合同总价不变，甲方无需向乙方另行支付费用。</w:t>
      </w:r>
    </w:p>
    <w:p w14:paraId="701E1422">
      <w:pPr>
        <w:shd w:val="clear"/>
        <w:tabs>
          <w:tab w:val="left" w:pos="480"/>
        </w:tabs>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三、款项结算</w:t>
      </w:r>
    </w:p>
    <w:p w14:paraId="775767F1">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（一）所有货物到达甲方指定地点安装、调试、第一次验收合格后，乙方须按其投标文件中响应的投标价格提供全额发票，甲方于收到发票后的一个月内支付合同总价款95%，即人民币（大写）                    （¥           ）。</w:t>
      </w:r>
    </w:p>
    <w:p w14:paraId="3306FF1D">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乙方延期提供发票或提供的发票不符合甲方要求的，甲方有权拒付合同款项且不承担任何法律责任。因乙方原因导致甲方不能及时付款的，甲方无需承担任何责任。</w:t>
      </w:r>
    </w:p>
    <w:p w14:paraId="2A29B043">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（二）货物第一次验收合格满12个 月后，进行第二次验收，验收合格后，无息支付合同总价款的 3 %。</w:t>
      </w:r>
    </w:p>
    <w:p w14:paraId="59BEA70A">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即人民币（大写）                    （¥           ）。</w:t>
      </w:r>
    </w:p>
    <w:p w14:paraId="2C8675BC">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（三）货物第一次验收合格满48个 月后，进行第三次验收，验收合格后，一次性无息付清尾款，即人民币（大写）                                （¥           ）。</w:t>
      </w:r>
    </w:p>
    <w:p w14:paraId="6C733F69">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（四）支付方式：银行转帐。乙方保证其提供的账号准确无误，若在合同履行期间发生变更，乙方需及时书面通知甲方，否则由此产生的后果由乙方承担。</w:t>
      </w:r>
    </w:p>
    <w:p w14:paraId="6B00B075">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（五）结算方式：乙方持验收合格单，全额合规发票（按合同总价值开甲方），中标通知书、供货合同，与甲方结算。</w:t>
      </w:r>
    </w:p>
    <w:p w14:paraId="71840C7B">
      <w:pPr>
        <w:shd w:val="clea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四、交货条件</w:t>
      </w:r>
    </w:p>
    <w:p w14:paraId="790C2A06">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（一）交货地点：西安市中心医院指定地点。</w:t>
      </w:r>
    </w:p>
    <w:p w14:paraId="4F3CF8EB">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（二）交货期：</w:t>
      </w:r>
    </w:p>
    <w:p w14:paraId="21102C9D">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1、交货期：合同签订后30个日历日交货。</w:t>
      </w:r>
    </w:p>
    <w:p w14:paraId="34F54522">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合同签订后【3】日内，乙方必须派遣场地工程师到达安装现场勘察，协助甲方基建规划完成场地建设，按照供货期要求组织货物到达、安装事宜，乙方未派遣场地工程师完成前述事宜影响设备正常安装的，应按第十条第（三）款之约定承担违约责任。安装调试过程中出现的安全责任问题由乙方承担全部责任。</w:t>
      </w:r>
    </w:p>
    <w:p w14:paraId="282AD110">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三）交付条件：货物产地、规格、型号和数量必须完全与合同、招标文件、投标文件要求一致，任意一项不符的，甲方均有权拒收货物，由此导致供货逾期的，乙方自行承担相应的违约责任。货物安装、调试并正常运行后，由乙方进行自检，合格后提供附带市级法定机构出具的计量检定/校准证书方可达到交付条件。</w:t>
      </w:r>
    </w:p>
    <w:p w14:paraId="4EC12CF8">
      <w:pPr>
        <w:shd w:val="clear"/>
        <w:tabs>
          <w:tab w:val="left" w:pos="480"/>
        </w:tabs>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五、运输</w:t>
      </w:r>
    </w:p>
    <w:p w14:paraId="46A87B34">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（一）运输由乙方负责，运杂费已包含在合同总价内，包括从货物供应地点至交货地点所含的运输费、装卸费、仓储费、保险费等。</w:t>
      </w:r>
    </w:p>
    <w:p w14:paraId="1347F461">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（二）运输方式由乙方自行选择，但必须保证按期交货。</w:t>
      </w:r>
    </w:p>
    <w:p w14:paraId="2803D76F">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（三）货物验收合格前产生的一切毁损、灭失的风险及质量问题均由乙方承担。</w:t>
      </w:r>
    </w:p>
    <w:p w14:paraId="4D514A14">
      <w:pPr>
        <w:shd w:val="clear"/>
        <w:tabs>
          <w:tab w:val="left" w:pos="480"/>
        </w:tabs>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六、质量保证</w:t>
      </w:r>
    </w:p>
    <w:p w14:paraId="36122759">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乙方所供货物必须执行下列条款：</w:t>
      </w:r>
    </w:p>
    <w:p w14:paraId="2B42E14B">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（一）保证技术指标先进、质量性能可靠、进货渠道正常，配置合理，全面满足招标文件要求。</w:t>
      </w:r>
    </w:p>
    <w:p w14:paraId="15C4580F">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（二）符合国家有关规范要求，确保达到最佳运行状态，对于由于产品设计、工艺或材料的缺陷而产生的质量问题负责。</w:t>
      </w:r>
    </w:p>
    <w:p w14:paraId="611BA7C6">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（三）具有良好的外观，适合安装场所的使用。</w:t>
      </w:r>
    </w:p>
    <w:p w14:paraId="27032ACD">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（四）自安装、调试正常运行并验收合格之日起：</w:t>
      </w:r>
    </w:p>
    <w:p w14:paraId="23A7E8DB">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1、质保期：提供原厂整机免费质保</w:t>
      </w:r>
      <w:r>
        <w:rPr>
          <w:rFonts w:hint="eastAsia" w:ascii="仿宋" w:hAnsi="仿宋" w:eastAsia="仿宋" w:cs="仿宋"/>
          <w:color w:val="auto"/>
          <w:sz w:val="24"/>
          <w:highlight w:val="none"/>
          <w:u w:val="single"/>
        </w:rPr>
        <w:t>4</w:t>
      </w:r>
      <w:r>
        <w:rPr>
          <w:rFonts w:hint="eastAsia" w:ascii="仿宋" w:hAnsi="仿宋" w:eastAsia="仿宋" w:cs="仿宋"/>
          <w:color w:val="auto"/>
          <w:sz w:val="24"/>
          <w:highlight w:val="none"/>
        </w:rPr>
        <w:t>年，终身维护。质保期内，同一主要部件出现质量问题经过两次维修后仍无法正常使用的，可以更换同型号、同规格的全新产品，乙方在2小时内提出解决问题的办法，如需到现场进行维修，乙方在8小时内安排生产厂家技术人员到设备现场进行维修；乙方提供保修期内每年不少于四次维护保养；乙方保证年开机率≥95％（一年按365天计算）；如有问题在48小时内修复（每超一天保修延长5天），对问题较大72小时内暂不能解决的，为不影响甲方正常工作，乙方在5日内免费提供替代产品，并确保正常运行；若乙方未按照上述约定期限内及时解决问题,造成甲方损失扩大的,乙方应就损失扩大部分承担赔偿责任。</w:t>
      </w:r>
    </w:p>
    <w:p w14:paraId="1A02698A">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2、30天内，如出现质量问题，甲方可以选择换货或退货 </w:t>
      </w:r>
    </w:p>
    <w:p w14:paraId="1A1A803E">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3、7天内，如出现质量问题，甲方可选择换货。</w:t>
      </w:r>
    </w:p>
    <w:p w14:paraId="59407637">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（五）、保证设备后期可与甲方各类信息化网络系统免费无缝链接。乙方在设备安装调试完成后协助甲方完成设备之间信息化系统的连接和建立，承诺在甲方使用产品期间免费对该产品进行系统升级和维护。</w:t>
      </w:r>
    </w:p>
    <w:p w14:paraId="63A5ADB7">
      <w:pPr>
        <w:shd w:val="clea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七、售后服务</w:t>
      </w:r>
    </w:p>
    <w:p w14:paraId="037611F3">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乙方为所供货物提供以下售后服务：</w:t>
      </w:r>
    </w:p>
    <w:p w14:paraId="6771FA2A">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（一）质保期内：</w:t>
      </w:r>
    </w:p>
    <w:p w14:paraId="2B505964">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1、发生质量问题，接到甲方通知后，应于当日派出专业的维修人员到现场进行检测维修，发生的全部费用由乙方承担，若需送回生产厂，乙方承担往返费用；</w:t>
      </w:r>
    </w:p>
    <w:p w14:paraId="432A71A8">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2、每年四次派技术人员到现场走访，给予检查维护；</w:t>
      </w:r>
    </w:p>
    <w:p w14:paraId="43823F86">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3、排除故障的期限不超过48小时。否则甲方有权指定第三方维修，维修费用由乙方承担，甲方有权直接从未付合同款中扣除，未付合同款无法支付全部维修费用的，超出部分由乙方另行承担。</w:t>
      </w:r>
    </w:p>
    <w:p w14:paraId="5A72FC50">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（二）质保期结束前，进行系统测试，全面保养维护，确保正常运行。</w:t>
      </w:r>
    </w:p>
    <w:p w14:paraId="0BF111FC">
      <w:pPr>
        <w:shd w:val="clear"/>
        <w:tabs>
          <w:tab w:val="left" w:pos="480"/>
        </w:tabs>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八、技术与服务</w:t>
      </w:r>
    </w:p>
    <w:p w14:paraId="01733116">
      <w:pPr>
        <w:shd w:val="clear"/>
        <w:tabs>
          <w:tab w:val="left" w:pos="480"/>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（一）技术资料：</w:t>
      </w:r>
    </w:p>
    <w:p w14:paraId="7821B54B">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1、货物合格证；</w:t>
      </w:r>
    </w:p>
    <w:p w14:paraId="5ED8E820">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2、货物使用说明书（中文）；</w:t>
      </w:r>
    </w:p>
    <w:p w14:paraId="4D1A11A0">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3、进口货物商检证明和报关单；</w:t>
      </w:r>
    </w:p>
    <w:p w14:paraId="7F6E8346">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4、乙方提供相关部门出具的检验测试报告；</w:t>
      </w:r>
    </w:p>
    <w:p w14:paraId="5753952E">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5、其它资料。</w:t>
      </w:r>
    </w:p>
    <w:p w14:paraId="31E4D811">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乙方应在供货时一并提供前述技术资料，否则均视为交付不合格，甲方有权拒绝验收，由此造成的一切后果由乙方承担。</w:t>
      </w:r>
    </w:p>
    <w:p w14:paraId="1C9D2368">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（二）培训：乙方须在设备安装调试完成后对甲方操作人员进行完整使用、保养等培训，确保受训人员可熟练、独立使用设备，是否完成培训视为货物验收必备条件之一；</w:t>
      </w:r>
    </w:p>
    <w:p w14:paraId="0D3D0F89">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（三）服务承诺：以投标文件、澄清表（函）、合同和随货物的相关文件为准。</w:t>
      </w:r>
    </w:p>
    <w:p w14:paraId="10A6BD22">
      <w:pPr>
        <w:shd w:val="clear"/>
        <w:tabs>
          <w:tab w:val="left" w:pos="480"/>
        </w:tabs>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九、验收</w:t>
      </w:r>
    </w:p>
    <w:p w14:paraId="3C1F4E1B">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（一）货物到达甲方指定地点后，甲方根据合同要求，进行外观验收，确认产地、规格、型号和数量。甲乙双方需在约定的时间和地点共同开箱检验。</w:t>
      </w:r>
    </w:p>
    <w:p w14:paraId="234B7AF4">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（二）货物安装、调试并正常运行后，由乙方进行自检，合格后能够正常使用时书面通知甲方。</w:t>
      </w:r>
    </w:p>
    <w:p w14:paraId="2319F267">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（三）甲方确认接收乙方的自检内容后，进行验收（必要时请有关专家，由乙方承担聘请专家的费用），验收合格后，由乙方对甲方操作人员进行培训，完成培训后，甲方填写验收单作为对货物的最终认可。</w:t>
      </w:r>
    </w:p>
    <w:p w14:paraId="6D3D94C1">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（四）乙方向甲方提交货物实施过程中的所有资料。以便甲方日后管理和维护。</w:t>
      </w:r>
    </w:p>
    <w:p w14:paraId="109E47C0">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（五）货物验收时必须提供海关证明，验收15日内完成商检手续办理。</w:t>
      </w:r>
    </w:p>
    <w:p w14:paraId="03228D93">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（六）设备验收时需提供附带市级法定机构出具的计量检定/校准证书。</w:t>
      </w:r>
    </w:p>
    <w:p w14:paraId="75358559">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（七）验收依据：</w:t>
      </w:r>
    </w:p>
    <w:p w14:paraId="62C079E5">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1、本合同及合同附件。</w:t>
      </w:r>
    </w:p>
    <w:p w14:paraId="0F9AEFE1">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2、国家相应的标准、规范。</w:t>
      </w:r>
    </w:p>
    <w:p w14:paraId="7A9573B0">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3、招标文件、投标文件、中标通知书、澄清表（函）。</w:t>
      </w:r>
    </w:p>
    <w:p w14:paraId="6C62CDEE">
      <w:pPr>
        <w:shd w:val="clear"/>
        <w:tabs>
          <w:tab w:val="left" w:pos="480"/>
        </w:tabs>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十、违约责任</w:t>
      </w:r>
    </w:p>
    <w:p w14:paraId="15D72FDB">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（一）按《政府采购法》、《民法典》中的相关条款执行。</w:t>
      </w:r>
    </w:p>
    <w:p w14:paraId="2440CA75">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二）乙方未按合同要求提供货物或质量不能满足本合同、招标文件、投标文件等相关文件要求时，甲方验收不合格的或出现质量问题，在约定的条件下，乙方必须无条件按照甲方要求的时限进行更换，提高技术，完善质量，否则，甲方有权解除合同，解除合同书面通知书到达乙方之日视为合同已解除，并按以下两种方式追究乙方的违约责任：</w:t>
      </w:r>
    </w:p>
    <w:p w14:paraId="19935081">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1、乙方赔偿甲方解除合同的全部损失（包括但不限于重新采购产生的费用、合同未履行导致设备不能按规划交付使用可能产生的租赁费用及其它由此造成的甲方对第三方的违约损失）；</w:t>
      </w:r>
    </w:p>
    <w:p w14:paraId="27195C84">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2、乙方支付甲方违约金，违约金计算方法：以合同总价为基数，支付甲方合同总价的30%为违约金，违约金不足以赔偿甲方损失的，由乙方另行承担。</w:t>
      </w:r>
    </w:p>
    <w:p w14:paraId="331E07B5">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同时，甲方有权对乙方的违约行为报监管机构进行相应的处罚。</w:t>
      </w:r>
    </w:p>
    <w:p w14:paraId="2D880AD8">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（三）乙方逾期交货的，交货期每超过一天，乙方应按照合同总价款的【1】%向甲方支付违约金；迟延交货超过【7】天的，视为乙方根本违约，甲方有权依据本条第（二）款之约定单方解除本合同。</w:t>
      </w:r>
    </w:p>
    <w:p w14:paraId="79FC8DFA">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（四）乙方违约时，甲方为主张权利而支出的律师费、保全费、保全保险费、差旅费等费用由乙方承担。</w:t>
      </w:r>
    </w:p>
    <w:p w14:paraId="2FE6BF62">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五）因乙方产品内在质量问题，引发甲方生产或质量事故，造成甲方及第三人人身损失、财产损失的，乙方应赔偿甲方为此支付的所有费用（包括但不限于赔偿的费用、必要的律师费、罚款等），此责任不因甲方已进行质量监测而免除。</w:t>
      </w:r>
    </w:p>
    <w:p w14:paraId="58A8E727">
      <w:pPr>
        <w:shd w:val="clear"/>
        <w:tabs>
          <w:tab w:val="left" w:pos="480"/>
        </w:tabs>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十一、合同争议解决的方式</w:t>
      </w:r>
    </w:p>
    <w:p w14:paraId="2B3820AA">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本合同在履行过程中发生的争议，由甲、乙双方当事人协商解决，协商不成的依法向甲方所在地人民法院起诉。</w:t>
      </w:r>
    </w:p>
    <w:p w14:paraId="2A6058B1">
      <w:pPr>
        <w:shd w:val="clear"/>
        <w:tabs>
          <w:tab w:val="left" w:pos="480"/>
        </w:tabs>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十二、合同生效</w:t>
      </w:r>
    </w:p>
    <w:p w14:paraId="41894CDC">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本合同一式</w:t>
      </w:r>
      <w:r>
        <w:rPr>
          <w:rFonts w:hint="eastAsia" w:ascii="仿宋" w:hAnsi="仿宋" w:eastAsia="仿宋" w:cs="仿宋"/>
          <w:color w:val="auto"/>
          <w:sz w:val="24"/>
          <w:highlight w:val="none"/>
          <w:u w:val="single"/>
        </w:rPr>
        <w:t>拾</w:t>
      </w:r>
      <w:r>
        <w:rPr>
          <w:rFonts w:hint="eastAsia" w:ascii="仿宋" w:hAnsi="仿宋" w:eastAsia="仿宋" w:cs="仿宋"/>
          <w:color w:val="auto"/>
          <w:sz w:val="24"/>
          <w:highlight w:val="none"/>
        </w:rPr>
        <w:t>份，甲方</w:t>
      </w:r>
      <w:r>
        <w:rPr>
          <w:rFonts w:hint="eastAsia" w:ascii="仿宋" w:hAnsi="仿宋" w:eastAsia="仿宋" w:cs="仿宋"/>
          <w:color w:val="auto"/>
          <w:sz w:val="24"/>
          <w:highlight w:val="none"/>
          <w:u w:val="single"/>
        </w:rPr>
        <w:t>捌</w:t>
      </w:r>
      <w:r>
        <w:rPr>
          <w:rFonts w:hint="eastAsia" w:ascii="仿宋" w:hAnsi="仿宋" w:eastAsia="仿宋" w:cs="仿宋"/>
          <w:color w:val="auto"/>
          <w:sz w:val="24"/>
          <w:highlight w:val="none"/>
        </w:rPr>
        <w:t>份，乙方执</w:t>
      </w:r>
      <w:r>
        <w:rPr>
          <w:rFonts w:hint="eastAsia" w:ascii="仿宋" w:hAnsi="仿宋" w:eastAsia="仿宋" w:cs="仿宋"/>
          <w:color w:val="auto"/>
          <w:sz w:val="24"/>
          <w:highlight w:val="none"/>
          <w:u w:val="single"/>
        </w:rPr>
        <w:t>贰</w:t>
      </w:r>
      <w:r>
        <w:rPr>
          <w:rFonts w:hint="eastAsia" w:ascii="仿宋" w:hAnsi="仿宋" w:eastAsia="仿宋" w:cs="仿宋"/>
          <w:color w:val="auto"/>
          <w:sz w:val="24"/>
          <w:highlight w:val="none"/>
        </w:rPr>
        <w:t>份，本合同经甲方、乙方双方签字盖章后生效，质保期结束后，自动终止（合同的服务承诺除外）。</w:t>
      </w:r>
    </w:p>
    <w:p w14:paraId="148281E8">
      <w:pPr>
        <w:shd w:val="clear"/>
        <w:tabs>
          <w:tab w:val="left" w:pos="480"/>
        </w:tabs>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十三、其他事项</w:t>
      </w:r>
    </w:p>
    <w:p w14:paraId="480B4505">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（一）西安市财政局政府采购管理处在合同的履行期间以及履行期后，可以随时检查项目的执行情况，对采购内容、标准进行调查核实，并对发现的问题进行处理。</w:t>
      </w:r>
    </w:p>
    <w:p w14:paraId="767CD403">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（二）招标文件、投标文件、澄清表（函）、中标通知书、合同附件均成为合同不可分割的部分。</w:t>
      </w:r>
    </w:p>
    <w:p w14:paraId="055357DB">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（三）合同未尽事宜，由甲、乙双方协商，签订补充协议，与原合同具有同等法律效力。</w:t>
      </w:r>
    </w:p>
    <w:p w14:paraId="0C7D71EB">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（四）合同一经签订，不得擅自变更、中止或终止合同。对确需变更、调整或中止、终止合同的，有法律规定的按照法律规定，除合同约定外，由甲乙双方再行协商，协商一致前，原合同或条款继续履行。</w:t>
      </w:r>
    </w:p>
    <w:p w14:paraId="3DCE7602">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（五）本合同按照中华人民共和国的现行法律进行解释。</w:t>
      </w:r>
    </w:p>
    <w:p w14:paraId="4FB8F9F6">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（六）本合同附件作为本合同的组成部份，与本合同具有同等法律效力。</w:t>
      </w:r>
    </w:p>
    <w:p w14:paraId="40F221D4">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（七）供应商规模：                      （大型企业/中型企业/小微型企业）</w:t>
      </w:r>
    </w:p>
    <w:p w14:paraId="15709768">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（八） 甲方联系人：               ；联系电话：                      </w:t>
      </w:r>
    </w:p>
    <w:p w14:paraId="12733C6A">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乙方联系人：               ；联系电话：                      </w:t>
      </w:r>
    </w:p>
    <w:p w14:paraId="08893AFD">
      <w:pPr>
        <w:shd w:val="clear"/>
        <w:tabs>
          <w:tab w:val="left" w:pos="480"/>
        </w:tabs>
        <w:spacing w:line="360" w:lineRule="auto"/>
        <w:rPr>
          <w:rFonts w:hint="eastAsia" w:ascii="仿宋" w:hAnsi="仿宋" w:eastAsia="仿宋" w:cs="仿宋"/>
          <w:color w:val="auto"/>
          <w:sz w:val="24"/>
          <w:highlight w:val="none"/>
        </w:rPr>
      </w:pPr>
    </w:p>
    <w:p w14:paraId="760551A7">
      <w:pPr>
        <w:shd w:val="clear"/>
        <w:tabs>
          <w:tab w:val="left" w:pos="480"/>
        </w:tabs>
        <w:spacing w:line="360" w:lineRule="auto"/>
        <w:ind w:firstLine="240" w:firstLineChars="100"/>
        <w:rPr>
          <w:rFonts w:hint="eastAsia" w:ascii="仿宋" w:hAnsi="仿宋" w:eastAsia="仿宋" w:cs="仿宋"/>
          <w:color w:val="auto"/>
          <w:sz w:val="24"/>
          <w:highlight w:val="none"/>
        </w:rPr>
      </w:pPr>
      <w:r>
        <w:rPr>
          <w:rFonts w:hint="eastAsia" w:ascii="仿宋" w:hAnsi="仿宋" w:eastAsia="仿宋" w:cs="仿宋"/>
          <w:color w:val="auto"/>
          <w:sz w:val="24"/>
          <w:highlight w:val="none"/>
        </w:rPr>
        <w:t>（以下无正文）</w:t>
      </w:r>
    </w:p>
    <w:p w14:paraId="41E2D850">
      <w:pPr>
        <w:shd w:val="clear"/>
        <w:tabs>
          <w:tab w:val="left" w:pos="480"/>
        </w:tabs>
        <w:spacing w:line="360" w:lineRule="auto"/>
        <w:rPr>
          <w:rFonts w:hint="eastAsia" w:ascii="仿宋" w:hAnsi="仿宋" w:eastAsia="仿宋" w:cs="仿宋"/>
          <w:color w:val="auto"/>
          <w:sz w:val="24"/>
          <w:highlight w:val="none"/>
        </w:rPr>
      </w:pPr>
    </w:p>
    <w:p w14:paraId="18323653">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甲方（公章）                                 乙方（公章）</w:t>
      </w:r>
    </w:p>
    <w:p w14:paraId="476DFAE5">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单位名称：西安市中心医院                     单位名称:</w:t>
      </w:r>
    </w:p>
    <w:p w14:paraId="55B87FBC">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地址：西安市西五路161号                     地址： </w:t>
      </w:r>
    </w:p>
    <w:p w14:paraId="4585C86C">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p>
    <w:p w14:paraId="345E52B8">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法定代表人：（签字）                         法定代表人：（签字）</w:t>
      </w:r>
    </w:p>
    <w:p w14:paraId="49D0DBA4">
      <w:pPr>
        <w:shd w:val="clear"/>
        <w:tabs>
          <w:tab w:val="left" w:pos="480"/>
        </w:tabs>
        <w:spacing w:line="360" w:lineRule="auto"/>
        <w:ind w:firstLine="480" w:firstLineChars="200"/>
        <w:jc w:val="left"/>
        <w:rPr>
          <w:rFonts w:hint="eastAsia" w:ascii="仿宋" w:hAnsi="仿宋" w:eastAsia="仿宋" w:cs="仿宋"/>
          <w:color w:val="auto"/>
          <w:sz w:val="24"/>
          <w:highlight w:val="none"/>
        </w:rPr>
      </w:pPr>
    </w:p>
    <w:p w14:paraId="441CB645">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代理人：（签字）                             代理人：（签字）</w:t>
      </w:r>
    </w:p>
    <w:p w14:paraId="49C9328C">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开户银行:</w:t>
      </w:r>
    </w:p>
    <w:p w14:paraId="6415215C">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帐号：</w:t>
      </w:r>
    </w:p>
    <w:p w14:paraId="2288B0B3">
      <w:pPr>
        <w:shd w:val="clea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签订日期：   年    月    日                 签订日期：   年    月    日</w:t>
      </w:r>
    </w:p>
    <w:p w14:paraId="20682606">
      <w:pPr>
        <w:shd w:val="clear"/>
        <w:tabs>
          <w:tab w:val="left" w:pos="480"/>
        </w:tabs>
        <w:spacing w:line="360" w:lineRule="auto"/>
        <w:rPr>
          <w:rFonts w:hint="eastAsia" w:ascii="仿宋" w:hAnsi="仿宋" w:eastAsia="仿宋" w:cs="仿宋"/>
          <w:color w:val="auto"/>
          <w:sz w:val="24"/>
          <w:highlight w:val="none"/>
        </w:rPr>
      </w:pPr>
    </w:p>
    <w:p w14:paraId="3974D788">
      <w:pPr>
        <w:shd w:val="clear"/>
        <w:tabs>
          <w:tab w:val="left" w:pos="480"/>
        </w:tabs>
        <w:spacing w:line="360" w:lineRule="auto"/>
        <w:rPr>
          <w:rFonts w:hint="eastAsia" w:ascii="仿宋" w:hAnsi="仿宋" w:eastAsia="仿宋" w:cs="仿宋"/>
          <w:color w:val="auto"/>
          <w:sz w:val="24"/>
          <w:highlight w:val="none"/>
        </w:rPr>
      </w:pPr>
    </w:p>
    <w:p w14:paraId="241028EE">
      <w:pPr>
        <w:shd w:val="clear"/>
        <w:tabs>
          <w:tab w:val="left" w:pos="480"/>
        </w:tabs>
        <w:spacing w:line="360" w:lineRule="auto"/>
        <w:rPr>
          <w:rFonts w:hint="eastAsia" w:ascii="仿宋" w:hAnsi="仿宋" w:eastAsia="仿宋" w:cs="仿宋"/>
          <w:color w:val="auto"/>
          <w:sz w:val="24"/>
          <w:highlight w:val="none"/>
        </w:rPr>
      </w:pPr>
    </w:p>
    <w:p w14:paraId="409E782C">
      <w:pPr>
        <w:shd w:val="clear"/>
        <w:tabs>
          <w:tab w:val="left" w:pos="480"/>
        </w:tabs>
        <w:spacing w:line="360" w:lineRule="auto"/>
        <w:rPr>
          <w:rFonts w:hint="eastAsia" w:ascii="仿宋" w:hAnsi="仿宋" w:eastAsia="仿宋" w:cs="仿宋"/>
          <w:color w:val="auto"/>
          <w:sz w:val="24"/>
          <w:highlight w:val="none"/>
        </w:rPr>
      </w:pPr>
    </w:p>
    <w:p w14:paraId="7D8F259D">
      <w:pPr>
        <w:shd w:val="clear"/>
        <w:tabs>
          <w:tab w:val="left" w:pos="480"/>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附件一：配置清单</w:t>
      </w:r>
    </w:p>
    <w:p w14:paraId="0825DACF">
      <w:pPr>
        <w:shd w:val="clear"/>
        <w:tabs>
          <w:tab w:val="left" w:pos="480"/>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附件二：设备参数</w:t>
      </w:r>
    </w:p>
    <w:p w14:paraId="0D7661AA">
      <w:pPr>
        <w:pStyle w:val="6"/>
        <w:shd w:val="clear"/>
        <w:spacing w:line="360" w:lineRule="auto"/>
        <w:rPr>
          <w:rFonts w:hint="eastAsia" w:ascii="仿宋" w:hAnsi="仿宋" w:eastAsia="仿宋" w:cs="仿宋"/>
          <w:color w:val="auto"/>
          <w:sz w:val="24"/>
          <w:szCs w:val="24"/>
          <w:highlight w:val="none"/>
        </w:rPr>
      </w:pPr>
    </w:p>
    <w:p w14:paraId="212B1412">
      <w:pPr>
        <w:shd w:val="clear"/>
        <w:autoSpaceDE w:val="0"/>
        <w:autoSpaceDN w:val="0"/>
        <w:adjustRightInd w:val="0"/>
        <w:spacing w:line="360" w:lineRule="auto"/>
        <w:jc w:val="left"/>
        <w:rPr>
          <w:rFonts w:hint="eastAsia" w:ascii="仿宋" w:hAnsi="仿宋" w:eastAsia="仿宋" w:cs="仿宋"/>
          <w:b/>
          <w:bCs/>
          <w:color w:val="auto"/>
          <w:sz w:val="24"/>
          <w:highlight w:val="none"/>
          <w:lang w:val="zh-CN"/>
        </w:rPr>
      </w:pPr>
      <w:r>
        <w:rPr>
          <w:rFonts w:hint="eastAsia" w:ascii="仿宋" w:hAnsi="仿宋" w:eastAsia="仿宋" w:cs="仿宋"/>
          <w:b/>
          <w:bCs/>
          <w:color w:val="auto"/>
          <w:sz w:val="24"/>
          <w:highlight w:val="none"/>
        </w:rPr>
        <w:t>备注：</w:t>
      </w:r>
      <w:r>
        <w:rPr>
          <w:rFonts w:hint="eastAsia" w:ascii="仿宋" w:hAnsi="仿宋" w:eastAsia="仿宋" w:cs="仿宋"/>
          <w:b/>
          <w:bCs/>
          <w:color w:val="auto"/>
          <w:sz w:val="24"/>
          <w:highlight w:val="none"/>
          <w:lang w:val="zh-CN"/>
        </w:rPr>
        <w:t>供货合同与技术参数不一致的以招标文件正本技术参数为准。</w:t>
      </w:r>
    </w:p>
    <w:p w14:paraId="2C64F512">
      <w:pPr>
        <w:pStyle w:val="6"/>
        <w:shd w:val="clear"/>
        <w:spacing w:line="360" w:lineRule="auto"/>
        <w:rPr>
          <w:rFonts w:hint="eastAsia" w:ascii="仿宋" w:hAnsi="仿宋" w:eastAsia="仿宋" w:cs="仿宋"/>
          <w:color w:val="auto"/>
          <w:sz w:val="24"/>
          <w:szCs w:val="24"/>
          <w:highlight w:val="none"/>
        </w:rPr>
      </w:pPr>
    </w:p>
    <w:p w14:paraId="24535335">
      <w:pPr>
        <w:pStyle w:val="6"/>
        <w:shd w:val="clear"/>
        <w:rPr>
          <w:rFonts w:hint="eastAsia"/>
          <w:color w:val="auto"/>
          <w:highlight w:val="none"/>
          <w:lang w:val="zh-CN"/>
        </w:rPr>
      </w:pPr>
    </w:p>
    <w:p w14:paraId="2C1A0D1A">
      <w:pPr>
        <w:pStyle w:val="3"/>
        <w:shd w:val="clear"/>
        <w:ind w:firstLine="0"/>
        <w:rPr>
          <w:rFonts w:ascii="仿宋" w:hAnsi="仿宋" w:eastAsia="仿宋" w:cs="仿宋"/>
          <w:color w:val="auto"/>
          <w:kern w:val="2"/>
          <w:sz w:val="52"/>
          <w:szCs w:val="52"/>
          <w:highlight w:val="none"/>
        </w:rPr>
      </w:pPr>
    </w:p>
    <w:p w14:paraId="19E3A823">
      <w:pPr>
        <w:shd w:val="clea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7A"/>
    <w:family w:val="auto"/>
    <w:pitch w:val="default"/>
    <w:sig w:usb0="A00002BF" w:usb1="38CF7CFA" w:usb2="00000016" w:usb3="00000000" w:csb0="0004000F" w:csb1="00000000"/>
  </w:font>
  <w:font w:name="仿宋">
    <w:panose1 w:val="02010609060101010101"/>
    <w:charset w:val="7A"/>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00000000"/>
    <w:rsid w:val="0D281998"/>
    <w:rsid w:val="0F876A2A"/>
    <w:rsid w:val="12FD14DE"/>
    <w:rsid w:val="1FC814F4"/>
    <w:rsid w:val="31C3610C"/>
    <w:rsid w:val="331F2B2B"/>
    <w:rsid w:val="3DA71B32"/>
    <w:rsid w:val="41037F0F"/>
    <w:rsid w:val="417D58F0"/>
    <w:rsid w:val="44AD06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qFormat/>
    <w:uiPriority w:val="0"/>
    <w:pPr>
      <w:keepNext/>
      <w:keepLines/>
      <w:autoSpaceDE w:val="0"/>
      <w:autoSpaceDN w:val="0"/>
      <w:adjustRightInd w:val="0"/>
      <w:spacing w:before="240" w:after="120" w:line="300" w:lineRule="auto"/>
      <w:jc w:val="center"/>
      <w:outlineLvl w:val="0"/>
    </w:pPr>
    <w:rPr>
      <w:rFonts w:ascii="宋体" w:hAnsi="Times New Roman"/>
      <w:kern w:val="44"/>
      <w:szCs w:val="2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1"/>
    <w:qFormat/>
    <w:uiPriority w:val="0"/>
    <w:pPr>
      <w:tabs>
        <w:tab w:val="left" w:pos="567"/>
      </w:tabs>
      <w:spacing w:before="120" w:line="22" w:lineRule="atLeast"/>
    </w:pPr>
    <w:rPr>
      <w:rFonts w:ascii="宋体" w:hAnsi="宋体"/>
      <w:sz w:val="24"/>
    </w:rPr>
  </w:style>
  <w:style w:type="paragraph" w:styleId="5">
    <w:name w:val="List 2"/>
    <w:basedOn w:val="1"/>
    <w:qFormat/>
    <w:uiPriority w:val="0"/>
    <w:pPr>
      <w:ind w:left="100" w:leftChars="200" w:hanging="200" w:hangingChars="200"/>
      <w:contextualSpacing/>
    </w:pPr>
  </w:style>
  <w:style w:type="paragraph" w:styleId="6">
    <w:name w:val="footer"/>
    <w:basedOn w:val="1"/>
    <w:uiPriority w:val="0"/>
    <w:pPr>
      <w:tabs>
        <w:tab w:val="center" w:pos="4153"/>
        <w:tab w:val="right" w:pos="8306"/>
      </w:tabs>
      <w:autoSpaceDE w:val="0"/>
      <w:autoSpaceDN w:val="0"/>
      <w:adjustRightInd w:val="0"/>
      <w:snapToGrid w:val="0"/>
      <w:jc w:val="left"/>
    </w:pPr>
    <w:rPr>
      <w:rFonts w:ascii="宋体" w:hAnsi="Times New Roman" w:eastAsia="宋体" w:cs="Times New Roman"/>
      <w:kern w:val="0"/>
      <w:sz w:val="18"/>
      <w:szCs w:val="20"/>
    </w:rPr>
  </w:style>
  <w:style w:type="paragraph" w:styleId="7">
    <w:name w:val="Title"/>
    <w:basedOn w:val="5"/>
    <w:next w:val="1"/>
    <w:qFormat/>
    <w:uiPriority w:val="0"/>
    <w:pPr>
      <w:spacing w:before="240" w:after="60"/>
      <w:jc w:val="center"/>
      <w:outlineLvl w:val="0"/>
    </w:pPr>
    <w:rPr>
      <w:rFonts w:ascii="Cambria" w:hAnsi="Cambria"/>
      <w:b/>
      <w:bCs/>
      <w:sz w:val="32"/>
      <w:szCs w:val="32"/>
    </w:rPr>
  </w:style>
  <w:style w:type="character" w:customStyle="1" w:styleId="10">
    <w:name w:val="标题 1 字符"/>
    <w:link w:val="2"/>
    <w:qFormat/>
    <w:uiPriority w:val="0"/>
    <w:rPr>
      <w:rFonts w:ascii="宋体" w:hAnsi="Times New Roman"/>
      <w:kern w:val="44"/>
      <w:szCs w:val="20"/>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3030</Words>
  <Characters>3103</Characters>
  <Lines>0</Lines>
  <Paragraphs>0</Paragraphs>
  <TotalTime>0</TotalTime>
  <ScaleCrop>false</ScaleCrop>
  <LinksUpToDate>false</LinksUpToDate>
  <CharactersWithSpaces>3357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2024-08-21T09:32:00Z</dcterms:created>
  <dc:creator>HP</dc:creator>
  <cp:lastModifiedBy>WPS_1526284077</cp:lastModifiedBy>
  <dcterms:modified xsi:type="dcterms:W3CDTF">2025-09-17T05:49:12Z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623A60DD30404033A49732512D142669_12</vt:lpwstr>
  </property>
  <property fmtid="{D5CDD505-2E9C-101B-9397-08002B2CF9AE}" pid="4" name="KSOTemplateDocerSaveRecord">
    <vt:lpwstr>eyJoZGlkIjoiMDVhN2U2ZTIwOTkyMGU3ZTg0Mjg5YTJkZWI1ZDI5MmIiLCJ1c2VySWQiOiIzNzA0MjM3MzgifQ==</vt:lpwstr>
  </property>
</Properties>
</file>