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版本号：SXWZ2025ZB-XJS-14020250917001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（货物类）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2025年HVI大容量棉花纤维测试仪备件采购项目</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SXWZ2025ZB-XJS-140</w:t>
      </w:r>
      <w:r>
        <w:br/>
      </w:r>
      <w:r>
        <w:br/>
      </w:r>
      <w:r>
        <w:br/>
      </w:r>
      <w:r>
        <w:br/>
      </w:r>
      <w:r>
        <w:br/>
      </w:r>
    </w:p>
    <w:p>
      <w:pPr>
        <w:pStyle w:val="null3"/>
        <w:jc w:val="center"/>
        <w:outlineLvl w:val="5"/>
      </w:pPr>
      <w:r>
        <w:rPr>
          <w:rFonts w:ascii="仿宋_GB2312" w:hAnsi="仿宋_GB2312" w:cs="仿宋_GB2312" w:eastAsia="仿宋_GB2312"/>
          <w:sz w:val="15"/>
          <w:b/>
        </w:rPr>
        <w:t>西安纤维纺织品监督检验所</w:t>
      </w:r>
    </w:p>
    <w:p>
      <w:pPr>
        <w:pStyle w:val="null3"/>
        <w:jc w:val="center"/>
        <w:outlineLvl w:val="5"/>
      </w:pPr>
      <w:r>
        <w:rPr>
          <w:rFonts w:ascii="仿宋_GB2312" w:hAnsi="仿宋_GB2312" w:cs="仿宋_GB2312" w:eastAsia="仿宋_GB2312"/>
          <w:sz w:val="15"/>
          <w:b/>
        </w:rPr>
        <w:t>陕西万泽招标有限公司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2025年09月17日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陕西万泽招标有限公司</w:t>
      </w:r>
      <w:r>
        <w:rPr>
          <w:rFonts w:ascii="仿宋_GB2312" w:hAnsi="仿宋_GB2312" w:cs="仿宋_GB2312" w:eastAsia="仿宋_GB2312"/>
        </w:rPr>
        <w:t>（以下简称“代理机构”）受</w:t>
      </w:r>
      <w:r>
        <w:rPr>
          <w:rFonts w:ascii="仿宋_GB2312" w:hAnsi="仿宋_GB2312" w:cs="仿宋_GB2312" w:eastAsia="仿宋_GB2312"/>
        </w:rPr>
        <w:t>西安纤维纺织品监督检验所</w:t>
      </w:r>
      <w:r>
        <w:rPr>
          <w:rFonts w:ascii="仿宋_GB2312" w:hAnsi="仿宋_GB2312" w:cs="仿宋_GB2312" w:eastAsia="仿宋_GB2312"/>
        </w:rPr>
        <w:t>委托，拟对</w:t>
      </w:r>
      <w:r>
        <w:rPr>
          <w:rFonts w:ascii="仿宋_GB2312" w:hAnsi="仿宋_GB2312" w:cs="仿宋_GB2312" w:eastAsia="仿宋_GB2312"/>
        </w:rPr>
        <w:t>2025年HVI大容量棉花纤维测试仪备件采购项目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SXWZ2025ZB-XJS-140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2025年HVI大容量棉花纤维测试仪备件采购项目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HVI大容量棉花纤维测试仪备件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社会保障资金缴纳证明：供应商提供2025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3、税收缴纳证明：供应商提供2025年1月至今已缴纳的至少一个月纳税证明或完税证明，依法免税的单位应提供相关证明材料（以税款所属期为准）；</w:t>
      </w:r>
    </w:p>
    <w:p>
      <w:pPr>
        <w:pStyle w:val="null3"/>
      </w:pPr>
      <w:r>
        <w:rPr>
          <w:rFonts w:ascii="仿宋_GB2312" w:hAnsi="仿宋_GB2312" w:cs="仿宋_GB2312" w:eastAsia="仿宋_GB2312"/>
        </w:rPr>
        <w:t>4、财务状况证明：提供经会计师事务所审计的2023年或2024年财务审计报告（报告须带有二维码可验证）或在开标日期前六个月内其基本开户银行出具的资信证明；</w:t>
      </w:r>
    </w:p>
    <w:p>
      <w:pPr>
        <w:pStyle w:val="null3"/>
      </w:pPr>
      <w:r>
        <w:rPr>
          <w:rFonts w:ascii="仿宋_GB2312" w:hAnsi="仿宋_GB2312" w:cs="仿宋_GB2312" w:eastAsia="仿宋_GB2312"/>
        </w:rPr>
        <w:t>5、书面声明：供应商应出具参加本次政府采购活动前3年内在经营活动中没有重大违法违纪，以及未被列入失信被执行人、重大税收违法案件当事人名单、政府采购严重违法失信行为记录名单的书面声明；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6、法人授权书：非法定代表人参加投标，须提供法定代表人授权委托书及被授权人身份证；法定代表人参加投标时,须提供法定代表人身份证；</w:t>
      </w:r>
    </w:p>
    <w:p>
      <w:pPr>
        <w:pStyle w:val="null3"/>
      </w:pPr>
      <w:r>
        <w:rPr>
          <w:rFonts w:ascii="仿宋_GB2312" w:hAnsi="仿宋_GB2312" w:cs="仿宋_GB2312" w:eastAsia="仿宋_GB2312"/>
        </w:rPr>
        <w:t>7、产品授权书：若所投产品为进口产品的，供应商须提供产品厂家授权书或总代理商授权书或具有授权权限的供应商对所投进口产品的授权书。（如提供代理商授权的须同时提供具有有效授权权限的相关证明文件，证明文件需能显示产品制造厂家对所投产品授权链条的完整性）。</w:t>
      </w:r>
    </w:p>
    <w:p>
      <w:pPr>
        <w:pStyle w:val="null3"/>
      </w:pPr>
      <w:r>
        <w:rPr>
          <w:rFonts w:ascii="仿宋_GB2312" w:hAnsi="仿宋_GB2312" w:cs="仿宋_GB2312" w:eastAsia="仿宋_GB2312"/>
        </w:rPr>
        <w:t>8、非联合体投标：本项目不接受联合体参与。</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西安纤维纺织品监督检验所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西安市雁塔区科技六路198号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西安纤维纺织品监督检验所</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029-81779515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陕西万泽招标有限公司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西安市高新区唐延路旺座现代城C座25楼2502室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张刘艳 张航波 郝思思</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029-88319689-8006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采购包1：1,700,000.00元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采购包1：1,700,000.00元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代理服务费收费标准：以成交金额为基数，参照国家计委颁布《招标代理服务收费管理暂行 办法》（计价格[2002]1980号）和国家发展改革委员会办公厅颁发的《关于招标代理服务收费有关问题的通知》（发改办价格[2003]857号）文件规定执行。</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西安纤维纺织品监督检验所</w:t>
      </w:r>
      <w:r>
        <w:rPr>
          <w:rFonts w:ascii="仿宋_GB2312" w:hAnsi="仿宋_GB2312" w:cs="仿宋_GB2312" w:eastAsia="仿宋_GB2312"/>
        </w:rPr>
        <w:t>和</w:t>
      </w:r>
      <w:r>
        <w:rPr>
          <w:rFonts w:ascii="仿宋_GB2312" w:hAnsi="仿宋_GB2312" w:cs="仿宋_GB2312" w:eastAsia="仿宋_GB2312"/>
        </w:rPr>
        <w:t>陕西万泽招标有限公司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陕西万泽招标有限公司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西安纤维纺织品监督检验所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陕西万泽招标有限公司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依据采购文件、响应文件及合同相关条款</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 xml:space="preserve"> 2025年HVI大容量棉花纤维测试仪备件采购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1,700,000.00</w:t>
      </w:r>
    </w:p>
    <w:p>
      <w:pPr>
        <w:pStyle w:val="null3"/>
      </w:pPr>
      <w:r>
        <w:rPr>
          <w:rFonts w:ascii="仿宋_GB2312" w:hAnsi="仿宋_GB2312" w:cs="仿宋_GB2312" w:eastAsia="仿宋_GB2312"/>
        </w:rPr>
        <w:t>采购包最高限价（元）: 1,700,000.00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2025年HVI大容量棉花纤维测试仪备件采购项目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标的名称：2025年HVI大容量棉花纤维测试仪备件采购项目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2"/>
              </w:rPr>
              <w:t>1</w:t>
            </w:r>
            <w:r>
              <w:rPr>
                <w:rFonts w:ascii="仿宋_GB2312" w:hAnsi="仿宋_GB2312" w:cs="仿宋_GB2312" w:eastAsia="仿宋_GB2312"/>
                <w:sz w:val="22"/>
              </w:rPr>
              <w:t>、</w:t>
            </w:r>
            <w:r>
              <w:rPr>
                <w:rFonts w:ascii="仿宋_GB2312" w:hAnsi="仿宋_GB2312" w:cs="仿宋_GB2312" w:eastAsia="仿宋_GB2312"/>
                <w:sz w:val="22"/>
              </w:rPr>
              <w:t>西安纤检验所</w:t>
            </w:r>
            <w:r>
              <w:rPr>
                <w:rFonts w:ascii="仿宋_GB2312" w:hAnsi="仿宋_GB2312" w:cs="仿宋_GB2312" w:eastAsia="仿宋_GB2312"/>
                <w:sz w:val="22"/>
              </w:rPr>
              <w:t>HVI</w:t>
            </w:r>
            <w:r>
              <w:rPr>
                <w:rFonts w:ascii="仿宋_GB2312" w:hAnsi="仿宋_GB2312" w:cs="仿宋_GB2312" w:eastAsia="仿宋_GB2312"/>
                <w:sz w:val="22"/>
              </w:rPr>
              <w:t>配件清单</w:t>
            </w:r>
          </w:p>
          <w:tbl>
            <w:tblPr>
              <w:tblBorders>
                <w:top w:val="none" w:color="000000" w:sz="4"/>
                <w:left w:val="none" w:color="000000" w:sz="4"/>
                <w:bottom w:val="none" w:color="000000" w:sz="4"/>
                <w:right w:val="none" w:color="000000" w:sz="4"/>
                <w:insideH w:val="none"/>
                <w:insideV w:val="none"/>
              </w:tblBorders>
            </w:tblPr>
            <w:tblGrid>
              <w:gridCol w:w="299"/>
              <w:gridCol w:w="941"/>
              <w:gridCol w:w="732"/>
              <w:gridCol w:w="304"/>
              <w:gridCol w:w="270"/>
            </w:tblGrid>
            <w:tr>
              <w:tc>
                <w:tcPr>
                  <w:tcW w:type="dxa" w:w="29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941"/>
                  <w:vMerge w:val="restart"/>
                  <w:tcBorders>
                    <w:top w:val="singl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零件名称</w:t>
                  </w:r>
                </w:p>
              </w:tc>
              <w:tc>
                <w:tcPr>
                  <w:tcW w:type="dxa" w:w="73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零件编号</w:t>
                  </w:r>
                </w:p>
              </w:tc>
              <w:tc>
                <w:tcPr>
                  <w:tcW w:type="dxa" w:w="30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单位</w:t>
                  </w:r>
                </w:p>
              </w:tc>
              <w:tc>
                <w:tcPr>
                  <w:tcW w:type="dxa" w:w="27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r>
            <w:tr>
              <w:tc>
                <w:tcPr>
                  <w:tcW w:type="dxa" w:w="299"/>
                  <w:vMerge/>
                  <w:tcBorders>
                    <w:top w:val="single" w:color="000000" w:sz="4"/>
                    <w:left w:val="single" w:color="000000" w:sz="4"/>
                    <w:bottom w:val="single" w:color="000000" w:sz="4"/>
                    <w:right w:val="single" w:color="000000" w:sz="4"/>
                  </w:tcBorders>
                </w:tcPr>
                <w:p/>
              </w:tc>
              <w:tc>
                <w:tcPr>
                  <w:tcW w:type="dxa" w:w="941"/>
                  <w:vMerge/>
                  <w:tcBorders>
                    <w:top w:val="single" w:color="000000" w:sz="4"/>
                    <w:left w:val="none" w:color="000000" w:sz="4"/>
                    <w:bottom w:val="single" w:color="000000" w:sz="4"/>
                    <w:right w:val="none" w:color="000000" w:sz="4"/>
                  </w:tcBorders>
                </w:tcPr>
                <w:p/>
              </w:tc>
              <w:tc>
                <w:tcPr>
                  <w:tcW w:type="dxa" w:w="732"/>
                  <w:vMerge/>
                  <w:tcBorders>
                    <w:top w:val="single" w:color="000000" w:sz="4"/>
                    <w:left w:val="single" w:color="000000" w:sz="4"/>
                    <w:bottom w:val="single" w:color="000000" w:sz="4"/>
                    <w:right w:val="single" w:color="000000" w:sz="4"/>
                  </w:tcBorders>
                </w:tcPr>
                <w:p/>
              </w:tc>
              <w:tc>
                <w:tcPr>
                  <w:tcW w:type="dxa" w:w="304"/>
                  <w:vMerge/>
                  <w:tcBorders>
                    <w:top w:val="single" w:color="000000" w:sz="4"/>
                    <w:left w:val="none" w:color="000000" w:sz="4"/>
                    <w:bottom w:val="single" w:color="000000" w:sz="4"/>
                    <w:right w:val="single" w:color="000000" w:sz="4"/>
                  </w:tcBorders>
                </w:tcPr>
                <w:p/>
              </w:tc>
              <w:tc>
                <w:tcPr>
                  <w:tcW w:type="dxa" w:w="270"/>
                  <w:vMerge/>
                  <w:tcBorders>
                    <w:top w:val="single" w:color="000000" w:sz="4"/>
                    <w:left w:val="none" w:color="000000" w:sz="4"/>
                    <w:bottom w:val="single" w:color="000000" w:sz="4"/>
                    <w:right w:val="single" w:color="000000" w:sz="4"/>
                  </w:tcBorders>
                </w:tcP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4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马克隆开门中轴＋弹簧</w:t>
                  </w:r>
                </w:p>
              </w:tc>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255010-03101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MIC</w:t>
                  </w:r>
                  <w:r>
                    <w:rPr>
                      <w:rFonts w:ascii="仿宋_GB2312" w:hAnsi="仿宋_GB2312" w:cs="仿宋_GB2312" w:eastAsia="仿宋_GB2312"/>
                      <w:sz w:val="21"/>
                      <w:color w:val="000000"/>
                    </w:rPr>
                    <w:t>窗口玻璃</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255220-00150</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压手气缸复位弹簧</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255230-00130</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毛刷母轴</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255110-07690</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梳针</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255130-01650</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梳夹气缸</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256770-00850</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马克隆门传感器</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255310-06731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力传感器</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255320-01910</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9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真空电机</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255010-19302</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9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颜色托盘</w:t>
                  </w:r>
                  <w:r>
                    <w:rPr>
                      <w:rFonts w:ascii="仿宋_GB2312" w:hAnsi="仿宋_GB2312" w:cs="仿宋_GB2312" w:eastAsia="仿宋_GB2312"/>
                      <w:sz w:val="21"/>
                      <w:color w:val="000000"/>
                    </w:rPr>
                    <w:t>L</w:t>
                  </w:r>
                  <w:r>
                    <w:rPr>
                      <w:rFonts w:ascii="仿宋_GB2312" w:hAnsi="仿宋_GB2312" w:cs="仿宋_GB2312" w:eastAsia="仿宋_GB2312"/>
                      <w:sz w:val="21"/>
                      <w:color w:val="000000"/>
                    </w:rPr>
                    <w:t>臂</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255100-22472</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9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气阀组单片</w:t>
                  </w:r>
                  <w:r>
                    <w:rPr>
                      <w:rFonts w:ascii="仿宋_GB2312" w:hAnsi="仿宋_GB2312" w:cs="仿宋_GB2312" w:eastAsia="仿宋_GB2312"/>
                      <w:sz w:val="21"/>
                      <w:color w:val="000000"/>
                    </w:rPr>
                    <w:t>-</w:t>
                  </w:r>
                  <w:r>
                    <w:rPr>
                      <w:rFonts w:ascii="仿宋_GB2312" w:hAnsi="仿宋_GB2312" w:cs="仿宋_GB2312" w:eastAsia="仿宋_GB2312"/>
                      <w:sz w:val="21"/>
                      <w:color w:val="000000"/>
                    </w:rPr>
                    <w:t>上片</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256780-00950</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气阀组单片</w:t>
                  </w:r>
                  <w:r>
                    <w:rPr>
                      <w:rFonts w:ascii="仿宋_GB2312" w:hAnsi="仿宋_GB2312" w:cs="仿宋_GB2312" w:eastAsia="仿宋_GB2312"/>
                      <w:sz w:val="21"/>
                      <w:color w:val="000000"/>
                    </w:rPr>
                    <w:t>-</w:t>
                  </w:r>
                  <w:r>
                    <w:rPr>
                      <w:rFonts w:ascii="仿宋_GB2312" w:hAnsi="仿宋_GB2312" w:cs="仿宋_GB2312" w:eastAsia="仿宋_GB2312"/>
                      <w:sz w:val="21"/>
                      <w:color w:val="000000"/>
                    </w:rPr>
                    <w:t>下片</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256780-01010</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9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刹车皮</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256830-02580</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9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毛刷轨道覆盖片（短）</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256700-00716</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互锁开关</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256570-00320</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9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取样器压手气缸</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256770-00010</w:t>
                  </w:r>
                </w:p>
              </w:tc>
              <w:tc>
                <w:tcPr>
                  <w:tcW w:type="dxa" w:w="3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9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取样器针布，反面</w:t>
                  </w:r>
                  <w:r>
                    <w:br/>
                  </w:r>
                  <w:r>
                    <w:rPr>
                      <w:rFonts w:ascii="仿宋_GB2312" w:hAnsi="仿宋_GB2312" w:cs="仿宋_GB2312" w:eastAsia="仿宋_GB2312"/>
                      <w:sz w:val="21"/>
                      <w:color w:val="000000"/>
                    </w:rPr>
                    <w:t>铭牌需要去除</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255140-02701</w:t>
                  </w:r>
                </w:p>
              </w:tc>
              <w:tc>
                <w:tcPr>
                  <w:tcW w:type="dxa" w:w="3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9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拉断器测量口下玻璃后侧的</w:t>
                  </w:r>
                  <w:r>
                    <w:br/>
                  </w:r>
                  <w:r>
                    <w:rPr>
                      <w:rFonts w:ascii="仿宋_GB2312" w:hAnsi="仿宋_GB2312" w:cs="仿宋_GB2312" w:eastAsia="仿宋_GB2312"/>
                      <w:sz w:val="21"/>
                      <w:color w:val="000000"/>
                    </w:rPr>
                    <w:t>白色挡片</w:t>
                  </w:r>
                </w:p>
              </w:tc>
              <w:tc>
                <w:tcPr>
                  <w:tcW w:type="dxa" w:w="7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255280-00060</w:t>
                  </w:r>
                </w:p>
              </w:tc>
              <w:tc>
                <w:tcPr>
                  <w:tcW w:type="dxa" w:w="3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9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毛刷转动皮带</w:t>
                  </w:r>
                </w:p>
              </w:tc>
              <w:tc>
                <w:tcPr>
                  <w:tcW w:type="dxa" w:w="7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256820-00650</w:t>
                  </w:r>
                </w:p>
              </w:tc>
              <w:tc>
                <w:tcPr>
                  <w:tcW w:type="dxa" w:w="3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9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马克隆测试气缸</w:t>
                  </w:r>
                </w:p>
              </w:tc>
              <w:tc>
                <w:tcPr>
                  <w:tcW w:type="dxa" w:w="7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256770-00920</w:t>
                  </w:r>
                </w:p>
              </w:tc>
              <w:tc>
                <w:tcPr>
                  <w:tcW w:type="dxa" w:w="3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9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取样器皮带</w:t>
                  </w:r>
                </w:p>
              </w:tc>
              <w:tc>
                <w:tcPr>
                  <w:tcW w:type="dxa" w:w="7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256820-00780</w:t>
                  </w:r>
                </w:p>
              </w:tc>
              <w:tc>
                <w:tcPr>
                  <w:tcW w:type="dxa" w:w="3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9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取样器电机</w:t>
                  </w:r>
                </w:p>
              </w:tc>
              <w:tc>
                <w:tcPr>
                  <w:tcW w:type="dxa" w:w="7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255140-01910</w:t>
                  </w:r>
                </w:p>
              </w:tc>
              <w:tc>
                <w:tcPr>
                  <w:tcW w:type="dxa" w:w="3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9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2014年托盘天平中间位置</w:t>
                  </w:r>
                  <w:r>
                    <w:br/>
                  </w:r>
                  <w:r>
                    <w:rPr>
                      <w:rFonts w:ascii="仿宋_GB2312" w:hAnsi="仿宋_GB2312" w:cs="仿宋_GB2312" w:eastAsia="仿宋_GB2312"/>
                      <w:sz w:val="21"/>
                      <w:color w:val="000000"/>
                    </w:rPr>
                    <w:t>传感器</w:t>
                  </w:r>
                </w:p>
              </w:tc>
              <w:tc>
                <w:tcPr>
                  <w:tcW w:type="dxa" w:w="7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256570-01734</w:t>
                  </w:r>
                </w:p>
              </w:tc>
              <w:tc>
                <w:tcPr>
                  <w:tcW w:type="dxa" w:w="3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9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取样器电机变速箱</w:t>
                  </w:r>
                </w:p>
              </w:tc>
              <w:tc>
                <w:tcPr>
                  <w:tcW w:type="dxa" w:w="7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256820-00770</w:t>
                  </w:r>
                </w:p>
              </w:tc>
              <w:tc>
                <w:tcPr>
                  <w:tcW w:type="dxa" w:w="3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9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马克隆压差传感器</w:t>
                  </w:r>
                </w:p>
              </w:tc>
              <w:tc>
                <w:tcPr>
                  <w:tcW w:type="dxa" w:w="7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255010-19501</w:t>
                  </w:r>
                </w:p>
              </w:tc>
              <w:tc>
                <w:tcPr>
                  <w:tcW w:type="dxa" w:w="3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9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长强塔光透镜下玻璃</w:t>
                  </w:r>
                </w:p>
              </w:tc>
              <w:tc>
                <w:tcPr>
                  <w:tcW w:type="dxa" w:w="7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255100-01850</w:t>
                  </w:r>
                </w:p>
              </w:tc>
              <w:tc>
                <w:tcPr>
                  <w:tcW w:type="dxa" w:w="3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9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梳齿气缸连接装置</w:t>
                  </w:r>
                </w:p>
              </w:tc>
              <w:tc>
                <w:tcPr>
                  <w:tcW w:type="dxa" w:w="7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255210-02720</w:t>
                  </w:r>
                </w:p>
              </w:tc>
              <w:tc>
                <w:tcPr>
                  <w:tcW w:type="dxa" w:w="3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9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真空箱金属网罩</w:t>
                  </w:r>
                </w:p>
              </w:tc>
              <w:tc>
                <w:tcPr>
                  <w:tcW w:type="dxa" w:w="7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255010-16420</w:t>
                  </w:r>
                </w:p>
              </w:tc>
              <w:tc>
                <w:tcPr>
                  <w:tcW w:type="dxa" w:w="3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9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其他附件</w:t>
                  </w:r>
                </w:p>
              </w:tc>
              <w:tc>
                <w:tcPr>
                  <w:tcW w:type="dxa" w:w="7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bl>
          <w:p>
            <w:pPr>
              <w:pStyle w:val="null3"/>
              <w:jc w:val="both"/>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2"/>
              </w:rPr>
              <w:t>2</w:t>
            </w:r>
            <w:r>
              <w:rPr>
                <w:rFonts w:ascii="仿宋_GB2312" w:hAnsi="仿宋_GB2312" w:cs="仿宋_GB2312" w:eastAsia="仿宋_GB2312"/>
                <w:sz w:val="22"/>
              </w:rPr>
              <w:t>、五家渠公检实验室</w:t>
            </w:r>
            <w:r>
              <w:rPr>
                <w:rFonts w:ascii="仿宋_GB2312" w:hAnsi="仿宋_GB2312" w:cs="仿宋_GB2312" w:eastAsia="仿宋_GB2312"/>
                <w:sz w:val="22"/>
              </w:rPr>
              <w:t>2025</w:t>
            </w:r>
            <w:r>
              <w:rPr>
                <w:rFonts w:ascii="仿宋_GB2312" w:hAnsi="仿宋_GB2312" w:cs="仿宋_GB2312" w:eastAsia="仿宋_GB2312"/>
                <w:sz w:val="22"/>
              </w:rPr>
              <w:t>年度</w:t>
            </w:r>
            <w:r>
              <w:rPr>
                <w:rFonts w:ascii="仿宋_GB2312" w:hAnsi="仿宋_GB2312" w:cs="仿宋_GB2312" w:eastAsia="仿宋_GB2312"/>
                <w:sz w:val="22"/>
              </w:rPr>
              <w:t>HVI</w:t>
            </w:r>
            <w:r>
              <w:rPr>
                <w:rFonts w:ascii="仿宋_GB2312" w:hAnsi="仿宋_GB2312" w:cs="仿宋_GB2312" w:eastAsia="仿宋_GB2312"/>
                <w:sz w:val="22"/>
              </w:rPr>
              <w:t>仪器备件采购清单</w:t>
            </w:r>
          </w:p>
          <w:tbl>
            <w:tblPr>
              <w:tblBorders>
                <w:top w:val="none" w:color="000000" w:sz="4"/>
                <w:left w:val="none" w:color="000000" w:sz="4"/>
                <w:bottom w:val="none" w:color="000000" w:sz="4"/>
                <w:right w:val="none" w:color="000000" w:sz="4"/>
                <w:insideH w:val="none"/>
                <w:insideV w:val="none"/>
              </w:tblBorders>
            </w:tblPr>
            <w:tblGrid>
              <w:gridCol w:w="304"/>
              <w:gridCol w:w="931"/>
              <w:gridCol w:w="713"/>
              <w:gridCol w:w="313"/>
              <w:gridCol w:w="280"/>
            </w:tblGrid>
            <w:tr>
              <w:tc>
                <w:tcPr>
                  <w:tcW w:type="dxa" w:w="3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序号</w:t>
                  </w:r>
                </w:p>
              </w:tc>
              <w:tc>
                <w:tcPr>
                  <w:tcW w:type="dxa" w:w="9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零件名称</w:t>
                  </w:r>
                </w:p>
              </w:tc>
              <w:tc>
                <w:tcPr>
                  <w:tcW w:type="dxa" w:w="7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零件编号</w:t>
                  </w:r>
                </w:p>
              </w:tc>
              <w:tc>
                <w:tcPr>
                  <w:tcW w:type="dxa" w:w="3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单位</w:t>
                  </w:r>
                </w:p>
              </w:tc>
              <w:tc>
                <w:tcPr>
                  <w:tcW w:type="dxa" w:w="2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数量</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开门中轴</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255010-03101</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件</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MIC</w:t>
                  </w:r>
                  <w:r>
                    <w:rPr>
                      <w:rFonts w:ascii="仿宋_GB2312" w:hAnsi="仿宋_GB2312" w:cs="仿宋_GB2312" w:eastAsia="仿宋_GB2312"/>
                      <w:sz w:val="22"/>
                    </w:rPr>
                    <w:t>门上木塞</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255110-01360</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件</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2010</w:t>
                  </w:r>
                  <w:r>
                    <w:rPr>
                      <w:rFonts w:ascii="仿宋_GB2312" w:hAnsi="仿宋_GB2312" w:cs="仿宋_GB2312" w:eastAsia="仿宋_GB2312"/>
                      <w:sz w:val="22"/>
                    </w:rPr>
                    <w:t>年版马克隆盖子新式</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255100-18141</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件</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梳齿轨道电机</w:t>
                  </w:r>
                  <w:r>
                    <w:rPr>
                      <w:rFonts w:ascii="仿宋_GB2312" w:hAnsi="仿宋_GB2312" w:cs="仿宋_GB2312" w:eastAsia="仿宋_GB2312"/>
                      <w:sz w:val="22"/>
                    </w:rPr>
                    <w:t>/</w:t>
                  </w:r>
                  <w:r>
                    <w:rPr>
                      <w:rFonts w:ascii="仿宋_GB2312" w:hAnsi="仿宋_GB2312" w:cs="仿宋_GB2312" w:eastAsia="仿宋_GB2312"/>
                      <w:sz w:val="22"/>
                    </w:rPr>
                    <w:t>长强塔轨道电机</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255140-01900</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件</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取样器电机</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255140-01910</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件</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轨道马达执行组件覆盖片</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256700-00715</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件</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50</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毛刷</w:t>
                  </w:r>
                  <w:r>
                    <w:rPr>
                      <w:rFonts w:ascii="仿宋_GB2312" w:hAnsi="仿宋_GB2312" w:cs="仿宋_GB2312" w:eastAsia="仿宋_GB2312"/>
                      <w:sz w:val="22"/>
                    </w:rPr>
                    <w:t>24V</w:t>
                  </w:r>
                  <w:r>
                    <w:rPr>
                      <w:rFonts w:ascii="仿宋_GB2312" w:hAnsi="仿宋_GB2312" w:cs="仿宋_GB2312" w:eastAsia="仿宋_GB2312"/>
                      <w:sz w:val="22"/>
                    </w:rPr>
                    <w:t>电机</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255140-02636</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件</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前夹钳</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255130-00250</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件</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50</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后夹钳</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255130-00180</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件</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互锁开关</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256570-00320</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件</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地脚固定螺丝</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256850-01460</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件</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键盘</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255010-19236</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件</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13</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样品压板四角气缸（下）</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256760-02420</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件</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安全门传感器接收连接线</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255310-07350</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件</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毛刷</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256899-00170</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件</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w:t>
                  </w:r>
                </w:p>
              </w:tc>
            </w:tr>
          </w:tbl>
          <w:p>
            <w:pPr>
              <w:pStyle w:val="null3"/>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自合同签订之日起60日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验收合格后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由采购人和成交供应商共同对项目合同内容进行整体验收。其内容包括是否按照采购人要求进行货物交付以及相关服务、是否在规定时间内交付完毕。 其他事项： 1、验收合格后，填写政府采购项目验收单作为对本合同内容的最终认可。 2、服务商向采购人提供合同内容过程中的所有资料, 以便采购人日后管理和维护。 3、验收依据 3.1采购文件、响应文件、澄清表（函）； 3.2本合同及附件文本； 3.3国家相应的标准、规范。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rFonts w:ascii="仿宋_GB2312" w:hAnsi="仿宋_GB2312" w:cs="仿宋_GB2312" w:eastAsia="仿宋_GB2312"/>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自验收合格之日起1年，如1年内配件出现质量问题，需供应商及时更换。</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依据《中华人民共和国民法典》、《中华人民共和国政府采购法》的相关条款和本合同约定，中标人未全面履行合同义务或者发生违约，采购人会同谈判组织机构有权终止合同，依法向中标人进行经济索赔，并报请政府采购监督管理机关进行相应的行政处罚。采购人违约的，应当赔偿给中标人造成的经济损失。 2、由于乙方提供的成果质量不合格或因乙方其他原因导致验收无法通过的， 乙方应负责在甲方规定的期限内无偿给予重测或采取补救措施，直到达到质量要求。若乙方无偿给予重测或采取补救措施后，仍不能达到质量要求的，甲方有权单方面解除本合同，甲方解除合同的，乙方除返还已收取的价款，向甲方支付本合同价款20%的违约金，还应赔偿由此给甲方造成的全部损失，范围包括给甲方造成的实 际损失、可预期利益、因委托第三方而支付的费用，以及甲方因维权所产生的诉讼费、律师费、公证费、保全费、差旅费等全部相关费用。</w:t>
      </w:r>
    </w:p>
    <w:p>
      <w:pPr>
        <w:pStyle w:val="null3"/>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弃标须知：根据市财函【2021】431号文第16条规定：供应商登记免费领取采购文件的，如不参与项目投标，应在递交投标（或响应）文件截止时间前一日以书面形式告知采购代理机构。否则，采购代理机构可以向财政部门反应情况并提供佐证。供应商一年内累计出现三次该情形，将被监管部门记录为失信行为。 3.供应商需要在线提交所有通过电子化交易平台实施的政府采购项目的投标文件，同时，中标供应商须在发布成交公告后线下提交投标文件正本壹份、副本贰份。 线下提交投标文件地点：西安市高新区唐延路旺座现代城 C 座 25 楼 2502室 ；联系电话：029-88319689转8006 邮箱：sxwzzb@126.com；</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2供应商资格证明资料.docx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2025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供应商提供2025年1月至今已缴纳的至少一个月纳税证明或完税证明，依法免税的单位应提供相关证明材料（以税款所属期为准）；</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提供经会计师事务所审计的2023年或2024年财务审计报告（报告须带有二维码可验证）或在开标日期前六个月内其基本开户银行出具的资信证明；</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供应商应出具参加本次政府采购活动前3年内在经营活动中没有重大违法违纪，以及未被列入失信被执行人、重大税收违法案件当事人名单、政府采购严重违法失信行为记录名单的书面声明；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法人授权书</w:t>
            </w:r>
          </w:p>
        </w:tc>
        <w:tc>
          <w:tcPr>
            <w:tcW w:type="dxa" w:w="3322"/>
          </w:tcPr>
          <w:p>
            <w:pPr>
              <w:pStyle w:val="null3"/>
            </w:pPr>
            <w:r>
              <w:rPr>
                <w:rFonts w:ascii="仿宋_GB2312" w:hAnsi="仿宋_GB2312" w:cs="仿宋_GB2312" w:eastAsia="仿宋_GB2312"/>
              </w:rPr>
              <w:t>非法定代表人参加投标，须提供法定代表人授权委托书及被授权人身份证；法定代表人参加投标时,须提供法定代表人身份证；</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产品授权书</w:t>
            </w:r>
          </w:p>
        </w:tc>
        <w:tc>
          <w:tcPr>
            <w:tcW w:type="dxa" w:w="3322"/>
          </w:tcPr>
          <w:p>
            <w:pPr>
              <w:pStyle w:val="null3"/>
            </w:pPr>
            <w:r>
              <w:rPr>
                <w:rFonts w:ascii="仿宋_GB2312" w:hAnsi="仿宋_GB2312" w:cs="仿宋_GB2312" w:eastAsia="仿宋_GB2312"/>
              </w:rPr>
              <w:t>若所投产品为进口产品的，供应商须提供产品厂家授权书或总代理商授权书或具有授权权限的供应商对所投进口产品的授权书。（如提供代理商授权的须同时提供具有有效授权权限的相关证明文件，证明文件需能显示产品制造厂家对所投产品授权链条的完整性）。</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本项目不接受联合体参与。</w:t>
            </w:r>
          </w:p>
        </w:tc>
        <w:tc>
          <w:tcPr>
            <w:tcW w:type="dxa" w:w="1661"/>
          </w:tcPr>
          <w:p>
            <w:pPr>
              <w:pStyle w:val="null3"/>
            </w:pPr>
            <w:r>
              <w:rPr>
                <w:rFonts w:ascii="仿宋_GB2312" w:hAnsi="仿宋_GB2312" w:cs="仿宋_GB2312" w:eastAsia="仿宋_GB2312"/>
              </w:rPr>
              <w:t>2供应商资格证明资料.docx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落实的政府采购政策</w:t>
            </w:r>
          </w:p>
        </w:tc>
        <w:tc>
          <w:tcPr>
            <w:tcW w:type="dxa" w:w="3322"/>
          </w:tcPr>
          <w:p>
            <w:pPr>
              <w:pStyle w:val="null3"/>
            </w:pPr>
            <w:r>
              <w:rPr>
                <w:rFonts w:ascii="仿宋_GB2312" w:hAnsi="仿宋_GB2312" w:cs="仿宋_GB2312" w:eastAsia="仿宋_GB2312"/>
              </w:rPr>
              <w:t>1）《国务院办公厅关于建立政府强制采购节能产品制度的通知》（国办发〔2007〕51号）； 2）《财政部 司法部关于政府采购支持监狱企业发展有关问题的通知》（财库〔2014〕68号）； 3）《三部门联合发布关于促进残疾人就业政府采购政策的通知》（财库〔2017〕141号）； 4）《关于调整优化节能产品、环境标志产品政府采购执行机制的通知》（财库〔2019〕9号）； 5）《关于运用政府采购政策支持乡村产业振兴的通知》（财库〔2021〕19号）； 6）《政府采购促进中小企业发展管理办法》（财库〔2020〕46号）； 7）陕西省财政厅关于印发《陕西省中小企业政府采购信用融资办法》（陕财办采〔2018〕23号）； 8）《关于进一步加大政府采购支持中小企业力度的通知》（财库〔2022〕19号）； 9）《关于扩大政府采购支持绿色建材促进建筑品质提升政策实施范围的通知》（财库〔2022〕35号）； 10）其他需要落实的最新的政府采购政策</w:t>
            </w:r>
          </w:p>
        </w:tc>
        <w:tc>
          <w:tcPr>
            <w:tcW w:type="dxa" w:w="1661"/>
          </w:tcPr>
          <w:p>
            <w:pPr>
              <w:pStyle w:val="null3"/>
            </w:pPr>
            <w:r>
              <w:rPr>
                <w:rFonts w:ascii="仿宋_GB2312" w:hAnsi="仿宋_GB2312" w:cs="仿宋_GB2312" w:eastAsia="仿宋_GB2312"/>
              </w:rPr>
              <w:t>响应文件封面 残疾人福利性单位声明函 中小企业声明函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响应报价是否超过预算或文件中标明的最高限价</w:t>
            </w:r>
          </w:p>
        </w:tc>
        <w:tc>
          <w:tcPr>
            <w:tcW w:type="dxa" w:w="1661"/>
          </w:tcPr>
          <w:p>
            <w:pPr>
              <w:pStyle w:val="null3"/>
            </w:pPr>
            <w:r>
              <w:rPr>
                <w:rFonts w:ascii="仿宋_GB2312" w:hAnsi="仿宋_GB2312" w:cs="仿宋_GB2312" w:eastAsia="仿宋_GB2312"/>
              </w:rPr>
              <w:t>1分项报价表.docx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交货期、质保期</w:t>
            </w:r>
          </w:p>
        </w:tc>
        <w:tc>
          <w:tcPr>
            <w:tcW w:type="dxa" w:w="3322"/>
          </w:tcPr>
          <w:p>
            <w:pPr>
              <w:pStyle w:val="null3"/>
            </w:pPr>
            <w:r>
              <w:rPr>
                <w:rFonts w:ascii="仿宋_GB2312" w:hAnsi="仿宋_GB2312" w:cs="仿宋_GB2312" w:eastAsia="仿宋_GB2312"/>
              </w:rPr>
              <w:t>交货期、质保期是否满足单一来源文件要求</w:t>
            </w:r>
          </w:p>
        </w:tc>
        <w:tc>
          <w:tcPr>
            <w:tcW w:type="dxa" w:w="1661"/>
          </w:tcPr>
          <w:p>
            <w:pPr>
              <w:pStyle w:val="null3"/>
            </w:pPr>
            <w:r>
              <w:rPr>
                <w:rFonts w:ascii="仿宋_GB2312" w:hAnsi="仿宋_GB2312" w:cs="仿宋_GB2312" w:eastAsia="仿宋_GB2312"/>
              </w:rPr>
              <w:t>标的清单 3商务和技术响应偏离表.docx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响应文件签字、盖章是否满足单一来源文件要求</w:t>
            </w:r>
          </w:p>
        </w:tc>
        <w:tc>
          <w:tcPr>
            <w:tcW w:type="dxa" w:w="1661"/>
          </w:tcPr>
          <w:p>
            <w:pPr>
              <w:pStyle w:val="null3"/>
            </w:pPr>
            <w:r>
              <w:rPr>
                <w:rFonts w:ascii="仿宋_GB2312" w:hAnsi="仿宋_GB2312" w:cs="仿宋_GB2312" w:eastAsia="仿宋_GB2312"/>
              </w:rPr>
              <w:t>响应文件封面 1分项报价表.docx 标的清单 3商务和技术响应偏离表.docx 报价表 响应函 2供应商资格证明资料.docx 5供应商承诺书.docx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响应有效期是否满足单一来源文件要求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未与采购文件商务要求条款不一致或未增加了采购人难以接受的条款</w:t>
            </w:r>
          </w:p>
        </w:tc>
        <w:tc>
          <w:tcPr>
            <w:tcW w:type="dxa" w:w="1661"/>
          </w:tcPr>
          <w:p>
            <w:pPr>
              <w:pStyle w:val="null3"/>
            </w:pPr>
            <w:r>
              <w:rPr>
                <w:rFonts w:ascii="仿宋_GB2312" w:hAnsi="仿宋_GB2312" w:cs="仿宋_GB2312" w:eastAsia="仿宋_GB2312"/>
              </w:rPr>
              <w:t>3商务和技术响应偏离表.docx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法律法规和实质性要求</w:t>
            </w:r>
          </w:p>
        </w:tc>
        <w:tc>
          <w:tcPr>
            <w:tcW w:type="dxa" w:w="3322"/>
          </w:tcPr>
          <w:p>
            <w:pPr>
              <w:pStyle w:val="null3"/>
            </w:pPr>
            <w:r>
              <w:rPr>
                <w:rFonts w:ascii="仿宋_GB2312" w:hAnsi="仿宋_GB2312" w:cs="仿宋_GB2312" w:eastAsia="仿宋_GB2312"/>
              </w:rPr>
              <w:t>是否符合法律法规和采购文件规定的其他实质性要求</w:t>
            </w:r>
          </w:p>
        </w:tc>
        <w:tc>
          <w:tcPr>
            <w:tcW w:type="dxa" w:w="1661"/>
          </w:tcPr>
          <w:p>
            <w:pPr>
              <w:pStyle w:val="null3"/>
            </w:pPr>
            <w:r>
              <w:rPr>
                <w:rFonts w:ascii="仿宋_GB2312" w:hAnsi="仿宋_GB2312" w:cs="仿宋_GB2312" w:eastAsia="仿宋_GB2312"/>
              </w:rPr>
              <w:t>4配送方案及售后方案.docx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详见附件：1分项报价表.docx</w:t>
      </w:r>
    </w:p>
    <w:p>
      <w:pPr>
        <w:pStyle w:val="null3"/>
        <w:ind w:firstLine="960"/>
      </w:pPr>
      <w:r>
        <w:rPr>
          <w:rFonts w:ascii="仿宋_GB2312" w:hAnsi="仿宋_GB2312" w:cs="仿宋_GB2312" w:eastAsia="仿宋_GB2312"/>
        </w:rPr>
        <w:t>详见附件：2供应商资格证明资料.docx</w:t>
      </w:r>
    </w:p>
    <w:p>
      <w:pPr>
        <w:pStyle w:val="null3"/>
        <w:ind w:firstLine="960"/>
      </w:pPr>
      <w:r>
        <w:rPr>
          <w:rFonts w:ascii="仿宋_GB2312" w:hAnsi="仿宋_GB2312" w:cs="仿宋_GB2312" w:eastAsia="仿宋_GB2312"/>
        </w:rPr>
        <w:t>详见附件：3商务和技术响应偏离表.docx</w:t>
      </w:r>
    </w:p>
    <w:p>
      <w:pPr>
        <w:pStyle w:val="null3"/>
        <w:ind w:firstLine="960"/>
      </w:pPr>
      <w:r>
        <w:rPr>
          <w:rFonts w:ascii="仿宋_GB2312" w:hAnsi="仿宋_GB2312" w:cs="仿宋_GB2312" w:eastAsia="仿宋_GB2312"/>
        </w:rPr>
        <w:t>详见附件：4配送方案及售后方案.docx</w:t>
      </w:r>
    </w:p>
    <w:p>
      <w:pPr>
        <w:pStyle w:val="null3"/>
        <w:ind w:firstLine="960"/>
      </w:pPr>
      <w:r>
        <w:rPr>
          <w:rFonts w:ascii="仿宋_GB2312" w:hAnsi="仿宋_GB2312" w:cs="仿宋_GB2312" w:eastAsia="仿宋_GB2312"/>
        </w:rPr>
        <w:t>详见附件：5供应商承诺书.docx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