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版本号：SXHT-(CS)20250801.1B120250917001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“奋斗西安共谱新篇”全媒体传播项目(二次)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SXHT-(CS)20250801.1B1</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“奋斗西安共谱新篇”全媒体传播项目(二次)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SXHT-(CS)20250801.1B1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“奋斗西安共谱新篇”全媒体传播项目(二次)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“奋斗西安 共谱新篇”全媒体传播项目(二次)，具体内容详见竞争性磋商文件。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采购包1（“奋斗西安共谱新篇”全媒体传播项目）：属于专门面向中小企业采购。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2、法定代表人授权书：法定代表人授权书及身份证,被授权人须提供近半年内任意一个月的社保缴纳证明（法定代表人直接投标须提交法定代表人证明书及身份证）；</w:t>
      </w:r>
    </w:p>
    <w:p>
      <w:pPr>
        <w:pStyle w:val="null3"/>
      </w:pPr>
      <w:r>
        <w:rPr>
          <w:rFonts w:ascii="仿宋_GB2312" w:hAnsi="仿宋_GB2312" w:cs="仿宋_GB2312" w:eastAsia="仿宋_GB2312"/>
        </w:rPr>
        <w:t>3、财务状况报告：提供2024年度经审计的完整有效的财务报告(报告须带有二维码可验证,包括审计报告、资产负债表、利润表、现金流量表及其附注、会计师事务所营业执照、执业证书、注册会计师证书，成立时间至提交响应文件截止时间不足一年的可提供成立后任意时段的资产负债表），或其磋商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4、社会保障资金缴纳证明：投标单位提供2025年5月至今任意一个月的社会保障资金缴存单据或社保机构开具的社会保险参保缴费情况证明，依法不需要缴纳社会保障资金的投标单位应提供相关文件证明；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5、税收缴纳证明：投标单位提供2025年5月至今任意一个月的纳税证明或完税证明，纳税证明或完税证明上应有代收机构或税务机关的公章，依法免税的投标单位应提供相关文件证明；</w:t>
      </w:r>
    </w:p>
    <w:p>
      <w:pPr>
        <w:pStyle w:val="null3"/>
      </w:pPr>
      <w:r>
        <w:rPr>
          <w:rFonts w:ascii="仿宋_GB2312" w:hAnsi="仿宋_GB2312" w:cs="仿宋_GB2312" w:eastAsia="仿宋_GB2312"/>
        </w:rPr>
        <w:t>6、重大违法记录：参加政府采购活动前 3 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8、承诺函：提供具有履行服务合同所必需的设备和专业技术能力的承诺函；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10、中小企业声明函：本项目专门面向中小企业采购（须提供中小企业声明函）。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服务费参考《国家计委关于印发〈招标代理服务收费管理暂行办法&gt;的通知》（计价格【2002】1980号）及《国家发改委关于降低部分建设项目收费标准规范收费行为等有关问题的通知》（发改价格[2011]534号）规定按标准收取。招标代理服务费由中标（成交）供应商支付，在《中标/成交通知书》发出前，由中标（成交）供应商一次性支付给受托人。中标（成交）供应商延迟或拒绝付款的，由中标（成交）供应商承担责任，与委托人无关，受托人应向中标（成交）供应商主张权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和内容，供应商结合我方传播需求和重点，提供宣传策划方案，方案要求重点突出、内容细致、渠道多样，能够提供优质文字内容采写、制作、刊播等服务，形成较大宣传声势，由甲、乙方共同验收，符合国家相关规定及行业验收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联系人：田工、李工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“奋斗西安 共谱新篇”全媒体传播项目，“奋斗西安 共谱新篇”全媒体传播项目拟围绕“深化六个改革”重点工作，综合运用图文报道、音视频、创意海报、交互式H5及云直播等多元载体，在报纸专栏、新闻网站、社交媒体、移动客户端等全媒体平台，策划推出一批贴近群众、生动鲜活的精品力作。通过深度挖掘西安在经济高质量发展、民生福祉提升等领域的创新实践与典型经验，讲好改革发展故事。同时，联动开展线下主题参访系列活动，配套推出深度报道、评论文章及融媒体作品，构建“线上+线下”“内容+活动”的立体化传播矩阵，形成层次分明、亮点突出、协同联动的宣传合力，切实提升传播效能与社会影响力。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“奋斗西安 共谱新篇”全媒体传播项目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标的名称：“奋斗西安 共谱新篇”全媒体传播项目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一、项目概况</w:t>
            </w:r>
          </w:p>
          <w:p>
            <w:pPr>
              <w:pStyle w:val="null3"/>
              <w:ind w:firstLine="480"/>
              <w:jc w:val="both"/>
            </w:pPr>
            <w:r>
              <w:rPr>
                <w:rFonts w:ascii="仿宋_GB2312" w:hAnsi="仿宋_GB2312" w:cs="仿宋_GB2312" w:eastAsia="仿宋_GB2312"/>
                <w:sz w:val="21"/>
              </w:rPr>
              <w:t>该项目拟围绕“深化六个改革”重点工作主要内容，深入挖掘西安在经济高质量发展、民生福祉提升等领域的创新实践与典型经验，深度策划包装，构建“内容+活动”的立体化传播矩阵，线上线下推出“品读西安”“瞭望西安”全媒体传播内容，组织系列线下活动，全景展现西安经济社会发展成果，形成层次分明、亮点突出、协同联动的宣传合力，生动呈现西安改革惠民的实际成效，彰显城市发展的温度与活力。项目执行期一年。</w:t>
            </w:r>
          </w:p>
          <w:p>
            <w:pPr>
              <w:pStyle w:val="null3"/>
              <w:ind w:firstLine="480"/>
              <w:jc w:val="both"/>
            </w:pPr>
            <w:r>
              <w:rPr>
                <w:rFonts w:ascii="仿宋_GB2312" w:hAnsi="仿宋_GB2312" w:cs="仿宋_GB2312" w:eastAsia="仿宋_GB2312"/>
                <w:sz w:val="21"/>
              </w:rPr>
              <w:t>二、项目内容</w:t>
            </w:r>
          </w:p>
          <w:p>
            <w:pPr>
              <w:pStyle w:val="null3"/>
              <w:ind w:firstLine="480"/>
              <w:jc w:val="both"/>
            </w:pPr>
            <w:r>
              <w:rPr>
                <w:rFonts w:ascii="仿宋_GB2312" w:hAnsi="仿宋_GB2312" w:cs="仿宋_GB2312" w:eastAsia="仿宋_GB2312"/>
                <w:sz w:val="21"/>
              </w:rPr>
              <w:t>（一）传播重点和传播渠道</w:t>
            </w:r>
          </w:p>
          <w:p>
            <w:pPr>
              <w:pStyle w:val="null3"/>
              <w:ind w:firstLine="480"/>
              <w:jc w:val="both"/>
            </w:pPr>
            <w:r>
              <w:rPr>
                <w:rFonts w:ascii="仿宋_GB2312" w:hAnsi="仿宋_GB2312" w:cs="仿宋_GB2312" w:eastAsia="仿宋_GB2312"/>
                <w:sz w:val="21"/>
              </w:rPr>
              <w:t>1.开展全媒体宣传报道。以“深化六个改革”为牵引，重点聚焦我市经济发展和民生领域，深度策划包装，在报、网、微、端等全媒体平台，策划推出一大批正面报道稿件和形式多样的新媒体产品，深入挖掘全市上下在深化拓展“三个年”活动、打好“八场硬仗”和“深化六个改革”进程中的正面典型，集中宣传报道工作亮点成效，强化正向激励，汇聚干事创业合力。</w:t>
            </w:r>
          </w:p>
          <w:p>
            <w:pPr>
              <w:pStyle w:val="null3"/>
              <w:ind w:firstLine="480"/>
              <w:jc w:val="both"/>
            </w:pPr>
            <w:r>
              <w:rPr>
                <w:rFonts w:ascii="仿宋_GB2312" w:hAnsi="仿宋_GB2312" w:cs="仿宋_GB2312" w:eastAsia="仿宋_GB2312"/>
                <w:sz w:val="21"/>
              </w:rPr>
              <w:t>2.开展系列参访活动。分别组织青少年儿童、老年人、外地人和国际友人等不同群体参访我市著名历史文化胜地、新兴科创企业、现代城市地标、优质商业街区、生态绿地公园等亮点点位，联动各级各类媒体资源，配套推出系列稿件，报道好社会各界对我市推动“深化六个改革”重点工作的积极评价和深刻感受。</w:t>
            </w:r>
          </w:p>
          <w:p>
            <w:pPr>
              <w:pStyle w:val="null3"/>
              <w:ind w:firstLine="480"/>
              <w:jc w:val="both"/>
            </w:pPr>
            <w:r>
              <w:rPr>
                <w:rFonts w:ascii="仿宋_GB2312" w:hAnsi="仿宋_GB2312" w:cs="仿宋_GB2312" w:eastAsia="仿宋_GB2312"/>
                <w:sz w:val="21"/>
              </w:rPr>
              <w:t>3.根据工作需要，配合我部完成其它宣传策划。</w:t>
            </w:r>
          </w:p>
          <w:p>
            <w:pPr>
              <w:pStyle w:val="null3"/>
              <w:ind w:firstLine="480"/>
              <w:jc w:val="both"/>
            </w:pPr>
            <w:r>
              <w:rPr>
                <w:rFonts w:ascii="仿宋_GB2312" w:hAnsi="仿宋_GB2312" w:cs="仿宋_GB2312" w:eastAsia="仿宋_GB2312"/>
                <w:sz w:val="21"/>
              </w:rPr>
              <w:t>（二）预期效果</w:t>
            </w:r>
          </w:p>
          <w:p>
            <w:pPr>
              <w:pStyle w:val="null3"/>
              <w:ind w:firstLine="480"/>
              <w:jc w:val="both"/>
            </w:pPr>
            <w:r>
              <w:rPr>
                <w:rFonts w:ascii="仿宋_GB2312" w:hAnsi="仿宋_GB2312" w:cs="仿宋_GB2312" w:eastAsia="仿宋_GB2312"/>
                <w:sz w:val="21"/>
              </w:rPr>
              <w:t>该项目实施期间，将在纸媒刊发整版推广稿件1篇、重点图文稿件20篇，采编制发短视频产品60余条，预计综合传播量将超4000万，全方位展现西安以办好“30项为民实事”为重要抓手，全市上下锚定目标加油干、深化改革勇争先、全力为民办实事的生动实践与举措成效，生动呈现改革惠民的实际成效，彰显城市发展的温度与活力，切实增强市民群众的获得感、幸福感</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三、</w:t>
            </w:r>
            <w:r>
              <w:rPr>
                <w:rFonts w:ascii="仿宋_GB2312" w:hAnsi="仿宋_GB2312" w:cs="仿宋_GB2312" w:eastAsia="仿宋_GB2312"/>
                <w:sz w:val="21"/>
              </w:rPr>
              <w:t>采购内容：“奋斗西安 共谱新篇”全媒体传播项目拟围绕“深化六个改革”重点工作，综合运用图文报道、音视频、创意海报、交互式H5及云直播等多元载体，在报纸专栏、新闻网站、社交媒体、移动客户端等全媒体平台，策划推出一批贴近群众、生动鲜活的精品力作。通过深度挖掘西安在经济高质量发展、民生福祉提升等领域的创新实践与典型经验，讲好改革发展故事。同时，联动开展线下主题参访系列活动，配套推出深度报道、评论文章及融媒体作品，构建“线上+线下”“内容+活动”的立体化传播矩阵，形成层次分明、亮点突出、协同联动的宣传合力，切实提升传播效能与社会影响力。</w:t>
            </w:r>
          </w:p>
          <w:p>
            <w:pPr>
              <w:pStyle w:val="null3"/>
              <w:ind w:firstLine="561"/>
              <w:jc w:val="both"/>
            </w:pPr>
            <w:r>
              <w:rPr>
                <w:rFonts w:ascii="仿宋_GB2312" w:hAnsi="仿宋_GB2312" w:cs="仿宋_GB2312" w:eastAsia="仿宋_GB2312"/>
                <w:sz w:val="21"/>
              </w:rPr>
              <w:t>四、服务及验收要求：供应商结合我方传播需求和重点，提供宣传策划方案，方案要求重点突出、内容细致、渠道多样，能够提供优质文字内容采写、制作、刊播等服务，形成较大宣传声势。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代理服务费：招标服务费参考《国家计委关于印发〈招标代理服务收费管理暂行办法&gt;的通知》（计价格【2002】1980号）及《国家发改委关于降低部分建设项目收费标准规范收费行为等有关问题的通知》（发改价格[2011]534号）规定按标准收取。招标代理服务费由中标（成交）供应商支付，在《中标/成交通知书》发出前，由中标（成交）供应商一次性支付给受托人。中标（成交）供应商延迟或拒绝付款的，由中标（成交）供应商承担责任，与委托人无关，受托人应向中标（成交）供应商主张权利。 2、供应商将招标代理服务费计入投标报价但不单独列明，成交供应商在领取成交通知书前，须向采购代理机构一次性支付招标代理服务费；代理服务费以转账、电汇或现金等形式交纳。</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1.采购时间安排：部务会议题通过后按程序采购 2.实施进度安排：合同签订之日起一年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和内容，供应商结合我方传播需求和重点，提供宣传策划方案，方案要求重点突出、内容细致、渠道多样，能够提供优质文字内容采写、制作、刊播等服务，形成较大宣传声势，由甲、乙方共同验收，符合国家相关规定及行业验收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在项目结束、供应商出具结项报告、第三方验收完成后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履约验收费按定额收取为人民币 4800.00 元，履约验收费由中共西安市委宣传部支付，于验收工作完成后一次性支付给陕西海堂项目管理咨询有限公司。付款前，陕西海堂项目管理咨询有限公司应当向中共西安市委宣传部开具符合要求的增值税发票。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授权书.docx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法定代表人授权书及身份证,被授权人须提供近半年内任意一个月的社保缴纳证明（法定代表人直接投标须提交法定代表人证明书及身份证）；</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的财务报告(报告须带有二维码可验证,包括审计报告、资产负债表、利润表、现金流量表及其附注、会计师事务所营业执照、执业证书、注册会计师证书，成立时间至提交响应文件截止时间不足一年的可提供成立后任意时段的资产负债表），或其磋商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投标单位提供2025年5月至今任意一个月的社会保障资金缴存单据或社保机构开具的社会保险参保缴费情况证明，依法不需要缴纳社会保障资金的投标单位应提供相关文件证明；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投标单位提供2025年5月至今任意一个月的纳税证明或完税证明，纳税证明或完税证明上应有代收机构或税务机关的公章，依法免税的投标单位应提供相关文件证明；</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参加政府采购活动前 3 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 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本项目专门面向中小企业采购（须提供中小企业声明函）。</w:t>
            </w:r>
          </w:p>
        </w:tc>
        <w:tc>
          <w:tcPr>
            <w:tcW w:type="dxa" w:w="1661"/>
          </w:tcPr>
          <w:p>
            <w:pPr>
              <w:pStyle w:val="null3"/>
            </w:pPr>
            <w:r>
              <w:rPr>
                <w:rFonts w:ascii="仿宋_GB2312" w:hAnsi="仿宋_GB2312" w:cs="仿宋_GB2312" w:eastAsia="仿宋_GB2312"/>
              </w:rPr>
              <w:t>中小企业声明函 供应商应提交的相关资格证明材料 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活动策划及组织实施方案</w:t>
            </w:r>
          </w:p>
        </w:tc>
        <w:tc>
          <w:tcPr>
            <w:tcW w:type="dxa" w:w="2492"/>
          </w:tcPr>
          <w:p>
            <w:pPr>
              <w:pStyle w:val="null3"/>
            </w:pPr>
            <w:r>
              <w:rPr>
                <w:rFonts w:ascii="仿宋_GB2312" w:hAnsi="仿宋_GB2312" w:cs="仿宋_GB2312" w:eastAsia="仿宋_GB2312"/>
              </w:rPr>
              <w:t>综合考虑供应商提供的“奋斗西安 共谱新篇”全媒体传播项目策划方案，方案要求细致完整、可行性高；内容详尽，对采购需求的响应程度。方案包括但不限于：①整体的工作内容理解分析②提供全媒体传播的制作思路③传统渠道策划方案④融媒产品策划方案⑤主题活动策划方案⑥项目质量控制策划方案⑦视频制作策划方案⑧活动推广策划方案⑨线下组织策划方案⑩具有严格的内容发布、审核流程管理方案，整体媒体传播方案全面有针对性，能充分利用各类媒体，能够全方位多角度宣传本次活动的重点亮点，有效扩大活动传播力、影响力、覆盖面。 评审标准：①完善性：方案必须全面，对评审内容中的各项要求有详细阐述；②可实施性：切合本项目实际情况，提出步骤清晰、合理的方案；③针对性：方案能够紧扣项目实际情况，内容科学合理。 上述10项评审内容全部满足评审标准得30分，每有一个评审内容缺项扣3分，每项评审内容如存在缺陷，每个缺陷扣1分，扣完为止。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根据投标人制定本项目的工作管理措施及人员管理制度：包括①工作管理制度；②工作操作规程；③工作管理机制；④人员管理方案进行打分。 评审标准：①完善性：方案必须全面，对评审内容中的各项要求有详细阐述；②可实施性：切合本项目实际情况，提出步骤清晰、合理的方案；③针对性：方案能够紧扣项目实际情况，内容科学合理。 上述4项评审内容全部满足评审标准得10分，每有一个评审内容缺项扣2.5分，每项评审内容如存在缺陷，每个缺陷扣1分，扣完为止。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根据本项目实际需求及特点，制定进度保障方案，方案包括：①各阶段工作流程；②进度计划目标；③进度控制措施。方案必须全面，对评审内容中的各项要求有详细描述，切合本项目实际情况，提出步骤清晰、合理的方案，方案能够紧扣项目实际情况，内容科学合理。 评审标准：①完善性：方案必须全面，对评审内容中的各项要求有详细阐述；②可实施性：切合本项目实际情况，提出步骤清晰、合理的方案；③针对性：方案能够紧扣项目实际情况，内容科学合理。 上述3项评审内容全部满足评审标准得9分，每有一个评审内容缺项扣3分，每项评审内容如存在缺陷，每个缺陷扣1分，扣完为止。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设备保障方案</w:t>
            </w:r>
          </w:p>
        </w:tc>
        <w:tc>
          <w:tcPr>
            <w:tcW w:type="dxa" w:w="2492"/>
          </w:tcPr>
          <w:p>
            <w:pPr>
              <w:pStyle w:val="null3"/>
            </w:pPr>
            <w:r>
              <w:rPr>
                <w:rFonts w:ascii="仿宋_GB2312" w:hAnsi="仿宋_GB2312" w:cs="仿宋_GB2312" w:eastAsia="仿宋_GB2312"/>
              </w:rPr>
              <w:t>提供本次活动拟投入设备的保障方案，方案内容包括但不限于①设备来源②设备型号③设备种类④设备数量⑤承诺其成交后投入专业设备用于拍摄全景内容，确保拍摄和后期制作效果能够达到项目要求。 评审标准：①完善性：方案必须全面，对评审内容中的各项要求有详细阐述；②可实施性：切合本项目实际情况，提出步骤清晰、合理的方案；③针对性：方案能够紧扣项目实际情况，内容科学合理。 上述5项评审内容全部满足评审标准得10分，每有一个评审内容缺项扣2分，每项评审内容如存在缺陷，每个缺陷扣1分，扣完为止。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供应商针对本项目可能发生突发情况的应急预案，对可能发生的突发情况①具备详细的紧急处置方案②完善的防护措施，处置方案及防护措施全部内容均能对项目开展提供保障作用。 评审标准：①完善性：方案必须全面，对评审内容中的各项要求有详细阐述；②可实施性：切合本项目实际情况，提出步骤清晰、合理的方案；③针对性：方案能够紧扣项目实际情况，内容科学合理。 上述2项评审内容全部满足评审标准得6分，每有一个评审内容缺项扣3分，每项评审内容如存在缺陷，每个缺陷扣1分，扣完为止。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 具备较强的组织协调和统筹能力，具备丰富的类似项目的组织经验的，每提供1份，得1分，最高得2分。 评审依据：拟派项目负责人以往担任过类似项目负责人的相关证明材料（以合同复印件为准） 2、团队综合情况 拟派本项目人员数量完全满足项目服务要求，且人员具有编辑、文案、设计、策划、视频拍摄、剪辑人员、相关专业策划人员等类似项目经验齐全面（需提供相关证明材料），完全满足项目需求，岗位职责明晰有针对性得8分；拟派本项目人员数量基本满足项目服务要求，有部分人员有一定类似项目经验，（需提供相关证明材料），基本满足项目需求，岗位职责不明确或无针对性得5分；拟派本项目人员数量基本满足项目服务要求，有部分人员有一定类似项目经验，岗位职责不明确或无针对性得2分； 评审依据：团队人员名单、学历证书或其他证明材料等，并加盖供应商公章。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要求能够充分保证达到项目实施目的，有详细的服务承诺，且承诺内容具有可行性，满足采购人实际需求，定期向采购人进行工作的进展和工作阶段成果的例行汇报等。承诺全面可行得5分；承诺较好、可操作性较强得3分；诺一般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供应商须提供近三年（2022年8月至今）类似项目业绩，每提供1个得2分，最高得10分。 注：响应文件中提供合同或中标通知书复印件并加盖公章。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 注：1、计算分数时四舍五入取小数点后两位。 2、专门面向中小企业采购项目不享受优惠政策。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