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版本号：DX2025-24020250917001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新生儿类医疗设备采购项目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DX2025-240</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新生儿类医疗设备采购项目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新生儿类医疗设备采购项目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西安市人民医院（西安市第四医院）新生儿类医疗设备采购项目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2024年度财务报告或投标前六个月内其基本账户银行出具的资信证明或财政部门认可的政府采购专业担保机构出具的担保函，以上形式的证明资料提供任何一种即可。3、提供已缴存的 2024年8月1日以来至少三个月的社会保障资金缴存单据或社保机构开具的社会保险参保缴费情况证明。成立时间至提交投标文件截止时间不足一个月或依法不需要缴纳社会保障资金的投标人应提供相关文件证明。4、提供已缴纳的 2024年8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4、非联合体投标声明：本项目不接受联合体投标。（投标人自行出具非联合体投标声明）</w:t>
      </w:r>
    </w:p>
    <w:p>
      <w:pPr>
        <w:pStyle w:val="null3"/>
      </w:pPr>
      <w:r>
        <w:rPr>
          <w:rFonts w:ascii="仿宋_GB2312" w:hAnsi="仿宋_GB2312" w:cs="仿宋_GB2312" w:eastAsia="仿宋_GB2312"/>
        </w:rPr>
        <w:t>5、特定资格：①投标产品属于医疗器械管理的须提供所投产品的《医疗器械产品注册证》；进口设备需提供“进”字号产品注册证及完整的授权链，且授权范围需包含本次采购项目内容。 ②投标人为生产厂家的须提供《医疗器械生产许可证》，投标人为代理商的须提供《医疗器械经营许可证》或《医疗器械经营备案证》。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小儿呼吸机是临床常用急救和生命支持设备，是抢救工作中不可替代的设备，高端呼吸机的采购，有利于提高抢救水平，提高病患恢复，更好的推动本学科建设，提高科室乃至全院在整个地区的影响力。 婴儿转运培养箱：危重新生儿转运是以区域性新生儿重症监护室(NICU)为中心的主动式转运系统而建立。实现上下级医院及各科室之间的无缝转运，由于转运途中的空间与环境较医院内难以控制，转运前应尽可能使患儿达到最佳的稳定状态，这是转运的基本原则，而转运途中的有效护理则是转运安全的关键，使患儿在转运途中得到相当于新生儿重症监护病房的医疗和护理，保证患儿安全到达NICU病房，接受进一步的治疗护理。 采购清单： 品目1 小儿呼吸机 采购数量2套 分项预算110万元 分项限价110万元（含财政专项资金70万元，财政性资金40万元）已做进口论证；品目2 婴儿转运培养箱 采购数量1套 分项预算19.5万元 分项限价19万元（含财政专项资金8万元，财政性资金11万元）；品目3 小儿呼吸机 采购数量1套 分项预算55万元 分项限价26万元（含财政专项资金20万元，财政性资金6万元）已做进口论证。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1,845,000.00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新生儿类医疗设备采购项目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标的名称：新生儿类医疗设备采购项目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品目1：小儿呼吸机（进口）（核心产品），数量：2套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适用范围：用于早产儿、新生儿、儿童。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通气模式：持续气道正压通气（CPAP）、控制指令通气（CMV）、同步间歇指令通气（SIMV）、患者触发通气（PTV）、压力支持通气（PSV）、高频振荡通气（HFOV）经鼻持续气道正压通气（nCPAP）、无创正压通气（NIPPV）、触发式无创正压通气（NIPPV.Tr）、经鼻无创高频正压通气（nHFOV） 目标潮气量（VTV）可以叠加模式：控制指令通气（CMV）、同步间隙指令通气（SIMV）、患者触发通气（PTV）、高频振荡通气（HFOV）。</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具备高流量氧疗功能</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潮气量：2-150ml</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震荡振幅：5-50mbar</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震荡频率：5-20Hz</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触发方式：流量或压力，</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触发调节范围：流量触发调节：0.5-5min。</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监测参数：呼末正压、峰值压、平均压、流量、氧浓度、自主呼吸频率、呼气时间、吸呼比、泄漏率、振幅、振荡频率、气道阻力和肺顺应性二氧化碳弥散系数。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报警方式：声、光报警音量可调节，文字信息显示。</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报警功能：具有压力报警、潮气量报警、漏气报警、呼吸频率报警、窒息报警、管路堵塞报警等。</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呼吸管路：重复性呼吸管路</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氧电池：氧浓度21%-100%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呼吸频率：2-150/min</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湿化器：具有自动加温湿化装置</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电池续航：≥2小时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全中文操作界面</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显示器：≥10英寸彩色触摸屏</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主机/显示一体机</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配置要求:（单台配置）</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呼吸机主机1台、主机支架1个、湿化器1个、水罐1个、模拟肺1个、呼吸回路吊架1个、儿童硅胶回路1个、新生儿硅胶回路1个、外伸譬1个、流量传感器连线1个、反复使用流式传感器2个、一次性流量传感器5个、高压供氧管1个、高压供气管1个</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品目2：婴儿转运培养箱，数量：1套</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具有单向出、回风空气循环系统，双层恒温罩。</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≥7英寸彩色液晶屏（触摸屏或按键方式操作）可显示设置温度、肤温、脉搏血氧、湿度、氧浓度等相关数据，屏幕亮度可调。</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具有婴儿约束限位装置设计。</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蓄电池满电的状态下连续工作时间≥2 小时，具有低电压报警功能。</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交流、直流电源可交互使用,支持救护车车载12V/24V电源输入。</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自然风道加湿，保证转运过程中的箱内湿化效果。</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具有拉出式床体设计。</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具有声光报警功能，趋势表记录设备运行数据功能，提供报警日志显示</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箱温控制范围25.0℃—37.0℃，精度±1.0℃。</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肤温控制范围34.0℃—37.0℃，精度：±0.3℃。</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箱体升温时间≤35min。</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具有脉搏血氧监测功能：具有SpO₂、PI和PR测量功能，以及SpO₂和PR报警上下限报警功能。</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具有氧浓度控制功能：控制范围为20%O</w:t>
            </w:r>
            <w:r>
              <w:rPr>
                <w:rFonts w:ascii="仿宋_GB2312" w:hAnsi="仿宋_GB2312" w:cs="仿宋_GB2312" w:eastAsia="仿宋_GB2312"/>
                <w:vertAlign w:val="subscript"/>
              </w:rPr>
              <w:t>2</w:t>
            </w:r>
            <w:r>
              <w:rPr>
                <w:rFonts w:ascii="仿宋_GB2312" w:hAnsi="仿宋_GB2312" w:cs="仿宋_GB2312" w:eastAsia="仿宋_GB2312"/>
              </w:rPr>
              <w:t>～65%O</w:t>
            </w:r>
            <w:r>
              <w:rPr>
                <w:rFonts w:ascii="仿宋_GB2312" w:hAnsi="仿宋_GB2312" w:cs="仿宋_GB2312" w:eastAsia="仿宋_GB2312"/>
                <w:vertAlign w:val="subscript"/>
              </w:rPr>
              <w:t>2</w:t>
            </w:r>
            <w:r>
              <w:rPr>
                <w:rFonts w:ascii="仿宋_GB2312" w:hAnsi="仿宋_GB2312" w:cs="仿宋_GB2312" w:eastAsia="仿宋_GB2312"/>
              </w:rPr>
              <w:t>,氧浓度显示范围：0%～100%。</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婴儿舱内噪音≤55dB(A)</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手动转运推车具有减震、锁定功能，可进行救护车转运，转运车空间可放置监护仪、转运呼吸机、T组合、呼吸湿化罐、空氧混合器、注射泵、输液泵、负压吸引器等设备。</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（二）配置要求:（配置）</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主机1套含（暖箱1个、4L氧气瓶两个、转运平台1个、专用手动转运推车1个）</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品目3：小儿呼吸机（进口），数量：1套</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符合新生儿转运呼吸机要求（提供第三方检测报告）。安全搭载于此次采购的婴儿转运培养箱上（注：提供承诺书或其他证明材料）。</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适用于30公斤以内的婴幼儿专用呼吸机。</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支持新生儿和小儿患者通气辅助及呼吸支持。</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驱动方式：气动电控或电动电控</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支持高压氧气气源和低压氧气气源两种方式。</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采用≥8英寸彩色电容触摸屏,同时显示波形和监测参数。</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全中文操作界面支持显示≥48小时全部监测参数趋势图表分析，≥1000条报警和操作日志记录，并可追溯。</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具备截屏等数据U盘导出功能。</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电池续航≥2小时。</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配置转运监护模块或转运监护。</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屏幕具有亮度自动调节功能及关机状态下显示电量。</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具有有创通气、无创通气、高频通气等模式。</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标配模式：容量控制/辅助通气模式V-A/C和容量同步间歇指令通气模式V-SIMV；压力控制/辅助通气模式P-A/C和压力同步间歇指令通气模式P-SIMV；压力调节容量控制通气（如AUTOFLOW或PRVC等）、压力调节容量控制-同步间歇指令通气模式（PRVC-SIMV）、持续气道正压通气模式/压力支持通气模式CPAP/PSV、NIPPV或双水平气道正压通气模式（如BIPAP或DuoLevel或BiLevel）。</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具有增氧、吸痰、吸气保持功能。</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潮气量：2-100ml</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吸气压力：5-60cmH</w:t>
            </w:r>
            <w:r>
              <w:rPr>
                <w:rFonts w:ascii="仿宋_GB2312" w:hAnsi="仿宋_GB2312" w:cs="仿宋_GB2312" w:eastAsia="仿宋_GB2312"/>
                <w:vertAlign w:val="subscript"/>
              </w:rPr>
              <w:t>2</w:t>
            </w:r>
            <w:r>
              <w:rPr>
                <w:rFonts w:ascii="仿宋_GB2312" w:hAnsi="仿宋_GB2312" w:cs="仿宋_GB2312" w:eastAsia="仿宋_GB2312"/>
              </w:rPr>
              <w:t>O</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呼气末正压：0—25cmH</w:t>
            </w:r>
            <w:r>
              <w:rPr>
                <w:rFonts w:ascii="仿宋_GB2312" w:hAnsi="仿宋_GB2312" w:cs="仿宋_GB2312" w:eastAsia="仿宋_GB2312"/>
                <w:vertAlign w:val="subscript"/>
              </w:rPr>
              <w:t>2</w:t>
            </w:r>
            <w:r>
              <w:rPr>
                <w:rFonts w:ascii="仿宋_GB2312" w:hAnsi="仿宋_GB2312" w:cs="仿宋_GB2312" w:eastAsia="仿宋_GB2312"/>
              </w:rPr>
              <w:t>O</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吸入氧浓度：21—100%</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吸气时间：0.1—2s</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具有压力触发及流速触发及漏气自动补偿功能。</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监测参数：氧浓度、分钟通气量、潮气量、气道压力、呼吸频率等关键参数。</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波形监测：压力—时间、流速—时间、容量—时间。</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报警：具有潮气量、通气量、压力、呼吸频率、窒息、氧浓度、氧气不足、电量不足、管路脱落、机器故障等报警功能。</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具有防尘、防水等功能。</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（二）配置要求:</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呼吸机主机1台、主机支架1个、可复消湿化器1个、水罐1个、模拟肺1个、呼吸回路吊架1个、儿童硅胶回路1个、新生儿硅胶回路1个、外伸臂1个、流量传感器连线1个、反复使用流量传感器2个、一次性流量传感器5个、高压供氧管1个、高压供气管1个，含可复消（新生儿呼吸管路4套、近病人流量传感器等原装附件各10套，新生儿专用鼻塞、鼻罩各型号10套）、转运监护模块或转运监护1台。</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无</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中标商需按照设备安装场地现场情况，及设备正常运行需求为目的，其中所产生的所有人工、材料、运输、安装、配套设备等费用均由中标方承担。</w:t>
            </w:r>
          </w:p>
        </w:tc>
      </w:tr>
      <w:tr>
        <w:tc>
          <w:tcPr>
            <w:tcW w:type="dxa" w:w="2769"/>
          </w:tcPr>
          <w:p>
            <w:pPr>
              <w:pStyle w:val="null3"/>
            </w:pPr>
            <w:r>
              <w:rPr>
                <w:rFonts w:ascii="仿宋_GB2312" w:hAnsi="仿宋_GB2312" w:cs="仿宋_GB2312" w:eastAsia="仿宋_GB2312"/>
              </w:rPr>
              <w:t>75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品目1至品目3整机质保期≥叁年（含光源灯泡等消耗性配件），质保期从验收合格之日起开始计算。质保期结束后提供设备维护的技术支持和指导，软件终身免费升级，质保期内，同一主要部件出现质量问题经过两次维修后仍无法正常使用，可以更换同型号、同规格的全新产品；服务响应时间不超过2小时，4小时内到达现场，48小时未修复的，提供同型号的备用机，由此产生的费用由乙方承担。（提供承诺书）</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提供生产厂家出具的品目1至品目3，≥3年的质保声明或质保承诺书。（进口产品由国内总代理提供质保声明或质保承诺书）</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提供陕西近五年内用户名单和相关联系方式。</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小儿呼吸机：配套专用耗材限价要求：</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①如配套耗材为集中带量采购产品，则投标价不得高于集采价；②如配套耗材为陕西省阳光采购限价产品，则投标价不得高于限价；②如配套耗材为陕西省阳光采购限价产品，则投标价不得高于限价；③如配套耗材未在陕西省阳光采购平台挂网，但该品目同功能产品已挂网，投标商须承诺如中标后45个工作日必须在陕西省阳光采购平台挂网（出具承诺函），若违反该规定中标商承诺自愿承担相关法律责任和接受我院按相关规定进行的处罚；④投标商须承诺耗材最终报价不超过陕西省公立医疗机构该产品型号最低供货价（出具承诺函），若违反该规定中标商承诺自愿承担相关法律责任和接受我院按相关规定进行的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格式，具体付款方式以下列描述为准：1、无预付款，所有货物到达甲方指定地点，安装、调试完毕、提供国家或行业标准的合格验收证明以及出具所有设备生产厂家提供的≥3年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2、货物第一次验收合格满36个月后，进行二次验收，验收合格后无息支付验收合格产品对应金额总价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投标人需在电子化交易系统上传响应的文件。中标投标人领取中标（成交）通知书时，向采购代理机构提供一正三副纸质响应文件及电子版1份（签字盖章扫描PDF和word文档格式，U盘存储）。 2.投标人应自协商文件递交截止时间起至开标结束，保持在线状态。 3.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2024年度财务报告或投标前六个月内其基本账户银行出具的资信证明或财政部门认可的政府采购专业担保机构出具的担保函，以上形式的证明资料提供任何一种即可。3、提供已缴存的 2024年8月1日以来至少三个月的社会保障资金缴存单据或社保机构开具的社会保险参保缴费情况证明。成立时间至提交投标文件截止时间不足一个月或依法不需要缴纳社会保障资金的投标人应提供相关文件证明。4、提供已缴纳的 2024年8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本项目不接受联合体投标。（投标人自行出具非联合体投标声明）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①投标产品属于医疗器械管理的须提供所投产品的《医疗器械产品注册证》；进口设备需提供“进”字号产品注册证及完整的授权链，且授权范围需包含本次采购项目内容。 ②投标人为生产厂家的须提供《医疗器械生产许可证》，投标人为代理商的须提供《医疗器械经营许可证》或《医疗器械经营备案证》。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（1）投标报价符合唯一性要求：（2）投标报价表填写 符合要求；（3）计量单位、报价货币均符合招标文件要求；（4）未超出采购预算或招标文件规定的最高限价。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 配套耗材限价承诺函 配套耗材报价表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完全理解并接受《投标人企业关系关联承诺书》、《参加政府采购活动行为自律承诺书1》、《参加政府采购活动行为自律承诺书2》、《陕西省政府采购投标人拒绝政府采购领域商业贿赂承诺书》内容。</w:t>
            </w:r>
          </w:p>
        </w:tc>
        <w:tc>
          <w:tcPr>
            <w:tcW w:type="dxa" w:w="1661"/>
          </w:tcPr>
          <w:p>
            <w:pPr>
              <w:pStyle w:val="null3"/>
            </w:pPr>
            <w:r>
              <w:rPr>
                <w:rFonts w:ascii="仿宋_GB2312" w:hAnsi="仿宋_GB2312" w:cs="仿宋_GB2312" w:eastAsia="仿宋_GB2312"/>
              </w:rPr>
              <w:t>投标人承诺书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无其他招标文件或法规明确规定响应无效的事项没有不符合招标文件规定的被视为无效响应的其他条款。</w:t>
            </w:r>
          </w:p>
        </w:tc>
        <w:tc>
          <w:tcPr>
            <w:tcW w:type="dxa" w:w="1661"/>
          </w:tcPr>
          <w:p>
            <w:pPr>
              <w:pStyle w:val="null3"/>
            </w:pPr>
            <w:r>
              <w:rPr>
                <w:rFonts w:ascii="仿宋_GB2312" w:hAnsi="仿宋_GB2312" w:cs="仿宋_GB2312" w:eastAsia="仿宋_GB2312"/>
              </w:rPr>
              <w:t>投标人认为有必要补充说明的事项</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“★”的参数需求为实质性要求，不允许负偏离。</w:t>
            </w:r>
          </w:p>
        </w:tc>
        <w:tc>
          <w:tcPr>
            <w:tcW w:type="dxa" w:w="1661"/>
          </w:tcPr>
          <w:p>
            <w:pPr>
              <w:pStyle w:val="null3"/>
            </w:pPr>
            <w:r>
              <w:rPr>
                <w:rFonts w:ascii="仿宋_GB2312" w:hAnsi="仿宋_GB2312" w:cs="仿宋_GB2312" w:eastAsia="仿宋_GB2312"/>
              </w:rPr>
              <w:t>技术规格偏离表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投标文件交货期、付款方式、承诺等商务要求进行响应，根据响应程度计0-2分。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合同主要条款偏离表</w:t>
            </w:r>
          </w:p>
          <w:p>
            <w:pPr>
              <w:pStyle w:val="null3"/>
            </w:pPr>
            <w:r>
              <w:rPr>
                <w:rFonts w:ascii="仿宋_GB2312" w:hAnsi="仿宋_GB2312" w:cs="仿宋_GB2312" w:eastAsia="仿宋_GB2312"/>
              </w:rPr>
              <w:t>商务条款偏离表.</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产品技术参数清晰明确，符合使用要求，数量准确无缺漏项，技术指标完全响应招标文件要求，满足采购需求、技术参数没有负偏离，计基本分18分；其中▲项每负偏离一项扣1分，其他项每负偏离一项扣0.4分，扣完为止，应逐条对应技术参数进行应答。 注：▲项需提供证明资料，不限于检验报告、产品彩页、产品说明书、功能说明等证明资料，未提供视为负偏离。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设备供应方案</w:t>
            </w:r>
          </w:p>
        </w:tc>
        <w:tc>
          <w:tcPr>
            <w:tcW w:type="dxa" w:w="2492"/>
          </w:tcPr>
          <w:p>
            <w:pPr>
              <w:pStyle w:val="null3"/>
            </w:pPr>
            <w:r>
              <w:rPr>
                <w:rFonts w:ascii="仿宋_GB2312" w:hAnsi="仿宋_GB2312" w:cs="仿宋_GB2312" w:eastAsia="仿宋_GB2312"/>
              </w:rPr>
              <w:t>一、评审内容 ①所投产品型号、功能、技术规格等详细信息描述； ②根据所投产品品牌与配置清单，设备配置先进、选型科学合理，从配置完整性、性能稳定性、兼容性、行业使用广泛性等方面描述（供应商提供证明材料，不限于所投设备产品临床使用优势、市场销售情况等）； ③确保设备供应渠道正常、检验手续合法有效、无产权纠纷（供应商提供证明材料，不限于授权函、销售协议、代理协议等）。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①详细的实施计划及进度安排； ②具有完善供货组织安排、详细的人员、财力调配、运输、配送措施； ③具有健全产品安装、检测、调试、试运行及验收方案。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① 质量保障承诺及措施； ② 配套专用耗材价格承诺。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①设备故障响应时限、维修服务到场响应时限； ②备品备件不足的紧急措施； ③应急突发状况处置措施。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一、评审内容 根据本项目特点制定售后服务能力，包括但不限于： ①针对本项目的售后服务方案及承诺； ②具有健全的售后服务机构、售后服务人员及应急处理人员； ③提供具体的培训方案、培训内容、培训方式等。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提供2022年8月1日至今所投核心产品业绩(以合同签订日期为准，提供完整合同复印件加盖公章)，每提供一个计2分，满分10分。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满足招标文件要求且投标报价最低为评标基准价，其价格分为满分。 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提供政府采购政策等证明材料 分项报价表 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详见附件：配套耗材报价表</w:t>
      </w:r>
    </w:p>
    <w:p>
      <w:pPr>
        <w:pStyle w:val="null3"/>
        <w:ind w:firstLine="960"/>
      </w:pPr>
      <w:r>
        <w:rPr>
          <w:rFonts w:ascii="仿宋_GB2312" w:hAnsi="仿宋_GB2312" w:cs="仿宋_GB2312" w:eastAsia="仿宋_GB2312"/>
        </w:rPr>
        <w:t>详见附件：配套耗材限价承诺函</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