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540A8">
      <w:pPr>
        <w:pStyle w:val="4"/>
        <w:bidi w:val="0"/>
        <w:jc w:val="center"/>
        <w:rPr>
          <w:rFonts w:hint="eastAsia" w:ascii="仿宋" w:hAnsi="仿宋" w:eastAsia="仿宋" w:cs="仿宋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eastAsia="zh-CN"/>
        </w:rPr>
        <w:t>分项报价表</w:t>
      </w:r>
    </w:p>
    <w:bookmarkEnd w:id="0"/>
    <w:tbl>
      <w:tblPr>
        <w:tblStyle w:val="15"/>
        <w:tblW w:w="5493" w:type="pct"/>
        <w:tblInd w:w="-56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1"/>
        <w:gridCol w:w="895"/>
        <w:gridCol w:w="904"/>
        <w:gridCol w:w="868"/>
        <w:gridCol w:w="958"/>
        <w:gridCol w:w="764"/>
        <w:gridCol w:w="1275"/>
        <w:gridCol w:w="1075"/>
        <w:gridCol w:w="1194"/>
        <w:gridCol w:w="702"/>
      </w:tblGrid>
      <w:tr w14:paraId="0DB57F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</w:trPr>
        <w:tc>
          <w:tcPr>
            <w:tcW w:w="2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1F7A8F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197E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A932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4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DFF1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0AC12E4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5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AFC4D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F7B8E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C56B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限价</w:t>
            </w:r>
          </w:p>
          <w:p w14:paraId="01ECE08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5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7140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单价</w:t>
            </w:r>
          </w:p>
          <w:p w14:paraId="2D466B5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D433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总价</w:t>
            </w:r>
          </w:p>
          <w:p w14:paraId="4358211A">
            <w:pPr>
              <w:spacing w:line="0" w:lineRule="atLeast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3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0B82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26FD76F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</w:trPr>
        <w:tc>
          <w:tcPr>
            <w:tcW w:w="2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D76AD6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06CDA2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小儿呼吸机</w:t>
            </w:r>
          </w:p>
        </w:tc>
        <w:tc>
          <w:tcPr>
            <w:tcW w:w="4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296F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E907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FE892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FE58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DDE77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1100000.00</w:t>
            </w:r>
          </w:p>
        </w:tc>
        <w:tc>
          <w:tcPr>
            <w:tcW w:w="5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3CD4B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1128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7838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369D14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8" w:hRule="atLeast"/>
        </w:trPr>
        <w:tc>
          <w:tcPr>
            <w:tcW w:w="2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DF28F3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C1A8F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婴儿转运培养箱</w:t>
            </w:r>
          </w:p>
        </w:tc>
        <w:tc>
          <w:tcPr>
            <w:tcW w:w="4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5E90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5E87B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7B3D5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2416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0543F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190000.00</w:t>
            </w:r>
          </w:p>
        </w:tc>
        <w:tc>
          <w:tcPr>
            <w:tcW w:w="5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D4DB82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A69D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6F2F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0E04BC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</w:trPr>
        <w:tc>
          <w:tcPr>
            <w:tcW w:w="2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7E187D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871A7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小儿呼吸机</w:t>
            </w:r>
          </w:p>
        </w:tc>
        <w:tc>
          <w:tcPr>
            <w:tcW w:w="4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3ABB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D3BB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EB3FF7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E4A1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A1474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260000.00</w:t>
            </w:r>
          </w:p>
        </w:tc>
        <w:tc>
          <w:tcPr>
            <w:tcW w:w="5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60BC2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0D2A3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DA0A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  <w:tr w14:paraId="50E953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7" w:hRule="atLeast"/>
        </w:trPr>
        <w:tc>
          <w:tcPr>
            <w:tcW w:w="3968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8EB6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  <w:t>合计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0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F6D1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32F55626">
      <w:pPr>
        <w:pStyle w:val="2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47441EB0">
      <w:pPr>
        <w:pStyle w:val="2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</w:t>
      </w:r>
    </w:p>
    <w:p w14:paraId="65DB66BE">
      <w:pPr>
        <w:pStyle w:val="21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合计金额=各总价金额之和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报价以元为单位，四舍五入精确到小数点后两位。</w:t>
      </w:r>
    </w:p>
    <w:p w14:paraId="19820CDB">
      <w:pPr>
        <w:pStyle w:val="21"/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2.单项总价不允许超过单项限价，否则按照无效投标处理。</w:t>
      </w:r>
    </w:p>
    <w:p w14:paraId="75E46366">
      <w:pPr>
        <w:pStyle w:val="21"/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3.本项目限价为140万元，合计金额超过最高限价按无效投标处理。</w:t>
      </w:r>
    </w:p>
    <w:p w14:paraId="6064C472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27DEA71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392B12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66043B21">
      <w:pPr>
        <w:ind w:firstLine="2400" w:firstLineChars="10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BA6B97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205616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F0252F754E584D9FA9908633F9C48585_13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