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6CA120">
      <w:pPr>
        <w:spacing w:line="360" w:lineRule="auto"/>
        <w:jc w:val="center"/>
        <w:rPr>
          <w:rFonts w:hint="eastAsia" w:asciiTheme="minorEastAsia" w:hAnsiTheme="minorEastAsia" w:eastAsiaTheme="minorEastAsia" w:cstheme="minorEastAsia"/>
          <w:b/>
          <w:bCs/>
          <w:sz w:val="44"/>
          <w:szCs w:val="44"/>
          <w:highlight w:val="none"/>
        </w:rPr>
      </w:pPr>
    </w:p>
    <w:p w14:paraId="31EB3EF6">
      <w:pPr>
        <w:spacing w:line="360" w:lineRule="auto"/>
        <w:jc w:val="center"/>
        <w:rPr>
          <w:rFonts w:hint="eastAsia" w:asciiTheme="minorEastAsia" w:hAnsiTheme="minorEastAsia" w:eastAsiaTheme="minorEastAsia" w:cstheme="minorEastAsia"/>
          <w:b/>
          <w:bCs/>
          <w:sz w:val="44"/>
          <w:szCs w:val="44"/>
          <w:highlight w:val="none"/>
        </w:rPr>
      </w:pPr>
    </w:p>
    <w:p w14:paraId="6E9B7DD7">
      <w:pPr>
        <w:spacing w:line="360" w:lineRule="auto"/>
        <w:jc w:val="center"/>
        <w:rPr>
          <w:rFonts w:hint="eastAsia" w:asciiTheme="minorEastAsia" w:hAnsiTheme="minorEastAsia" w:eastAsiaTheme="minorEastAsia" w:cstheme="minorEastAsia"/>
          <w:b/>
          <w:bCs/>
          <w:sz w:val="44"/>
          <w:szCs w:val="44"/>
          <w:highlight w:val="none"/>
        </w:rPr>
      </w:pPr>
    </w:p>
    <w:p w14:paraId="5BA9A711">
      <w:pPr>
        <w:spacing w:line="360" w:lineRule="auto"/>
        <w:jc w:val="center"/>
        <w:rPr>
          <w:rFonts w:hint="eastAsia" w:asciiTheme="minorEastAsia" w:hAnsiTheme="minorEastAsia" w:eastAsiaTheme="minorEastAsia" w:cstheme="minorEastAsia"/>
          <w:b/>
          <w:bCs/>
          <w:sz w:val="44"/>
          <w:szCs w:val="44"/>
          <w:highlight w:val="none"/>
        </w:rPr>
      </w:pPr>
      <w:r>
        <w:rPr>
          <w:rFonts w:hint="eastAsia" w:asciiTheme="minorEastAsia" w:hAnsiTheme="minorEastAsia" w:eastAsiaTheme="minorEastAsia" w:cstheme="minorEastAsia"/>
          <w:b/>
          <w:bCs/>
          <w:sz w:val="44"/>
          <w:szCs w:val="44"/>
          <w:highlight w:val="none"/>
        </w:rPr>
        <w:t>西安计量技术研究院</w:t>
      </w:r>
    </w:p>
    <w:p w14:paraId="167B0EFF">
      <w:pPr>
        <w:spacing w:line="360" w:lineRule="auto"/>
        <w:jc w:val="center"/>
        <w:rPr>
          <w:rFonts w:hint="eastAsia" w:asciiTheme="minorEastAsia" w:hAnsiTheme="minorEastAsia" w:eastAsiaTheme="minorEastAsia" w:cstheme="minorEastAsia"/>
          <w:b/>
          <w:bCs/>
          <w:sz w:val="44"/>
          <w:szCs w:val="44"/>
          <w:highlight w:val="none"/>
        </w:rPr>
      </w:pPr>
      <w:r>
        <w:rPr>
          <w:rFonts w:hint="eastAsia" w:asciiTheme="minorEastAsia" w:hAnsiTheme="minorEastAsia" w:eastAsiaTheme="minorEastAsia" w:cstheme="minorEastAsia"/>
          <w:b/>
          <w:bCs/>
          <w:sz w:val="44"/>
          <w:szCs w:val="44"/>
          <w:highlight w:val="none"/>
        </w:rPr>
        <w:t>力学流量与计价器计量检定校准装置</w:t>
      </w:r>
    </w:p>
    <w:p w14:paraId="09FAFB9F">
      <w:pPr>
        <w:spacing w:line="360" w:lineRule="auto"/>
        <w:jc w:val="center"/>
        <w:rPr>
          <w:rFonts w:hint="eastAsia" w:asciiTheme="minorEastAsia" w:hAnsiTheme="minorEastAsia" w:eastAsiaTheme="minorEastAsia" w:cstheme="minorEastAsia"/>
          <w:b/>
          <w:bCs/>
          <w:sz w:val="44"/>
          <w:szCs w:val="44"/>
          <w:highlight w:val="none"/>
        </w:rPr>
      </w:pPr>
      <w:r>
        <w:rPr>
          <w:rFonts w:hint="eastAsia" w:asciiTheme="minorEastAsia" w:hAnsiTheme="minorEastAsia" w:eastAsiaTheme="minorEastAsia" w:cstheme="minorEastAsia"/>
          <w:b/>
          <w:bCs/>
          <w:sz w:val="44"/>
          <w:szCs w:val="44"/>
          <w:highlight w:val="none"/>
        </w:rPr>
        <w:t>采购项目</w:t>
      </w:r>
    </w:p>
    <w:p w14:paraId="7C93B1F7">
      <w:pPr>
        <w:spacing w:line="360" w:lineRule="auto"/>
        <w:jc w:val="center"/>
        <w:rPr>
          <w:rFonts w:hint="eastAsia" w:asciiTheme="minorEastAsia" w:hAnsiTheme="minorEastAsia" w:eastAsiaTheme="minorEastAsia" w:cstheme="minorEastAsia"/>
          <w:b/>
          <w:bCs/>
          <w:sz w:val="44"/>
          <w:szCs w:val="44"/>
          <w:highlight w:val="none"/>
        </w:rPr>
      </w:pPr>
      <w:bookmarkStart w:id="3" w:name="_GoBack"/>
      <w:bookmarkEnd w:id="3"/>
    </w:p>
    <w:p w14:paraId="491F3B34">
      <w:pPr>
        <w:spacing w:line="360" w:lineRule="auto"/>
        <w:jc w:val="center"/>
        <w:rPr>
          <w:rFonts w:hint="eastAsia" w:asciiTheme="minorEastAsia" w:hAnsiTheme="minorEastAsia" w:eastAsiaTheme="minorEastAsia" w:cstheme="minorEastAsia"/>
          <w:b/>
          <w:bCs/>
          <w:sz w:val="44"/>
          <w:szCs w:val="44"/>
          <w:highlight w:val="none"/>
        </w:rPr>
      </w:pPr>
      <w:r>
        <w:rPr>
          <w:rFonts w:hint="eastAsia" w:asciiTheme="minorEastAsia" w:hAnsiTheme="minorEastAsia" w:eastAsiaTheme="minorEastAsia" w:cstheme="minorEastAsia"/>
          <w:b/>
          <w:bCs/>
          <w:sz w:val="44"/>
          <w:szCs w:val="44"/>
          <w:highlight w:val="none"/>
        </w:rPr>
        <w:t>采购合同</w:t>
      </w:r>
    </w:p>
    <w:p w14:paraId="4E2F1813">
      <w:pPr>
        <w:spacing w:line="360" w:lineRule="auto"/>
        <w:jc w:val="center"/>
        <w:rPr>
          <w:rFonts w:hint="eastAsia" w:asciiTheme="minorEastAsia" w:hAnsiTheme="minorEastAsia" w:eastAsiaTheme="minorEastAsia" w:cstheme="minorEastAsia"/>
          <w:b/>
          <w:bCs/>
          <w:sz w:val="44"/>
          <w:szCs w:val="44"/>
          <w:highlight w:val="none"/>
        </w:rPr>
      </w:pPr>
    </w:p>
    <w:p w14:paraId="7FBB771A">
      <w:pPr>
        <w:spacing w:line="360" w:lineRule="auto"/>
        <w:ind w:firstLine="1687" w:firstLineChars="600"/>
        <w:jc w:val="left"/>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编号：</w:t>
      </w:r>
    </w:p>
    <w:p w14:paraId="55D5175B">
      <w:pPr>
        <w:spacing w:line="360" w:lineRule="auto"/>
        <w:ind w:firstLine="1687" w:firstLineChars="600"/>
        <w:jc w:val="left"/>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包号：</w:t>
      </w:r>
    </w:p>
    <w:p w14:paraId="6AEDE216">
      <w:pPr>
        <w:spacing w:before="156" w:beforeLines="50" w:line="360" w:lineRule="auto"/>
        <w:jc w:val="center"/>
        <w:rPr>
          <w:rFonts w:hint="eastAsia"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Cs/>
          <w:sz w:val="24"/>
          <w:highlight w:val="none"/>
        </w:rPr>
        <w:br w:type="page"/>
      </w:r>
    </w:p>
    <w:p w14:paraId="430752A3">
      <w:pPr>
        <w:adjustRightInd w:val="0"/>
        <w:snapToGrid w:val="0"/>
        <w:spacing w:line="360" w:lineRule="auto"/>
        <w:ind w:firstLine="482" w:firstLineChars="200"/>
        <w:jc w:val="center"/>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合同文本</w:t>
      </w:r>
    </w:p>
    <w:p w14:paraId="0AFA1FBE">
      <w:pPr>
        <w:adjustRightInd w:val="0"/>
        <w:snapToGrid w:val="0"/>
        <w:spacing w:line="324" w:lineRule="auto"/>
        <w:ind w:firstLine="482" w:firstLineChars="200"/>
        <w:jc w:val="center"/>
        <w:rPr>
          <w:rFonts w:hint="eastAsia" w:ascii="宋体" w:hAnsi="宋体" w:cs="宋体"/>
          <w:b/>
          <w:sz w:val="24"/>
          <w:szCs w:val="24"/>
          <w:highlight w:val="none"/>
        </w:rPr>
      </w:pPr>
    </w:p>
    <w:p w14:paraId="38A07E69">
      <w:pPr>
        <w:adjustRightInd w:val="0"/>
        <w:snapToGrid w:val="0"/>
        <w:spacing w:line="324" w:lineRule="auto"/>
        <w:ind w:firstLine="482" w:firstLineChars="200"/>
        <w:rPr>
          <w:rFonts w:hint="eastAsia" w:ascii="宋体" w:hAnsi="宋体" w:cs="宋体"/>
          <w:b/>
          <w:sz w:val="24"/>
          <w:szCs w:val="24"/>
          <w:highlight w:val="none"/>
          <w:u w:val="single"/>
        </w:rPr>
      </w:pPr>
      <w:r>
        <w:rPr>
          <w:rFonts w:hint="eastAsia" w:ascii="宋体" w:hAnsi="宋体" w:cs="宋体"/>
          <w:b/>
          <w:sz w:val="24"/>
          <w:szCs w:val="24"/>
          <w:highlight w:val="none"/>
        </w:rPr>
        <w:t>采购人（全称）：</w:t>
      </w:r>
      <w:r>
        <w:rPr>
          <w:rFonts w:hint="eastAsia" w:ascii="宋体" w:hAnsi="宋体" w:cs="宋体"/>
          <w:sz w:val="24"/>
          <w:szCs w:val="24"/>
          <w:highlight w:val="none"/>
          <w:u w:val="single"/>
        </w:rPr>
        <w:tab/>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u w:val="single"/>
        </w:rPr>
        <w:t xml:space="preserve">      </w:t>
      </w:r>
    </w:p>
    <w:p w14:paraId="001E5971">
      <w:pPr>
        <w:adjustRightInd w:val="0"/>
        <w:snapToGrid w:val="0"/>
        <w:spacing w:line="324" w:lineRule="auto"/>
        <w:ind w:firstLine="482" w:firstLineChars="200"/>
        <w:rPr>
          <w:rFonts w:hint="eastAsia" w:ascii="宋体" w:hAnsi="宋体" w:cs="宋体"/>
          <w:sz w:val="24"/>
          <w:szCs w:val="24"/>
          <w:highlight w:val="none"/>
          <w:u w:val="single"/>
        </w:rPr>
      </w:pPr>
      <w:r>
        <w:rPr>
          <w:rFonts w:hint="eastAsia" w:ascii="宋体" w:hAnsi="宋体" w:cs="宋体"/>
          <w:b/>
          <w:sz w:val="24"/>
          <w:szCs w:val="24"/>
          <w:highlight w:val="none"/>
        </w:rPr>
        <w:t>供应商（全称）：</w:t>
      </w:r>
      <w:r>
        <w:rPr>
          <w:rFonts w:hint="eastAsia" w:ascii="宋体" w:hAnsi="宋体" w:cs="宋体"/>
          <w:sz w:val="24"/>
          <w:szCs w:val="24"/>
          <w:highlight w:val="none"/>
          <w:u w:val="single"/>
        </w:rPr>
        <w:tab/>
      </w:r>
      <w:r>
        <w:rPr>
          <w:rFonts w:hint="eastAsia" w:ascii="宋体" w:hAnsi="宋体" w:cs="宋体"/>
          <w:sz w:val="24"/>
          <w:szCs w:val="24"/>
          <w:highlight w:val="none"/>
          <w:u w:val="single"/>
        </w:rPr>
        <w:t xml:space="preserve">                           </w:t>
      </w:r>
    </w:p>
    <w:p w14:paraId="2759E89E">
      <w:pPr>
        <w:adjustRightInd w:val="0"/>
        <w:snapToGrid w:val="0"/>
        <w:spacing w:line="324" w:lineRule="auto"/>
        <w:ind w:firstLine="480" w:firstLineChars="200"/>
        <w:rPr>
          <w:rFonts w:hint="eastAsia" w:ascii="宋体" w:hAnsi="宋体" w:cs="宋体"/>
          <w:sz w:val="24"/>
          <w:szCs w:val="24"/>
          <w:highlight w:val="none"/>
          <w:u w:val="single"/>
        </w:rPr>
      </w:pPr>
      <w:r>
        <w:rPr>
          <w:rFonts w:hint="eastAsia" w:ascii="宋体" w:hAnsi="宋体" w:cs="宋体"/>
          <w:sz w:val="24"/>
          <w:szCs w:val="24"/>
          <w:highlight w:val="none"/>
        </w:rPr>
        <w:t>依照《中华人民共和国民法典》及其他有关法律、法规，遵循平等、自愿、公平和诚信的原则，双方就下述项目范围与相关服务事项协商一致，订立本合同。</w:t>
      </w:r>
    </w:p>
    <w:p w14:paraId="3F3DC174">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一、项目概况</w:t>
      </w:r>
    </w:p>
    <w:p w14:paraId="3F334F04">
      <w:pPr>
        <w:adjustRightInd w:val="0"/>
        <w:snapToGrid w:val="0"/>
        <w:spacing w:line="324"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1、项目名称：</w:t>
      </w:r>
      <w:r>
        <w:rPr>
          <w:rFonts w:hint="eastAsia" w:ascii="宋体" w:hAnsi="宋体" w:cs="宋体"/>
          <w:sz w:val="24"/>
          <w:szCs w:val="24"/>
          <w:highlight w:val="none"/>
          <w:u w:val="single"/>
        </w:rPr>
        <w:tab/>
      </w:r>
      <w:r>
        <w:rPr>
          <w:rFonts w:hint="eastAsia" w:ascii="宋体" w:hAnsi="宋体" w:cs="宋体"/>
          <w:sz w:val="24"/>
          <w:szCs w:val="24"/>
          <w:highlight w:val="none"/>
          <w:u w:val="single"/>
        </w:rPr>
        <w:t xml:space="preserve">                       </w:t>
      </w:r>
    </w:p>
    <w:p w14:paraId="2E6B180F">
      <w:pPr>
        <w:adjustRightInd w:val="0"/>
        <w:snapToGrid w:val="0"/>
        <w:spacing w:line="324"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2、包号：</w:t>
      </w:r>
      <w:r>
        <w:rPr>
          <w:rFonts w:hint="eastAsia" w:ascii="宋体" w:hAnsi="宋体" w:cs="宋体"/>
          <w:sz w:val="24"/>
          <w:szCs w:val="24"/>
          <w:highlight w:val="none"/>
          <w:u w:val="single"/>
        </w:rPr>
        <w:tab/>
      </w:r>
      <w:r>
        <w:rPr>
          <w:rFonts w:hint="eastAsia" w:ascii="宋体" w:hAnsi="宋体" w:cs="宋体"/>
          <w:sz w:val="24"/>
          <w:szCs w:val="24"/>
          <w:highlight w:val="none"/>
          <w:u w:val="single"/>
        </w:rPr>
        <w:t xml:space="preserve">                       </w:t>
      </w:r>
    </w:p>
    <w:p w14:paraId="5D86B57D">
      <w:pPr>
        <w:adjustRightInd w:val="0"/>
        <w:snapToGrid w:val="0"/>
        <w:spacing w:line="324" w:lineRule="auto"/>
        <w:ind w:firstLine="480" w:firstLineChars="200"/>
        <w:rPr>
          <w:rFonts w:hint="eastAsia" w:ascii="宋体" w:hAnsi="宋体" w:cs="宋体"/>
          <w:sz w:val="24"/>
          <w:szCs w:val="24"/>
          <w:highlight w:val="none"/>
          <w:u w:val="single"/>
        </w:rPr>
      </w:pPr>
      <w:r>
        <w:rPr>
          <w:rFonts w:hint="eastAsia" w:ascii="宋体" w:hAnsi="宋体" w:cs="宋体"/>
          <w:sz w:val="24"/>
          <w:szCs w:val="24"/>
          <w:highlight w:val="none"/>
        </w:rPr>
        <w:t>3、项目地点：</w:t>
      </w:r>
      <w:r>
        <w:rPr>
          <w:rFonts w:hint="eastAsia" w:ascii="宋体" w:hAnsi="宋体" w:cs="宋体"/>
          <w:sz w:val="24"/>
          <w:szCs w:val="24"/>
          <w:highlight w:val="none"/>
          <w:u w:val="single"/>
        </w:rPr>
        <w:t>采购人指定地点</w:t>
      </w:r>
    </w:p>
    <w:p w14:paraId="13ED658A">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二、组成本合同的文件</w:t>
      </w:r>
    </w:p>
    <w:p w14:paraId="155D0C8B">
      <w:pPr>
        <w:adjustRightInd w:val="0"/>
        <w:snapToGrid w:val="0"/>
        <w:spacing w:line="324" w:lineRule="auto"/>
        <w:ind w:firstLine="475" w:firstLineChars="198"/>
        <w:rPr>
          <w:rFonts w:hint="eastAsia" w:ascii="宋体" w:hAnsi="宋体" w:cs="宋体"/>
          <w:sz w:val="24"/>
          <w:szCs w:val="24"/>
          <w:highlight w:val="none"/>
        </w:rPr>
      </w:pPr>
      <w:r>
        <w:rPr>
          <w:rFonts w:hint="eastAsia" w:ascii="宋体" w:hAnsi="宋体" w:cs="宋体"/>
          <w:sz w:val="24"/>
          <w:szCs w:val="24"/>
          <w:highlight w:val="none"/>
        </w:rPr>
        <w:t>1、合同文本、中标通知书、投标文件、招标文件、澄清、招标补充文件（或委托书）；</w:t>
      </w:r>
    </w:p>
    <w:p w14:paraId="2DB6E6D2">
      <w:pPr>
        <w:adjustRightInd w:val="0"/>
        <w:snapToGrid w:val="0"/>
        <w:spacing w:line="324"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2、相关服务建议书；</w:t>
      </w:r>
    </w:p>
    <w:p w14:paraId="5CC1D437">
      <w:pPr>
        <w:adjustRightInd w:val="0"/>
        <w:snapToGrid w:val="0"/>
        <w:spacing w:line="324" w:lineRule="auto"/>
        <w:rPr>
          <w:rFonts w:hint="eastAsia" w:ascii="宋体" w:hAnsi="宋体" w:cs="宋体"/>
          <w:sz w:val="24"/>
          <w:szCs w:val="24"/>
          <w:highlight w:val="none"/>
        </w:rPr>
      </w:pPr>
      <w:r>
        <w:rPr>
          <w:rFonts w:hint="eastAsia" w:ascii="宋体" w:hAnsi="宋体" w:cs="宋体"/>
          <w:sz w:val="24"/>
          <w:szCs w:val="24"/>
          <w:highlight w:val="none"/>
        </w:rPr>
        <w:t xml:space="preserve">    3、附录，即：附表内相关服务的范围和内容；</w:t>
      </w:r>
    </w:p>
    <w:p w14:paraId="12F7183A">
      <w:pPr>
        <w:adjustRightInd w:val="0"/>
        <w:snapToGrid w:val="0"/>
        <w:spacing w:line="324" w:lineRule="auto"/>
        <w:ind w:firstLine="475" w:firstLineChars="198"/>
        <w:rPr>
          <w:rFonts w:hint="eastAsia" w:ascii="宋体" w:hAnsi="宋体" w:cs="宋体"/>
          <w:sz w:val="24"/>
          <w:szCs w:val="24"/>
          <w:highlight w:val="none"/>
        </w:rPr>
      </w:pPr>
      <w:r>
        <w:rPr>
          <w:rFonts w:hint="eastAsia" w:ascii="宋体" w:hAnsi="宋体" w:cs="宋体"/>
          <w:sz w:val="24"/>
          <w:szCs w:val="24"/>
          <w:highlight w:val="none"/>
        </w:rPr>
        <w:t>4、本合同签订后，双方依法签订的补充协议也是本合同文件的组成部分。</w:t>
      </w:r>
    </w:p>
    <w:p w14:paraId="2C691F2C">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三、合同价款</w:t>
      </w:r>
    </w:p>
    <w:p w14:paraId="57DD9401">
      <w:pPr>
        <w:adjustRightInd w:val="0"/>
        <w:snapToGrid w:val="0"/>
        <w:spacing w:line="324"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1、合同金额（大写）：</w:t>
      </w:r>
      <w:r>
        <w:rPr>
          <w:rFonts w:hint="eastAsia" w:ascii="宋体" w:hAnsi="宋体" w:cs="宋体"/>
          <w:sz w:val="24"/>
          <w:szCs w:val="24"/>
          <w:highlight w:val="none"/>
          <w:u w:val="single"/>
        </w:rPr>
        <w:t xml:space="preserve">              整</w:t>
      </w:r>
      <w:r>
        <w:rPr>
          <w:rFonts w:hint="eastAsia" w:ascii="宋体" w:hAnsi="宋体" w:cs="宋体"/>
          <w:sz w:val="24"/>
          <w:szCs w:val="24"/>
          <w:highlight w:val="none"/>
        </w:rPr>
        <w:t>（¥     ）；</w:t>
      </w:r>
    </w:p>
    <w:p w14:paraId="6A83CCF7">
      <w:pPr>
        <w:adjustRightInd w:val="0"/>
        <w:snapToGrid w:val="0"/>
        <w:spacing w:line="324"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2、合同价格即中标价，供应商完成所要求的产品、服务且验收合格的所有费用，包括但不限于设备费、运输费、保险费、安装调试费、检定/校准费、仓储保管费、培训费、验收费等其他一切相关费用；</w:t>
      </w:r>
    </w:p>
    <w:p w14:paraId="5D5B216E">
      <w:pPr>
        <w:adjustRightInd w:val="0"/>
        <w:snapToGrid w:val="0"/>
        <w:spacing w:line="324"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3、合同价格为含税价，供应商提供产品所发生的一切税（包括增值税）费等都已包含于合同价款中；</w:t>
      </w:r>
    </w:p>
    <w:p w14:paraId="0C1E62EA">
      <w:pPr>
        <w:adjustRightInd w:val="0"/>
        <w:snapToGrid w:val="0"/>
        <w:spacing w:line="324"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4、该合同总价不受市场价格变化或实际工作量变化的影响，在合同有效期不做任何调整，供应商自行承担所供货物的市场价格变化。</w:t>
      </w:r>
    </w:p>
    <w:p w14:paraId="04C55858">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四、期限</w:t>
      </w:r>
    </w:p>
    <w:p w14:paraId="21DAD753">
      <w:pPr>
        <w:pStyle w:val="4"/>
        <w:spacing w:line="324" w:lineRule="auto"/>
        <w:ind w:firstLine="480" w:firstLineChars="200"/>
        <w:jc w:val="both"/>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交货期自签订合同之日起    日历天。</w:t>
      </w:r>
    </w:p>
    <w:p w14:paraId="63835D32">
      <w:pPr>
        <w:pStyle w:val="4"/>
        <w:spacing w:line="324" w:lineRule="auto"/>
        <w:ind w:firstLine="480" w:firstLineChars="200"/>
        <w:jc w:val="both"/>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质保期自最终验收合格之日算，质保期   年。</w:t>
      </w:r>
    </w:p>
    <w:p w14:paraId="419B4365">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五、结算方式</w:t>
      </w:r>
    </w:p>
    <w:p w14:paraId="7C7559AC">
      <w:pPr>
        <w:pStyle w:val="4"/>
        <w:spacing w:line="324" w:lineRule="auto"/>
        <w:ind w:firstLine="480" w:firstLineChars="200"/>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1、结算单位：银行转账，由采购人以人民币负责结算。验收时，供应商必须开具符合采购人要求的全额发票给采购人；</w:t>
      </w:r>
    </w:p>
    <w:p w14:paraId="3CFE0F79">
      <w:pPr>
        <w:pStyle w:val="4"/>
        <w:spacing w:line="324" w:lineRule="auto"/>
        <w:ind w:firstLine="480" w:firstLineChars="200"/>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2、合同签订之后五个工作日内，供应商按采购人指定账户交纳合同总价款的5%（即    元，大写：    元整）作为履约保证金。履约保证金到账后30日内，采购人一次性向供应商支付合同总价款的40%（即     元，大写：    整）作为预付款；</w:t>
      </w:r>
    </w:p>
    <w:p w14:paraId="79A475B0">
      <w:pPr>
        <w:pStyle w:val="4"/>
        <w:spacing w:line="324" w:lineRule="auto"/>
        <w:ind w:firstLine="720" w:firstLineChars="300"/>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3、通过最终验收合格后，采购人向供应商支付全部剩余60%的合同总价款（即     元，大写：      元整），根据供应商履约情况，采购人将履约保证金无息退还供应商；</w:t>
      </w:r>
    </w:p>
    <w:p w14:paraId="3543CDE2">
      <w:pPr>
        <w:pStyle w:val="4"/>
        <w:spacing w:line="324" w:lineRule="auto"/>
        <w:ind w:firstLine="480" w:firstLineChars="200"/>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支付方式：银行转账，采购人将应付供应商的款项付款至下列指定账户：</w:t>
      </w:r>
    </w:p>
    <w:p w14:paraId="053E3524">
      <w:pPr>
        <w:pStyle w:val="4"/>
        <w:spacing w:line="324" w:lineRule="auto"/>
        <w:rPr>
          <w:rFonts w:ascii="宋体" w:hAnsi="宋体" w:eastAsia="宋体" w:cs="宋体"/>
          <w:sz w:val="24"/>
          <w:szCs w:val="24"/>
          <w:highlight w:val="none"/>
          <w:lang w:eastAsia="zh-CN"/>
        </w:rPr>
      </w:pPr>
      <w:r>
        <w:rPr>
          <w:rFonts w:ascii="宋体" w:hAnsi="宋体" w:eastAsia="宋体" w:cs="宋体"/>
          <w:kern w:val="2"/>
          <w:sz w:val="24"/>
          <w:szCs w:val="24"/>
          <w:highlight w:val="none"/>
          <w:lang w:eastAsia="zh-CN"/>
        </w:rPr>
        <w:t>单    位：</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p>
    <w:p w14:paraId="3E8957FB">
      <w:pPr>
        <w:pStyle w:val="4"/>
        <w:spacing w:line="324" w:lineRule="auto"/>
        <w:rPr>
          <w:rFonts w:ascii="宋体" w:hAnsi="宋体" w:eastAsia="宋体" w:cs="宋体"/>
          <w:sz w:val="24"/>
          <w:szCs w:val="24"/>
          <w:highlight w:val="none"/>
          <w:u w:val="single"/>
          <w:lang w:eastAsia="zh-CN"/>
        </w:rPr>
      </w:pPr>
      <w:r>
        <w:rPr>
          <w:rFonts w:ascii="宋体" w:hAnsi="宋体" w:eastAsia="宋体" w:cs="宋体"/>
          <w:sz w:val="24"/>
          <w:szCs w:val="24"/>
          <w:highlight w:val="none"/>
        </w:rPr>
        <w:t>地    址：</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p>
    <w:p w14:paraId="360110F9">
      <w:pPr>
        <w:pStyle w:val="4"/>
        <w:spacing w:line="324" w:lineRule="auto"/>
        <w:rPr>
          <w:rFonts w:ascii="宋体" w:hAnsi="宋体" w:eastAsia="宋体" w:cs="宋体"/>
          <w:sz w:val="24"/>
          <w:szCs w:val="24"/>
          <w:highlight w:val="none"/>
          <w:lang w:eastAsia="zh-CN"/>
        </w:rPr>
      </w:pPr>
      <w:r>
        <w:rPr>
          <w:rFonts w:ascii="宋体" w:hAnsi="宋体" w:eastAsia="宋体" w:cs="宋体"/>
          <w:sz w:val="24"/>
          <w:szCs w:val="24"/>
          <w:highlight w:val="none"/>
        </w:rPr>
        <w:t>税    号：</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p>
    <w:p w14:paraId="61F503A9">
      <w:pPr>
        <w:pStyle w:val="4"/>
        <w:spacing w:line="324" w:lineRule="auto"/>
        <w:rPr>
          <w:rFonts w:ascii="宋体" w:hAnsi="宋体" w:eastAsia="宋体" w:cs="宋体"/>
          <w:sz w:val="24"/>
          <w:szCs w:val="24"/>
          <w:highlight w:val="none"/>
          <w:u w:val="single"/>
          <w:lang w:eastAsia="zh-CN"/>
        </w:rPr>
      </w:pPr>
      <w:r>
        <w:rPr>
          <w:rFonts w:ascii="宋体" w:hAnsi="宋体" w:eastAsia="宋体" w:cs="宋体"/>
          <w:sz w:val="24"/>
          <w:szCs w:val="24"/>
          <w:highlight w:val="none"/>
        </w:rPr>
        <w:t>开户银行：</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p>
    <w:p w14:paraId="0F9A571E">
      <w:pPr>
        <w:pStyle w:val="4"/>
        <w:spacing w:line="324" w:lineRule="auto"/>
        <w:rPr>
          <w:rFonts w:ascii="宋体" w:hAnsi="宋体" w:eastAsia="宋体" w:cs="宋体"/>
          <w:sz w:val="24"/>
          <w:szCs w:val="24"/>
          <w:highlight w:val="none"/>
          <w:u w:val="single"/>
          <w:lang w:eastAsia="zh-CN"/>
        </w:rPr>
      </w:pPr>
      <w:r>
        <w:rPr>
          <w:rFonts w:ascii="宋体" w:hAnsi="宋体" w:eastAsia="宋体" w:cs="宋体"/>
          <w:sz w:val="24"/>
          <w:szCs w:val="24"/>
          <w:highlight w:val="none"/>
        </w:rPr>
        <w:t>账    号：</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p>
    <w:p w14:paraId="2F0CE2E1">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履约保证金支付方式：银行转账，供应商支付履约保证金至下列指定账户：</w:t>
      </w:r>
    </w:p>
    <w:p w14:paraId="1C68A86F">
      <w:pPr>
        <w:pStyle w:val="4"/>
        <w:spacing w:line="324" w:lineRule="auto"/>
        <w:rPr>
          <w:rFonts w:ascii="宋体" w:hAnsi="宋体" w:eastAsia="宋体" w:cs="宋体"/>
          <w:sz w:val="24"/>
          <w:szCs w:val="24"/>
          <w:highlight w:val="none"/>
          <w:u w:val="single"/>
        </w:rPr>
      </w:pPr>
      <w:r>
        <w:rPr>
          <w:rFonts w:ascii="宋体" w:hAnsi="宋体" w:eastAsia="宋体" w:cs="宋体"/>
          <w:sz w:val="24"/>
          <w:szCs w:val="24"/>
          <w:highlight w:val="none"/>
        </w:rPr>
        <w:t>账户名称：</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r>
        <w:rPr>
          <w:rFonts w:ascii="宋体" w:hAnsi="宋体" w:eastAsia="宋体" w:cs="宋体"/>
          <w:sz w:val="24"/>
          <w:szCs w:val="24"/>
          <w:highlight w:val="none"/>
          <w:u w:val="single"/>
        </w:rPr>
        <w:t xml:space="preserve"> </w:t>
      </w:r>
    </w:p>
    <w:p w14:paraId="761263DE">
      <w:pPr>
        <w:pStyle w:val="4"/>
        <w:spacing w:line="324" w:lineRule="auto"/>
        <w:rPr>
          <w:rFonts w:ascii="宋体" w:hAnsi="宋体" w:eastAsia="宋体" w:cs="宋体"/>
          <w:sz w:val="24"/>
          <w:szCs w:val="24"/>
          <w:highlight w:val="none"/>
          <w:lang w:eastAsia="zh-CN"/>
        </w:rPr>
      </w:pPr>
      <w:r>
        <w:rPr>
          <w:rFonts w:ascii="宋体" w:hAnsi="宋体" w:eastAsia="宋体" w:cs="宋体"/>
          <w:sz w:val="24"/>
          <w:szCs w:val="24"/>
          <w:highlight w:val="none"/>
        </w:rPr>
        <w:t>开户银行：</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p>
    <w:p w14:paraId="3A8E28AB">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账    号：</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eastAsia="zh-CN"/>
        </w:rPr>
        <w:t xml:space="preserve">                                 </w:t>
      </w:r>
      <w:r>
        <w:rPr>
          <w:rFonts w:ascii="宋体" w:hAnsi="宋体" w:eastAsia="宋体" w:cs="宋体"/>
          <w:sz w:val="24"/>
          <w:szCs w:val="24"/>
          <w:highlight w:val="none"/>
          <w:u w:val="single"/>
        </w:rPr>
        <w:t xml:space="preserve">         </w:t>
      </w:r>
    </w:p>
    <w:p w14:paraId="7ABB0D0C">
      <w:pPr>
        <w:pStyle w:val="4"/>
        <w:spacing w:line="324" w:lineRule="auto"/>
        <w:jc w:val="both"/>
        <w:outlineLvl w:val="0"/>
        <w:rPr>
          <w:rFonts w:ascii="宋体" w:hAnsi="宋体" w:eastAsia="宋体" w:cs="宋体"/>
          <w:b/>
          <w:kern w:val="2"/>
          <w:sz w:val="24"/>
          <w:szCs w:val="24"/>
          <w:highlight w:val="none"/>
          <w:lang w:eastAsia="zh-CN"/>
        </w:rPr>
      </w:pPr>
      <w:r>
        <w:rPr>
          <w:rFonts w:ascii="宋体" w:hAnsi="宋体" w:eastAsia="宋体" w:cs="宋体"/>
          <w:b/>
          <w:kern w:val="2"/>
          <w:sz w:val="24"/>
          <w:szCs w:val="24"/>
          <w:highlight w:val="none"/>
          <w:lang w:eastAsia="zh-CN"/>
        </w:rPr>
        <w:t>六、检定/校准/检测</w:t>
      </w:r>
    </w:p>
    <w:p w14:paraId="74F078E5">
      <w:pPr>
        <w:pStyle w:val="4"/>
        <w:spacing w:line="324" w:lineRule="auto"/>
        <w:ind w:firstLine="480" w:firstLineChars="200"/>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供应商在整机验收时需向采购人提供采购人要求的设备计量检定、校准证书等资料，由此产生的所有费用由供应商承担。（除无需溯源的设备）</w:t>
      </w:r>
    </w:p>
    <w:p w14:paraId="485AECFD">
      <w:pPr>
        <w:pStyle w:val="4"/>
        <w:spacing w:line="324" w:lineRule="auto"/>
        <w:jc w:val="both"/>
        <w:outlineLvl w:val="0"/>
        <w:rPr>
          <w:rFonts w:ascii="宋体" w:hAnsi="宋体" w:eastAsia="宋体" w:cs="宋体"/>
          <w:b/>
          <w:kern w:val="2"/>
          <w:sz w:val="24"/>
          <w:szCs w:val="24"/>
          <w:highlight w:val="none"/>
          <w:lang w:eastAsia="zh-CN"/>
        </w:rPr>
      </w:pPr>
      <w:r>
        <w:rPr>
          <w:rFonts w:ascii="宋体" w:hAnsi="宋体" w:eastAsia="宋体" w:cs="宋体"/>
          <w:b/>
          <w:kern w:val="2"/>
          <w:sz w:val="24"/>
          <w:szCs w:val="24"/>
          <w:highlight w:val="none"/>
          <w:lang w:eastAsia="zh-CN"/>
        </w:rPr>
        <w:t>七、内容及要求</w:t>
      </w:r>
    </w:p>
    <w:p w14:paraId="6342933B">
      <w:pPr>
        <w:pStyle w:val="4"/>
        <w:spacing w:line="324" w:lineRule="auto"/>
        <w:ind w:firstLine="480" w:firstLineChars="200"/>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即交付的产品、服务内容、数量与投标文件、招标文件等所指明的，或者与本合同所指明的产品、服务内容相一致。</w:t>
      </w:r>
    </w:p>
    <w:p w14:paraId="0C1718CD">
      <w:pPr>
        <w:pStyle w:val="4"/>
        <w:spacing w:line="324" w:lineRule="auto"/>
        <w:ind w:firstLine="480" w:firstLineChars="200"/>
        <w:jc w:val="center"/>
        <w:rPr>
          <w:rFonts w:ascii="宋体" w:hAnsi="宋体" w:eastAsia="宋体" w:cs="宋体"/>
          <w:kern w:val="2"/>
          <w:sz w:val="24"/>
          <w:szCs w:val="24"/>
          <w:highlight w:val="none"/>
          <w:lang w:eastAsia="zh-CN"/>
        </w:rPr>
      </w:pPr>
      <w:r>
        <w:rPr>
          <w:rFonts w:ascii="宋体" w:hAnsi="宋体" w:eastAsia="宋体" w:cs="宋体"/>
          <w:kern w:val="2"/>
          <w:sz w:val="24"/>
          <w:szCs w:val="24"/>
          <w:highlight w:val="none"/>
          <w:lang w:eastAsia="zh-CN"/>
        </w:rPr>
        <w:t>供货内容一览表</w:t>
      </w:r>
    </w:p>
    <w:tbl>
      <w:tblPr>
        <w:tblStyle w:val="2"/>
        <w:tblW w:w="91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48"/>
        <w:gridCol w:w="1096"/>
        <w:gridCol w:w="1161"/>
        <w:gridCol w:w="1274"/>
        <w:gridCol w:w="1769"/>
        <w:gridCol w:w="608"/>
        <w:gridCol w:w="1107"/>
        <w:gridCol w:w="554"/>
        <w:gridCol w:w="1019"/>
      </w:tblGrid>
      <w:tr w14:paraId="54EAA6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6D1F2632">
            <w:pPr>
              <w:pStyle w:val="4"/>
              <w:spacing w:line="324" w:lineRule="auto"/>
              <w:jc w:val="center"/>
              <w:rPr>
                <w:rFonts w:ascii="宋体" w:hAnsi="宋体" w:eastAsia="宋体" w:cs="宋体"/>
                <w:sz w:val="24"/>
                <w:szCs w:val="24"/>
                <w:highlight w:val="none"/>
              </w:rPr>
            </w:pPr>
            <w:r>
              <w:rPr>
                <w:rFonts w:ascii="宋体" w:hAnsi="宋体" w:eastAsia="宋体" w:cs="宋体"/>
                <w:sz w:val="24"/>
                <w:szCs w:val="24"/>
                <w:highlight w:val="none"/>
              </w:rPr>
              <w:t>序号</w:t>
            </w:r>
          </w:p>
        </w:tc>
        <w:tc>
          <w:tcPr>
            <w:tcW w:w="1096" w:type="dxa"/>
            <w:vAlign w:val="center"/>
          </w:tcPr>
          <w:p w14:paraId="5F092F11">
            <w:pPr>
              <w:pStyle w:val="4"/>
              <w:spacing w:line="324" w:lineRule="auto"/>
              <w:jc w:val="center"/>
              <w:rPr>
                <w:rFonts w:ascii="宋体" w:hAnsi="宋体" w:eastAsia="宋体" w:cs="宋体"/>
                <w:sz w:val="24"/>
                <w:szCs w:val="24"/>
                <w:highlight w:val="none"/>
              </w:rPr>
            </w:pPr>
            <w:r>
              <w:rPr>
                <w:rFonts w:ascii="宋体" w:hAnsi="宋体" w:eastAsia="宋体" w:cs="宋体"/>
                <w:sz w:val="24"/>
                <w:szCs w:val="24"/>
                <w:highlight w:val="none"/>
              </w:rPr>
              <w:t>名称</w:t>
            </w:r>
          </w:p>
        </w:tc>
        <w:tc>
          <w:tcPr>
            <w:tcW w:w="1161" w:type="dxa"/>
            <w:vAlign w:val="center"/>
          </w:tcPr>
          <w:p w14:paraId="7E5F9662">
            <w:pPr>
              <w:pStyle w:val="4"/>
              <w:spacing w:line="324" w:lineRule="auto"/>
              <w:jc w:val="center"/>
              <w:rPr>
                <w:rFonts w:ascii="宋体" w:hAnsi="宋体" w:eastAsia="宋体" w:cs="宋体"/>
                <w:sz w:val="24"/>
                <w:szCs w:val="24"/>
                <w:highlight w:val="none"/>
              </w:rPr>
            </w:pPr>
            <w:r>
              <w:rPr>
                <w:rFonts w:ascii="宋体" w:hAnsi="宋体" w:eastAsia="宋体" w:cs="宋体"/>
                <w:sz w:val="24"/>
                <w:szCs w:val="24"/>
                <w:highlight w:val="none"/>
              </w:rPr>
              <w:t>品牌</w:t>
            </w:r>
          </w:p>
        </w:tc>
        <w:tc>
          <w:tcPr>
            <w:tcW w:w="1274" w:type="dxa"/>
            <w:tcBorders>
              <w:right w:val="single" w:color="auto" w:sz="4" w:space="0"/>
            </w:tcBorders>
            <w:vAlign w:val="center"/>
          </w:tcPr>
          <w:p w14:paraId="34192D6E">
            <w:pPr>
              <w:pStyle w:val="4"/>
              <w:spacing w:line="324" w:lineRule="auto"/>
              <w:jc w:val="center"/>
              <w:rPr>
                <w:rFonts w:ascii="宋体" w:hAnsi="宋体" w:eastAsia="宋体" w:cs="宋体"/>
                <w:sz w:val="24"/>
                <w:szCs w:val="24"/>
                <w:highlight w:val="none"/>
              </w:rPr>
            </w:pPr>
            <w:bookmarkStart w:id="0" w:name="_Toc27392"/>
            <w:r>
              <w:rPr>
                <w:rFonts w:ascii="宋体" w:hAnsi="宋体" w:eastAsia="宋体" w:cs="宋体"/>
                <w:sz w:val="24"/>
                <w:szCs w:val="24"/>
                <w:highlight w:val="none"/>
              </w:rPr>
              <w:t>规格型号</w:t>
            </w:r>
            <w:bookmarkEnd w:id="0"/>
          </w:p>
        </w:tc>
        <w:tc>
          <w:tcPr>
            <w:tcW w:w="1769" w:type="dxa"/>
            <w:tcBorders>
              <w:left w:val="single" w:color="auto" w:sz="4" w:space="0"/>
            </w:tcBorders>
            <w:vAlign w:val="center"/>
          </w:tcPr>
          <w:p w14:paraId="44F0AA4E">
            <w:pPr>
              <w:pStyle w:val="4"/>
              <w:spacing w:line="324" w:lineRule="auto"/>
              <w:jc w:val="center"/>
              <w:rPr>
                <w:rFonts w:ascii="宋体" w:hAnsi="宋体" w:eastAsia="宋体" w:cs="宋体"/>
                <w:sz w:val="24"/>
                <w:szCs w:val="24"/>
                <w:highlight w:val="none"/>
              </w:rPr>
            </w:pPr>
            <w:r>
              <w:rPr>
                <w:rFonts w:ascii="宋体" w:hAnsi="宋体" w:eastAsia="宋体" w:cs="宋体"/>
                <w:sz w:val="24"/>
                <w:szCs w:val="24"/>
                <w:highlight w:val="none"/>
              </w:rPr>
              <w:t>生产厂家</w:t>
            </w:r>
          </w:p>
        </w:tc>
        <w:tc>
          <w:tcPr>
            <w:tcW w:w="608" w:type="dxa"/>
            <w:vAlign w:val="center"/>
          </w:tcPr>
          <w:p w14:paraId="5FC247E7">
            <w:pPr>
              <w:pStyle w:val="4"/>
              <w:spacing w:line="324" w:lineRule="auto"/>
              <w:jc w:val="center"/>
              <w:rPr>
                <w:rFonts w:ascii="宋体" w:hAnsi="宋体" w:eastAsia="宋体" w:cs="宋体"/>
                <w:sz w:val="24"/>
                <w:szCs w:val="24"/>
                <w:highlight w:val="none"/>
              </w:rPr>
            </w:pPr>
            <w:r>
              <w:rPr>
                <w:rFonts w:ascii="宋体" w:hAnsi="宋体" w:eastAsia="宋体" w:cs="宋体"/>
                <w:sz w:val="24"/>
                <w:szCs w:val="24"/>
                <w:highlight w:val="none"/>
              </w:rPr>
              <w:t>产地</w:t>
            </w:r>
          </w:p>
        </w:tc>
        <w:tc>
          <w:tcPr>
            <w:tcW w:w="1107" w:type="dxa"/>
            <w:tcBorders>
              <w:right w:val="single" w:color="auto" w:sz="4" w:space="0"/>
            </w:tcBorders>
            <w:vAlign w:val="center"/>
          </w:tcPr>
          <w:p w14:paraId="3B4D5364">
            <w:pPr>
              <w:pStyle w:val="4"/>
              <w:spacing w:line="324" w:lineRule="auto"/>
              <w:jc w:val="center"/>
              <w:rPr>
                <w:rFonts w:ascii="宋体" w:hAnsi="宋体" w:eastAsia="宋体" w:cs="宋体"/>
                <w:sz w:val="24"/>
                <w:szCs w:val="24"/>
                <w:highlight w:val="none"/>
              </w:rPr>
            </w:pPr>
            <w:bookmarkStart w:id="1" w:name="_Toc14127"/>
            <w:r>
              <w:rPr>
                <w:rFonts w:ascii="宋体" w:hAnsi="宋体" w:eastAsia="宋体" w:cs="宋体"/>
                <w:sz w:val="24"/>
                <w:szCs w:val="24"/>
                <w:highlight w:val="none"/>
              </w:rPr>
              <w:t>单价</w:t>
            </w:r>
            <w:bookmarkEnd w:id="1"/>
          </w:p>
        </w:tc>
        <w:tc>
          <w:tcPr>
            <w:tcW w:w="554" w:type="dxa"/>
            <w:tcBorders>
              <w:left w:val="single" w:color="auto" w:sz="4" w:space="0"/>
              <w:right w:val="single" w:color="auto" w:sz="4" w:space="0"/>
            </w:tcBorders>
            <w:vAlign w:val="center"/>
          </w:tcPr>
          <w:p w14:paraId="20850171">
            <w:pPr>
              <w:pStyle w:val="4"/>
              <w:spacing w:line="324" w:lineRule="auto"/>
              <w:jc w:val="center"/>
              <w:rPr>
                <w:rFonts w:ascii="宋体" w:hAnsi="宋体" w:eastAsia="宋体" w:cs="宋体"/>
                <w:sz w:val="24"/>
                <w:szCs w:val="24"/>
                <w:highlight w:val="none"/>
              </w:rPr>
            </w:pPr>
            <w:bookmarkStart w:id="2" w:name="_Toc31109"/>
            <w:r>
              <w:rPr>
                <w:rFonts w:ascii="宋体" w:hAnsi="宋体" w:eastAsia="宋体" w:cs="宋体"/>
                <w:sz w:val="24"/>
                <w:szCs w:val="24"/>
                <w:highlight w:val="none"/>
              </w:rPr>
              <w:t>数量</w:t>
            </w:r>
            <w:bookmarkEnd w:id="2"/>
          </w:p>
        </w:tc>
        <w:tc>
          <w:tcPr>
            <w:tcW w:w="1019" w:type="dxa"/>
            <w:vAlign w:val="center"/>
          </w:tcPr>
          <w:p w14:paraId="299504EC">
            <w:pPr>
              <w:pStyle w:val="4"/>
              <w:spacing w:line="324" w:lineRule="auto"/>
              <w:jc w:val="center"/>
              <w:rPr>
                <w:rFonts w:ascii="宋体" w:hAnsi="宋体" w:eastAsia="宋体" w:cs="宋体"/>
                <w:sz w:val="24"/>
                <w:szCs w:val="24"/>
                <w:highlight w:val="none"/>
              </w:rPr>
            </w:pPr>
            <w:r>
              <w:rPr>
                <w:rFonts w:ascii="宋体" w:hAnsi="宋体" w:eastAsia="宋体" w:cs="宋体"/>
                <w:sz w:val="24"/>
                <w:szCs w:val="24"/>
                <w:highlight w:val="none"/>
              </w:rPr>
              <w:t>总价</w:t>
            </w:r>
          </w:p>
        </w:tc>
      </w:tr>
      <w:tr w14:paraId="5045F5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48FEA0FF">
            <w:pPr>
              <w:widowControl/>
              <w:spacing w:line="324" w:lineRule="auto"/>
              <w:jc w:val="center"/>
              <w:textAlignment w:val="center"/>
              <w:rPr>
                <w:rFonts w:hint="eastAsia" w:ascii="宋体" w:hAnsi="宋体" w:cs="宋体"/>
                <w:sz w:val="24"/>
                <w:szCs w:val="24"/>
                <w:highlight w:val="none"/>
              </w:rPr>
            </w:pPr>
            <w:r>
              <w:rPr>
                <w:rFonts w:hint="eastAsia" w:ascii="宋体" w:hAnsi="宋体" w:cs="宋体"/>
                <w:kern w:val="0"/>
                <w:sz w:val="24"/>
                <w:szCs w:val="24"/>
                <w:highlight w:val="none"/>
                <w:lang w:bidi="ar"/>
              </w:rPr>
              <w:t>1</w:t>
            </w:r>
          </w:p>
        </w:tc>
        <w:tc>
          <w:tcPr>
            <w:tcW w:w="1096" w:type="dxa"/>
            <w:vAlign w:val="center"/>
          </w:tcPr>
          <w:p w14:paraId="6B733FD5">
            <w:pPr>
              <w:widowControl/>
              <w:spacing w:line="324" w:lineRule="auto"/>
              <w:jc w:val="center"/>
              <w:textAlignment w:val="center"/>
              <w:rPr>
                <w:rFonts w:hint="eastAsia" w:ascii="宋体" w:hAnsi="宋体" w:cs="宋体"/>
                <w:sz w:val="24"/>
                <w:szCs w:val="24"/>
                <w:highlight w:val="none"/>
              </w:rPr>
            </w:pPr>
          </w:p>
        </w:tc>
        <w:tc>
          <w:tcPr>
            <w:tcW w:w="1161" w:type="dxa"/>
            <w:vAlign w:val="center"/>
          </w:tcPr>
          <w:p w14:paraId="3F64CF7B">
            <w:pPr>
              <w:widowControl/>
              <w:spacing w:line="324" w:lineRule="auto"/>
              <w:jc w:val="center"/>
              <w:textAlignment w:val="center"/>
              <w:rPr>
                <w:rFonts w:hint="eastAsia" w:ascii="宋体" w:hAnsi="宋体" w:cs="宋体"/>
                <w:sz w:val="24"/>
                <w:szCs w:val="24"/>
                <w:highlight w:val="none"/>
              </w:rPr>
            </w:pPr>
          </w:p>
        </w:tc>
        <w:tc>
          <w:tcPr>
            <w:tcW w:w="1274" w:type="dxa"/>
            <w:tcBorders>
              <w:right w:val="single" w:color="auto" w:sz="4" w:space="0"/>
            </w:tcBorders>
            <w:vAlign w:val="center"/>
          </w:tcPr>
          <w:p w14:paraId="19787A54">
            <w:pPr>
              <w:widowControl/>
              <w:spacing w:line="324" w:lineRule="auto"/>
              <w:jc w:val="center"/>
              <w:textAlignment w:val="center"/>
              <w:rPr>
                <w:rFonts w:hint="eastAsia" w:ascii="宋体" w:hAnsi="宋体" w:cs="宋体"/>
                <w:sz w:val="24"/>
                <w:szCs w:val="24"/>
                <w:highlight w:val="none"/>
              </w:rPr>
            </w:pPr>
          </w:p>
        </w:tc>
        <w:tc>
          <w:tcPr>
            <w:tcW w:w="1769" w:type="dxa"/>
            <w:tcBorders>
              <w:left w:val="single" w:color="auto" w:sz="4" w:space="0"/>
            </w:tcBorders>
            <w:vAlign w:val="center"/>
          </w:tcPr>
          <w:p w14:paraId="3DF9976C">
            <w:pPr>
              <w:widowControl/>
              <w:spacing w:line="324" w:lineRule="auto"/>
              <w:jc w:val="center"/>
              <w:textAlignment w:val="center"/>
              <w:rPr>
                <w:rFonts w:hint="eastAsia" w:ascii="宋体" w:hAnsi="宋体" w:cs="宋体"/>
                <w:sz w:val="24"/>
                <w:szCs w:val="24"/>
                <w:highlight w:val="none"/>
              </w:rPr>
            </w:pPr>
          </w:p>
        </w:tc>
        <w:tc>
          <w:tcPr>
            <w:tcW w:w="608" w:type="dxa"/>
            <w:vAlign w:val="center"/>
          </w:tcPr>
          <w:p w14:paraId="2B32D8D6">
            <w:pPr>
              <w:widowControl/>
              <w:spacing w:line="324" w:lineRule="auto"/>
              <w:jc w:val="center"/>
              <w:textAlignment w:val="center"/>
              <w:rPr>
                <w:rFonts w:hint="eastAsia" w:ascii="宋体" w:hAnsi="宋体" w:cs="宋体"/>
                <w:sz w:val="24"/>
                <w:szCs w:val="24"/>
                <w:highlight w:val="none"/>
              </w:rPr>
            </w:pPr>
          </w:p>
        </w:tc>
        <w:tc>
          <w:tcPr>
            <w:tcW w:w="1107" w:type="dxa"/>
            <w:tcBorders>
              <w:right w:val="single" w:color="auto" w:sz="4" w:space="0"/>
            </w:tcBorders>
            <w:vAlign w:val="center"/>
          </w:tcPr>
          <w:p w14:paraId="58B551F9">
            <w:pPr>
              <w:widowControl/>
              <w:spacing w:line="324" w:lineRule="auto"/>
              <w:jc w:val="center"/>
              <w:textAlignment w:val="center"/>
              <w:rPr>
                <w:rFonts w:hint="eastAsia" w:ascii="宋体" w:hAnsi="宋体" w:cs="宋体"/>
                <w:sz w:val="24"/>
                <w:szCs w:val="24"/>
                <w:highlight w:val="none"/>
              </w:rPr>
            </w:pPr>
          </w:p>
        </w:tc>
        <w:tc>
          <w:tcPr>
            <w:tcW w:w="554" w:type="dxa"/>
            <w:tcBorders>
              <w:left w:val="single" w:color="auto" w:sz="4" w:space="0"/>
              <w:right w:val="single" w:color="auto" w:sz="4" w:space="0"/>
            </w:tcBorders>
            <w:vAlign w:val="center"/>
          </w:tcPr>
          <w:p w14:paraId="3F169B31">
            <w:pPr>
              <w:widowControl/>
              <w:spacing w:line="324" w:lineRule="auto"/>
              <w:jc w:val="center"/>
              <w:textAlignment w:val="center"/>
              <w:rPr>
                <w:rFonts w:hint="eastAsia" w:ascii="宋体" w:hAnsi="宋体" w:cs="宋体"/>
                <w:sz w:val="24"/>
                <w:szCs w:val="24"/>
                <w:highlight w:val="none"/>
              </w:rPr>
            </w:pPr>
          </w:p>
        </w:tc>
        <w:tc>
          <w:tcPr>
            <w:tcW w:w="1019" w:type="dxa"/>
            <w:vAlign w:val="center"/>
          </w:tcPr>
          <w:p w14:paraId="614C898E">
            <w:pPr>
              <w:widowControl/>
              <w:spacing w:line="324" w:lineRule="auto"/>
              <w:jc w:val="center"/>
              <w:textAlignment w:val="center"/>
              <w:rPr>
                <w:rFonts w:hint="eastAsia" w:ascii="宋体" w:hAnsi="宋体" w:cs="宋体"/>
                <w:kern w:val="0"/>
                <w:sz w:val="24"/>
                <w:szCs w:val="24"/>
                <w:highlight w:val="none"/>
                <w:lang w:bidi="ar"/>
              </w:rPr>
            </w:pPr>
          </w:p>
        </w:tc>
      </w:tr>
      <w:tr w14:paraId="469EB7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26F5DAA1">
            <w:pPr>
              <w:widowControl/>
              <w:spacing w:line="324" w:lineRule="auto"/>
              <w:jc w:val="center"/>
              <w:textAlignment w:val="center"/>
              <w:rPr>
                <w:rFonts w:hint="eastAsia" w:ascii="宋体" w:hAnsi="宋体" w:cs="宋体"/>
                <w:sz w:val="24"/>
                <w:szCs w:val="24"/>
                <w:highlight w:val="none"/>
              </w:rPr>
            </w:pPr>
            <w:r>
              <w:rPr>
                <w:rFonts w:hint="eastAsia" w:ascii="宋体" w:hAnsi="宋体" w:cs="宋体"/>
                <w:kern w:val="0"/>
                <w:sz w:val="24"/>
                <w:szCs w:val="24"/>
                <w:highlight w:val="none"/>
                <w:lang w:bidi="ar"/>
              </w:rPr>
              <w:t>2</w:t>
            </w:r>
          </w:p>
        </w:tc>
        <w:tc>
          <w:tcPr>
            <w:tcW w:w="1096" w:type="dxa"/>
            <w:vAlign w:val="center"/>
          </w:tcPr>
          <w:p w14:paraId="40D126EF">
            <w:pPr>
              <w:widowControl/>
              <w:spacing w:line="324" w:lineRule="auto"/>
              <w:jc w:val="center"/>
              <w:textAlignment w:val="center"/>
              <w:rPr>
                <w:rFonts w:hint="eastAsia" w:ascii="宋体" w:hAnsi="宋体" w:cs="宋体"/>
                <w:sz w:val="24"/>
                <w:szCs w:val="24"/>
                <w:highlight w:val="none"/>
              </w:rPr>
            </w:pPr>
          </w:p>
        </w:tc>
        <w:tc>
          <w:tcPr>
            <w:tcW w:w="1161" w:type="dxa"/>
            <w:vAlign w:val="center"/>
          </w:tcPr>
          <w:p w14:paraId="32CF6D80">
            <w:pPr>
              <w:widowControl/>
              <w:spacing w:line="324" w:lineRule="auto"/>
              <w:jc w:val="center"/>
              <w:textAlignment w:val="center"/>
              <w:rPr>
                <w:rFonts w:hint="eastAsia" w:ascii="宋体" w:hAnsi="宋体" w:cs="宋体"/>
                <w:sz w:val="24"/>
                <w:szCs w:val="24"/>
                <w:highlight w:val="none"/>
              </w:rPr>
            </w:pPr>
          </w:p>
        </w:tc>
        <w:tc>
          <w:tcPr>
            <w:tcW w:w="1274" w:type="dxa"/>
            <w:tcBorders>
              <w:right w:val="single" w:color="auto" w:sz="4" w:space="0"/>
            </w:tcBorders>
            <w:vAlign w:val="center"/>
          </w:tcPr>
          <w:p w14:paraId="5AA896B3">
            <w:pPr>
              <w:widowControl/>
              <w:spacing w:line="324" w:lineRule="auto"/>
              <w:jc w:val="center"/>
              <w:textAlignment w:val="center"/>
              <w:rPr>
                <w:rFonts w:hint="eastAsia" w:ascii="宋体" w:hAnsi="宋体" w:cs="宋体"/>
                <w:sz w:val="24"/>
                <w:szCs w:val="24"/>
                <w:highlight w:val="none"/>
              </w:rPr>
            </w:pPr>
          </w:p>
        </w:tc>
        <w:tc>
          <w:tcPr>
            <w:tcW w:w="1769" w:type="dxa"/>
            <w:tcBorders>
              <w:left w:val="single" w:color="auto" w:sz="4" w:space="0"/>
            </w:tcBorders>
            <w:vAlign w:val="center"/>
          </w:tcPr>
          <w:p w14:paraId="10AA2AA5">
            <w:pPr>
              <w:widowControl/>
              <w:spacing w:line="324" w:lineRule="auto"/>
              <w:jc w:val="center"/>
              <w:textAlignment w:val="center"/>
              <w:rPr>
                <w:rFonts w:hint="eastAsia" w:ascii="宋体" w:hAnsi="宋体" w:cs="宋体"/>
                <w:sz w:val="24"/>
                <w:szCs w:val="24"/>
                <w:highlight w:val="none"/>
              </w:rPr>
            </w:pPr>
          </w:p>
        </w:tc>
        <w:tc>
          <w:tcPr>
            <w:tcW w:w="608" w:type="dxa"/>
            <w:vAlign w:val="center"/>
          </w:tcPr>
          <w:p w14:paraId="6B32B8B5">
            <w:pPr>
              <w:widowControl/>
              <w:spacing w:line="324" w:lineRule="auto"/>
              <w:jc w:val="center"/>
              <w:textAlignment w:val="center"/>
              <w:rPr>
                <w:rFonts w:hint="eastAsia" w:ascii="宋体" w:hAnsi="宋体" w:cs="宋体"/>
                <w:sz w:val="24"/>
                <w:szCs w:val="24"/>
                <w:highlight w:val="none"/>
              </w:rPr>
            </w:pPr>
          </w:p>
        </w:tc>
        <w:tc>
          <w:tcPr>
            <w:tcW w:w="1107" w:type="dxa"/>
            <w:tcBorders>
              <w:right w:val="single" w:color="auto" w:sz="4" w:space="0"/>
            </w:tcBorders>
            <w:vAlign w:val="center"/>
          </w:tcPr>
          <w:p w14:paraId="13E4DD82">
            <w:pPr>
              <w:widowControl/>
              <w:spacing w:line="324" w:lineRule="auto"/>
              <w:jc w:val="center"/>
              <w:textAlignment w:val="center"/>
              <w:rPr>
                <w:rFonts w:hint="eastAsia" w:ascii="宋体" w:hAnsi="宋体" w:cs="宋体"/>
                <w:sz w:val="24"/>
                <w:szCs w:val="24"/>
                <w:highlight w:val="none"/>
              </w:rPr>
            </w:pPr>
          </w:p>
        </w:tc>
        <w:tc>
          <w:tcPr>
            <w:tcW w:w="554" w:type="dxa"/>
            <w:tcBorders>
              <w:left w:val="single" w:color="auto" w:sz="4" w:space="0"/>
              <w:right w:val="single" w:color="auto" w:sz="4" w:space="0"/>
            </w:tcBorders>
            <w:vAlign w:val="center"/>
          </w:tcPr>
          <w:p w14:paraId="4E12917A">
            <w:pPr>
              <w:widowControl/>
              <w:spacing w:line="324" w:lineRule="auto"/>
              <w:jc w:val="center"/>
              <w:textAlignment w:val="center"/>
              <w:rPr>
                <w:rFonts w:hint="eastAsia" w:ascii="宋体" w:hAnsi="宋体" w:cs="宋体"/>
                <w:sz w:val="24"/>
                <w:szCs w:val="24"/>
                <w:highlight w:val="none"/>
              </w:rPr>
            </w:pPr>
          </w:p>
        </w:tc>
        <w:tc>
          <w:tcPr>
            <w:tcW w:w="1019" w:type="dxa"/>
            <w:vAlign w:val="center"/>
          </w:tcPr>
          <w:p w14:paraId="3963D993">
            <w:pPr>
              <w:widowControl/>
              <w:spacing w:line="324" w:lineRule="auto"/>
              <w:jc w:val="center"/>
              <w:textAlignment w:val="center"/>
              <w:rPr>
                <w:rFonts w:hint="eastAsia" w:ascii="宋体" w:hAnsi="宋体" w:cs="宋体"/>
                <w:kern w:val="0"/>
                <w:sz w:val="24"/>
                <w:szCs w:val="24"/>
                <w:highlight w:val="none"/>
                <w:lang w:bidi="ar"/>
              </w:rPr>
            </w:pPr>
          </w:p>
        </w:tc>
      </w:tr>
      <w:tr w14:paraId="467736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51F5F7DE">
            <w:pPr>
              <w:widowControl/>
              <w:spacing w:line="324" w:lineRule="auto"/>
              <w:jc w:val="center"/>
              <w:textAlignment w:val="center"/>
              <w:rPr>
                <w:rFonts w:hint="eastAsia" w:ascii="宋体" w:hAnsi="宋体" w:cs="宋体"/>
                <w:sz w:val="24"/>
                <w:szCs w:val="24"/>
                <w:highlight w:val="none"/>
              </w:rPr>
            </w:pPr>
            <w:r>
              <w:rPr>
                <w:rFonts w:hint="eastAsia" w:ascii="宋体" w:hAnsi="宋体" w:cs="宋体"/>
                <w:kern w:val="0"/>
                <w:sz w:val="24"/>
                <w:szCs w:val="24"/>
                <w:highlight w:val="none"/>
                <w:lang w:bidi="ar"/>
              </w:rPr>
              <w:t>3</w:t>
            </w:r>
          </w:p>
        </w:tc>
        <w:tc>
          <w:tcPr>
            <w:tcW w:w="1096" w:type="dxa"/>
            <w:vAlign w:val="center"/>
          </w:tcPr>
          <w:p w14:paraId="6432DB95">
            <w:pPr>
              <w:widowControl/>
              <w:spacing w:line="324" w:lineRule="auto"/>
              <w:jc w:val="center"/>
              <w:textAlignment w:val="center"/>
              <w:rPr>
                <w:rFonts w:hint="eastAsia" w:ascii="宋体" w:hAnsi="宋体" w:cs="宋体"/>
                <w:sz w:val="24"/>
                <w:szCs w:val="24"/>
                <w:highlight w:val="none"/>
              </w:rPr>
            </w:pPr>
          </w:p>
        </w:tc>
        <w:tc>
          <w:tcPr>
            <w:tcW w:w="1161" w:type="dxa"/>
            <w:vAlign w:val="center"/>
          </w:tcPr>
          <w:p w14:paraId="0E1EDE77">
            <w:pPr>
              <w:widowControl/>
              <w:spacing w:line="324" w:lineRule="auto"/>
              <w:jc w:val="center"/>
              <w:textAlignment w:val="center"/>
              <w:rPr>
                <w:rFonts w:hint="eastAsia" w:ascii="宋体" w:hAnsi="宋体" w:cs="宋体"/>
                <w:sz w:val="24"/>
                <w:szCs w:val="24"/>
                <w:highlight w:val="none"/>
              </w:rPr>
            </w:pPr>
          </w:p>
        </w:tc>
        <w:tc>
          <w:tcPr>
            <w:tcW w:w="1274" w:type="dxa"/>
            <w:tcBorders>
              <w:right w:val="single" w:color="auto" w:sz="4" w:space="0"/>
            </w:tcBorders>
            <w:vAlign w:val="center"/>
          </w:tcPr>
          <w:p w14:paraId="51492DF5">
            <w:pPr>
              <w:widowControl/>
              <w:spacing w:line="324" w:lineRule="auto"/>
              <w:jc w:val="center"/>
              <w:textAlignment w:val="center"/>
              <w:rPr>
                <w:rFonts w:hint="eastAsia" w:ascii="宋体" w:hAnsi="宋体" w:cs="宋体"/>
                <w:sz w:val="24"/>
                <w:szCs w:val="24"/>
                <w:highlight w:val="none"/>
              </w:rPr>
            </w:pPr>
          </w:p>
        </w:tc>
        <w:tc>
          <w:tcPr>
            <w:tcW w:w="1769" w:type="dxa"/>
            <w:tcBorders>
              <w:left w:val="single" w:color="auto" w:sz="4" w:space="0"/>
            </w:tcBorders>
            <w:vAlign w:val="center"/>
          </w:tcPr>
          <w:p w14:paraId="7F74E8B7">
            <w:pPr>
              <w:widowControl/>
              <w:spacing w:line="324" w:lineRule="auto"/>
              <w:jc w:val="center"/>
              <w:textAlignment w:val="center"/>
              <w:rPr>
                <w:rFonts w:hint="eastAsia" w:ascii="宋体" w:hAnsi="宋体" w:cs="宋体"/>
                <w:sz w:val="24"/>
                <w:szCs w:val="24"/>
                <w:highlight w:val="none"/>
              </w:rPr>
            </w:pPr>
          </w:p>
        </w:tc>
        <w:tc>
          <w:tcPr>
            <w:tcW w:w="608" w:type="dxa"/>
            <w:vAlign w:val="center"/>
          </w:tcPr>
          <w:p w14:paraId="4310B715">
            <w:pPr>
              <w:widowControl/>
              <w:spacing w:line="324" w:lineRule="auto"/>
              <w:jc w:val="center"/>
              <w:textAlignment w:val="center"/>
              <w:rPr>
                <w:rFonts w:hint="eastAsia" w:ascii="宋体" w:hAnsi="宋体" w:cs="宋体"/>
                <w:sz w:val="24"/>
                <w:szCs w:val="24"/>
                <w:highlight w:val="none"/>
              </w:rPr>
            </w:pPr>
          </w:p>
        </w:tc>
        <w:tc>
          <w:tcPr>
            <w:tcW w:w="1107" w:type="dxa"/>
            <w:tcBorders>
              <w:right w:val="single" w:color="auto" w:sz="4" w:space="0"/>
            </w:tcBorders>
            <w:vAlign w:val="center"/>
          </w:tcPr>
          <w:p w14:paraId="734C6B2E">
            <w:pPr>
              <w:widowControl/>
              <w:spacing w:line="324" w:lineRule="auto"/>
              <w:jc w:val="center"/>
              <w:textAlignment w:val="center"/>
              <w:rPr>
                <w:rFonts w:hint="eastAsia" w:ascii="宋体" w:hAnsi="宋体" w:cs="宋体"/>
                <w:sz w:val="24"/>
                <w:szCs w:val="24"/>
                <w:highlight w:val="none"/>
              </w:rPr>
            </w:pPr>
          </w:p>
        </w:tc>
        <w:tc>
          <w:tcPr>
            <w:tcW w:w="554" w:type="dxa"/>
            <w:tcBorders>
              <w:left w:val="single" w:color="auto" w:sz="4" w:space="0"/>
              <w:right w:val="single" w:color="auto" w:sz="4" w:space="0"/>
            </w:tcBorders>
            <w:vAlign w:val="center"/>
          </w:tcPr>
          <w:p w14:paraId="55B8B9A6">
            <w:pPr>
              <w:widowControl/>
              <w:spacing w:line="324" w:lineRule="auto"/>
              <w:jc w:val="center"/>
              <w:textAlignment w:val="center"/>
              <w:rPr>
                <w:rFonts w:hint="eastAsia" w:ascii="宋体" w:hAnsi="宋体" w:cs="宋体"/>
                <w:sz w:val="24"/>
                <w:szCs w:val="24"/>
                <w:highlight w:val="none"/>
              </w:rPr>
            </w:pPr>
          </w:p>
        </w:tc>
        <w:tc>
          <w:tcPr>
            <w:tcW w:w="1019" w:type="dxa"/>
            <w:vAlign w:val="center"/>
          </w:tcPr>
          <w:p w14:paraId="2AB6EB8C">
            <w:pPr>
              <w:widowControl/>
              <w:spacing w:line="324" w:lineRule="auto"/>
              <w:jc w:val="center"/>
              <w:textAlignment w:val="center"/>
              <w:rPr>
                <w:rFonts w:hint="eastAsia" w:ascii="宋体" w:hAnsi="宋体" w:cs="宋体"/>
                <w:kern w:val="0"/>
                <w:sz w:val="24"/>
                <w:szCs w:val="24"/>
                <w:highlight w:val="none"/>
                <w:lang w:bidi="ar"/>
              </w:rPr>
            </w:pPr>
          </w:p>
        </w:tc>
      </w:tr>
      <w:tr w14:paraId="6CE793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666BC72C">
            <w:pPr>
              <w:widowControl/>
              <w:spacing w:line="324" w:lineRule="auto"/>
              <w:jc w:val="center"/>
              <w:textAlignment w:val="center"/>
              <w:rPr>
                <w:rFonts w:hint="eastAsia" w:ascii="宋体" w:hAnsi="宋体" w:cs="宋体"/>
                <w:sz w:val="24"/>
                <w:szCs w:val="24"/>
                <w:highlight w:val="none"/>
              </w:rPr>
            </w:pPr>
            <w:r>
              <w:rPr>
                <w:rFonts w:hint="eastAsia" w:ascii="宋体" w:hAnsi="宋体" w:cs="宋体"/>
                <w:kern w:val="0"/>
                <w:sz w:val="24"/>
                <w:szCs w:val="24"/>
                <w:highlight w:val="none"/>
                <w:lang w:bidi="ar"/>
              </w:rPr>
              <w:t>4</w:t>
            </w:r>
          </w:p>
        </w:tc>
        <w:tc>
          <w:tcPr>
            <w:tcW w:w="1096" w:type="dxa"/>
            <w:vAlign w:val="center"/>
          </w:tcPr>
          <w:p w14:paraId="4FC4C597">
            <w:pPr>
              <w:widowControl/>
              <w:spacing w:line="324" w:lineRule="auto"/>
              <w:jc w:val="center"/>
              <w:textAlignment w:val="center"/>
              <w:rPr>
                <w:rFonts w:hint="eastAsia" w:ascii="宋体" w:hAnsi="宋体" w:cs="宋体"/>
                <w:sz w:val="24"/>
                <w:szCs w:val="24"/>
                <w:highlight w:val="none"/>
              </w:rPr>
            </w:pPr>
          </w:p>
        </w:tc>
        <w:tc>
          <w:tcPr>
            <w:tcW w:w="1161" w:type="dxa"/>
            <w:vAlign w:val="center"/>
          </w:tcPr>
          <w:p w14:paraId="4ADD0D31">
            <w:pPr>
              <w:widowControl/>
              <w:spacing w:line="324" w:lineRule="auto"/>
              <w:jc w:val="center"/>
              <w:textAlignment w:val="center"/>
              <w:rPr>
                <w:rFonts w:hint="eastAsia" w:ascii="宋体" w:hAnsi="宋体" w:cs="宋体"/>
                <w:sz w:val="24"/>
                <w:szCs w:val="24"/>
                <w:highlight w:val="none"/>
              </w:rPr>
            </w:pPr>
          </w:p>
        </w:tc>
        <w:tc>
          <w:tcPr>
            <w:tcW w:w="1274" w:type="dxa"/>
            <w:tcBorders>
              <w:right w:val="single" w:color="auto" w:sz="4" w:space="0"/>
            </w:tcBorders>
            <w:vAlign w:val="center"/>
          </w:tcPr>
          <w:p w14:paraId="1D4FFAC0">
            <w:pPr>
              <w:widowControl/>
              <w:spacing w:line="324" w:lineRule="auto"/>
              <w:jc w:val="center"/>
              <w:textAlignment w:val="center"/>
              <w:rPr>
                <w:rFonts w:hint="eastAsia" w:ascii="宋体" w:hAnsi="宋体" w:cs="宋体"/>
                <w:sz w:val="24"/>
                <w:szCs w:val="24"/>
                <w:highlight w:val="none"/>
              </w:rPr>
            </w:pPr>
          </w:p>
        </w:tc>
        <w:tc>
          <w:tcPr>
            <w:tcW w:w="1769" w:type="dxa"/>
            <w:tcBorders>
              <w:left w:val="single" w:color="auto" w:sz="4" w:space="0"/>
            </w:tcBorders>
            <w:vAlign w:val="center"/>
          </w:tcPr>
          <w:p w14:paraId="20536B72">
            <w:pPr>
              <w:widowControl/>
              <w:spacing w:line="324" w:lineRule="auto"/>
              <w:jc w:val="center"/>
              <w:textAlignment w:val="center"/>
              <w:rPr>
                <w:rFonts w:hint="eastAsia" w:ascii="宋体" w:hAnsi="宋体" w:cs="宋体"/>
                <w:sz w:val="24"/>
                <w:szCs w:val="24"/>
                <w:highlight w:val="none"/>
              </w:rPr>
            </w:pPr>
          </w:p>
        </w:tc>
        <w:tc>
          <w:tcPr>
            <w:tcW w:w="608" w:type="dxa"/>
            <w:vAlign w:val="center"/>
          </w:tcPr>
          <w:p w14:paraId="3B4DCA22">
            <w:pPr>
              <w:widowControl/>
              <w:spacing w:line="324" w:lineRule="auto"/>
              <w:jc w:val="center"/>
              <w:textAlignment w:val="center"/>
              <w:rPr>
                <w:rFonts w:hint="eastAsia" w:ascii="宋体" w:hAnsi="宋体" w:cs="宋体"/>
                <w:sz w:val="24"/>
                <w:szCs w:val="24"/>
                <w:highlight w:val="none"/>
              </w:rPr>
            </w:pPr>
          </w:p>
        </w:tc>
        <w:tc>
          <w:tcPr>
            <w:tcW w:w="1107" w:type="dxa"/>
            <w:tcBorders>
              <w:right w:val="single" w:color="auto" w:sz="4" w:space="0"/>
            </w:tcBorders>
            <w:vAlign w:val="center"/>
          </w:tcPr>
          <w:p w14:paraId="32504C66">
            <w:pPr>
              <w:widowControl/>
              <w:spacing w:line="324" w:lineRule="auto"/>
              <w:jc w:val="center"/>
              <w:textAlignment w:val="center"/>
              <w:rPr>
                <w:rFonts w:hint="eastAsia" w:ascii="宋体" w:hAnsi="宋体" w:cs="宋体"/>
                <w:sz w:val="24"/>
                <w:szCs w:val="24"/>
                <w:highlight w:val="none"/>
              </w:rPr>
            </w:pPr>
          </w:p>
        </w:tc>
        <w:tc>
          <w:tcPr>
            <w:tcW w:w="554" w:type="dxa"/>
            <w:tcBorders>
              <w:left w:val="single" w:color="auto" w:sz="4" w:space="0"/>
              <w:right w:val="single" w:color="auto" w:sz="4" w:space="0"/>
            </w:tcBorders>
            <w:vAlign w:val="center"/>
          </w:tcPr>
          <w:p w14:paraId="4D8FBAEC">
            <w:pPr>
              <w:widowControl/>
              <w:spacing w:line="324" w:lineRule="auto"/>
              <w:jc w:val="center"/>
              <w:textAlignment w:val="center"/>
              <w:rPr>
                <w:rFonts w:hint="eastAsia" w:ascii="宋体" w:hAnsi="宋体" w:cs="宋体"/>
                <w:sz w:val="24"/>
                <w:szCs w:val="24"/>
                <w:highlight w:val="none"/>
              </w:rPr>
            </w:pPr>
          </w:p>
        </w:tc>
        <w:tc>
          <w:tcPr>
            <w:tcW w:w="1019" w:type="dxa"/>
            <w:vAlign w:val="center"/>
          </w:tcPr>
          <w:p w14:paraId="1E02CFB8">
            <w:pPr>
              <w:widowControl/>
              <w:spacing w:line="324" w:lineRule="auto"/>
              <w:jc w:val="center"/>
              <w:textAlignment w:val="center"/>
              <w:rPr>
                <w:rFonts w:hint="eastAsia" w:ascii="宋体" w:hAnsi="宋体" w:cs="宋体"/>
                <w:kern w:val="0"/>
                <w:sz w:val="24"/>
                <w:szCs w:val="24"/>
                <w:highlight w:val="none"/>
                <w:lang w:bidi="ar"/>
              </w:rPr>
            </w:pPr>
          </w:p>
        </w:tc>
      </w:tr>
      <w:tr w14:paraId="6FCA20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0B114354">
            <w:pPr>
              <w:widowControl/>
              <w:spacing w:line="324" w:lineRule="auto"/>
              <w:jc w:val="center"/>
              <w:textAlignment w:val="center"/>
              <w:rPr>
                <w:rFonts w:hint="eastAsia" w:ascii="宋体" w:hAnsi="宋体" w:cs="宋体"/>
                <w:sz w:val="24"/>
                <w:szCs w:val="24"/>
                <w:highlight w:val="none"/>
              </w:rPr>
            </w:pPr>
            <w:r>
              <w:rPr>
                <w:rFonts w:hint="eastAsia" w:ascii="宋体" w:hAnsi="宋体" w:cs="宋体"/>
                <w:kern w:val="0"/>
                <w:sz w:val="24"/>
                <w:szCs w:val="24"/>
                <w:highlight w:val="none"/>
                <w:lang w:bidi="ar"/>
              </w:rPr>
              <w:t>5</w:t>
            </w:r>
          </w:p>
        </w:tc>
        <w:tc>
          <w:tcPr>
            <w:tcW w:w="1096" w:type="dxa"/>
            <w:vAlign w:val="center"/>
          </w:tcPr>
          <w:p w14:paraId="3050B42D">
            <w:pPr>
              <w:widowControl/>
              <w:spacing w:line="324" w:lineRule="auto"/>
              <w:jc w:val="center"/>
              <w:textAlignment w:val="center"/>
              <w:rPr>
                <w:rFonts w:hint="eastAsia" w:ascii="宋体" w:hAnsi="宋体" w:cs="宋体"/>
                <w:sz w:val="24"/>
                <w:szCs w:val="24"/>
                <w:highlight w:val="none"/>
              </w:rPr>
            </w:pPr>
          </w:p>
        </w:tc>
        <w:tc>
          <w:tcPr>
            <w:tcW w:w="1161" w:type="dxa"/>
            <w:vAlign w:val="center"/>
          </w:tcPr>
          <w:p w14:paraId="231CE0D7">
            <w:pPr>
              <w:widowControl/>
              <w:spacing w:line="324" w:lineRule="auto"/>
              <w:jc w:val="center"/>
              <w:textAlignment w:val="center"/>
              <w:rPr>
                <w:rFonts w:hint="eastAsia" w:ascii="宋体" w:hAnsi="宋体" w:cs="宋体"/>
                <w:sz w:val="24"/>
                <w:szCs w:val="24"/>
                <w:highlight w:val="none"/>
              </w:rPr>
            </w:pPr>
          </w:p>
        </w:tc>
        <w:tc>
          <w:tcPr>
            <w:tcW w:w="1274" w:type="dxa"/>
            <w:tcBorders>
              <w:right w:val="single" w:color="auto" w:sz="4" w:space="0"/>
            </w:tcBorders>
            <w:vAlign w:val="center"/>
          </w:tcPr>
          <w:p w14:paraId="25EA5E51">
            <w:pPr>
              <w:widowControl/>
              <w:spacing w:line="324" w:lineRule="auto"/>
              <w:jc w:val="center"/>
              <w:textAlignment w:val="center"/>
              <w:rPr>
                <w:rFonts w:hint="eastAsia" w:ascii="宋体" w:hAnsi="宋体" w:cs="宋体"/>
                <w:sz w:val="24"/>
                <w:szCs w:val="24"/>
                <w:highlight w:val="none"/>
              </w:rPr>
            </w:pPr>
          </w:p>
        </w:tc>
        <w:tc>
          <w:tcPr>
            <w:tcW w:w="1769" w:type="dxa"/>
            <w:tcBorders>
              <w:left w:val="single" w:color="auto" w:sz="4" w:space="0"/>
            </w:tcBorders>
            <w:vAlign w:val="center"/>
          </w:tcPr>
          <w:p w14:paraId="2B310479">
            <w:pPr>
              <w:widowControl/>
              <w:spacing w:line="324" w:lineRule="auto"/>
              <w:jc w:val="center"/>
              <w:textAlignment w:val="center"/>
              <w:rPr>
                <w:rFonts w:hint="eastAsia" w:ascii="宋体" w:hAnsi="宋体" w:cs="宋体"/>
                <w:sz w:val="24"/>
                <w:szCs w:val="24"/>
                <w:highlight w:val="none"/>
              </w:rPr>
            </w:pPr>
          </w:p>
        </w:tc>
        <w:tc>
          <w:tcPr>
            <w:tcW w:w="608" w:type="dxa"/>
            <w:vAlign w:val="center"/>
          </w:tcPr>
          <w:p w14:paraId="12854E88">
            <w:pPr>
              <w:widowControl/>
              <w:spacing w:line="324" w:lineRule="auto"/>
              <w:jc w:val="center"/>
              <w:textAlignment w:val="center"/>
              <w:rPr>
                <w:rFonts w:hint="eastAsia" w:ascii="宋体" w:hAnsi="宋体" w:cs="宋体"/>
                <w:sz w:val="24"/>
                <w:szCs w:val="24"/>
                <w:highlight w:val="none"/>
              </w:rPr>
            </w:pPr>
          </w:p>
        </w:tc>
        <w:tc>
          <w:tcPr>
            <w:tcW w:w="1107" w:type="dxa"/>
            <w:tcBorders>
              <w:right w:val="single" w:color="auto" w:sz="4" w:space="0"/>
            </w:tcBorders>
            <w:vAlign w:val="center"/>
          </w:tcPr>
          <w:p w14:paraId="1F227034">
            <w:pPr>
              <w:widowControl/>
              <w:spacing w:line="324" w:lineRule="auto"/>
              <w:jc w:val="center"/>
              <w:textAlignment w:val="center"/>
              <w:rPr>
                <w:rFonts w:hint="eastAsia" w:ascii="宋体" w:hAnsi="宋体" w:cs="宋体"/>
                <w:sz w:val="24"/>
                <w:szCs w:val="24"/>
                <w:highlight w:val="none"/>
              </w:rPr>
            </w:pPr>
          </w:p>
        </w:tc>
        <w:tc>
          <w:tcPr>
            <w:tcW w:w="554" w:type="dxa"/>
            <w:tcBorders>
              <w:left w:val="single" w:color="auto" w:sz="4" w:space="0"/>
              <w:right w:val="single" w:color="auto" w:sz="4" w:space="0"/>
            </w:tcBorders>
            <w:vAlign w:val="center"/>
          </w:tcPr>
          <w:p w14:paraId="07374898">
            <w:pPr>
              <w:widowControl/>
              <w:spacing w:line="324" w:lineRule="auto"/>
              <w:jc w:val="center"/>
              <w:textAlignment w:val="center"/>
              <w:rPr>
                <w:rFonts w:hint="eastAsia" w:ascii="宋体" w:hAnsi="宋体" w:cs="宋体"/>
                <w:sz w:val="24"/>
                <w:szCs w:val="24"/>
                <w:highlight w:val="none"/>
              </w:rPr>
            </w:pPr>
          </w:p>
        </w:tc>
        <w:tc>
          <w:tcPr>
            <w:tcW w:w="1019" w:type="dxa"/>
            <w:vAlign w:val="center"/>
          </w:tcPr>
          <w:p w14:paraId="6EE8B08E">
            <w:pPr>
              <w:widowControl/>
              <w:spacing w:line="324" w:lineRule="auto"/>
              <w:jc w:val="center"/>
              <w:textAlignment w:val="center"/>
              <w:rPr>
                <w:rFonts w:hint="eastAsia" w:ascii="宋体" w:hAnsi="宋体" w:cs="宋体"/>
                <w:kern w:val="0"/>
                <w:sz w:val="24"/>
                <w:szCs w:val="24"/>
                <w:highlight w:val="none"/>
                <w:lang w:bidi="ar"/>
              </w:rPr>
            </w:pPr>
          </w:p>
        </w:tc>
      </w:tr>
    </w:tbl>
    <w:p w14:paraId="384A3A7B">
      <w:pPr>
        <w:pStyle w:val="4"/>
        <w:spacing w:line="324" w:lineRule="auto"/>
        <w:jc w:val="both"/>
        <w:outlineLvl w:val="0"/>
        <w:rPr>
          <w:rFonts w:ascii="宋体" w:hAnsi="宋体" w:eastAsia="宋体" w:cs="宋体"/>
          <w:b/>
          <w:kern w:val="2"/>
          <w:sz w:val="24"/>
          <w:szCs w:val="24"/>
          <w:highlight w:val="none"/>
          <w:lang w:eastAsia="zh-CN"/>
        </w:rPr>
      </w:pPr>
      <w:r>
        <w:rPr>
          <w:rFonts w:ascii="宋体" w:hAnsi="宋体" w:eastAsia="宋体" w:cs="宋体"/>
          <w:b/>
          <w:kern w:val="2"/>
          <w:sz w:val="24"/>
          <w:szCs w:val="24"/>
          <w:highlight w:val="none"/>
          <w:lang w:eastAsia="zh-CN"/>
        </w:rPr>
        <w:t>八、项目实施或货物交付地点：采购人指定地点。</w:t>
      </w:r>
    </w:p>
    <w:p w14:paraId="12B24E8A">
      <w:pPr>
        <w:pStyle w:val="4"/>
        <w:spacing w:line="324" w:lineRule="auto"/>
        <w:jc w:val="both"/>
        <w:outlineLvl w:val="0"/>
        <w:rPr>
          <w:rFonts w:ascii="宋体" w:hAnsi="宋体" w:eastAsia="宋体" w:cs="宋体"/>
          <w:b/>
          <w:kern w:val="2"/>
          <w:sz w:val="24"/>
          <w:szCs w:val="24"/>
          <w:highlight w:val="none"/>
          <w:lang w:eastAsia="zh-CN"/>
        </w:rPr>
      </w:pPr>
      <w:r>
        <w:rPr>
          <w:rFonts w:ascii="宋体" w:hAnsi="宋体" w:eastAsia="宋体" w:cs="宋体"/>
          <w:b/>
          <w:kern w:val="2"/>
          <w:sz w:val="24"/>
          <w:szCs w:val="24"/>
          <w:highlight w:val="none"/>
          <w:lang w:eastAsia="zh-CN"/>
        </w:rPr>
        <w:t>九、验收标准和方法</w:t>
      </w:r>
    </w:p>
    <w:p w14:paraId="5D7BAD0B">
      <w:pPr>
        <w:pStyle w:val="4"/>
        <w:spacing w:line="324" w:lineRule="auto"/>
        <w:ind w:firstLine="480" w:firstLineChars="200"/>
        <w:jc w:val="both"/>
        <w:rPr>
          <w:rFonts w:ascii="宋体" w:hAnsi="宋体" w:eastAsia="宋体" w:cs="宋体"/>
          <w:sz w:val="24"/>
          <w:szCs w:val="24"/>
          <w:highlight w:val="none"/>
        </w:rPr>
      </w:pPr>
      <w:r>
        <w:rPr>
          <w:rFonts w:ascii="宋体" w:hAnsi="宋体" w:eastAsia="宋体" w:cs="宋体"/>
          <w:sz w:val="24"/>
          <w:szCs w:val="24"/>
          <w:highlight w:val="none"/>
        </w:rPr>
        <w:t>到货验收：设备到达采购人指定地点后，供应商应提供产品（包括部件、附件）清单，由采购人使用部门、供应商共同进行初步验收。初步验收主要对所供设备及所有部件的外观、生产商、型号、规格、数量及证书报告根据招标文件、供应商的投标文件等进行检查，确认是否符合初步验收标准。所验设备或部件不符合初步验收标准时，不得进行安装，供应商必须</w:t>
      </w:r>
      <w:r>
        <w:rPr>
          <w:rFonts w:ascii="宋体" w:hAnsi="宋体" w:eastAsia="宋体" w:cs="宋体"/>
          <w:sz w:val="24"/>
          <w:szCs w:val="24"/>
          <w:highlight w:val="none"/>
          <w:lang w:eastAsia="zh-CN"/>
        </w:rPr>
        <w:t>无条件</w:t>
      </w:r>
      <w:r>
        <w:rPr>
          <w:rFonts w:ascii="宋体" w:hAnsi="宋体" w:eastAsia="宋体" w:cs="宋体"/>
          <w:sz w:val="24"/>
          <w:szCs w:val="24"/>
          <w:highlight w:val="none"/>
        </w:rPr>
        <w:t>更换或退货，并承担所有相关责任及费用，以及逾期交付的违约责任。</w:t>
      </w:r>
    </w:p>
    <w:p w14:paraId="6CAA5F94">
      <w:pPr>
        <w:pStyle w:val="4"/>
        <w:spacing w:line="324" w:lineRule="auto"/>
        <w:ind w:firstLine="480" w:firstLineChars="200"/>
        <w:jc w:val="both"/>
        <w:rPr>
          <w:rFonts w:ascii="宋体" w:hAnsi="宋体" w:eastAsia="宋体" w:cs="宋体"/>
          <w:sz w:val="24"/>
          <w:szCs w:val="24"/>
          <w:highlight w:val="none"/>
        </w:rPr>
      </w:pPr>
      <w:r>
        <w:rPr>
          <w:rFonts w:ascii="宋体" w:hAnsi="宋体" w:eastAsia="宋体" w:cs="宋体"/>
          <w:sz w:val="24"/>
          <w:szCs w:val="24"/>
          <w:highlight w:val="none"/>
        </w:rPr>
        <w:t>整机验收：设备安装、调试、检定完毕后，供应商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供应商向采购人移交所有技术资料。所验产品达不到验收标准的，或在使用中发现采购人不能容忍的缺陷等，将视为验收不合格，供应商应按采购人的要求及规定的时间内无条件整改，包括</w:t>
      </w:r>
      <w:r>
        <w:rPr>
          <w:rFonts w:ascii="宋体" w:hAnsi="宋体" w:eastAsia="宋体" w:cs="宋体"/>
          <w:sz w:val="24"/>
          <w:szCs w:val="24"/>
          <w:highlight w:val="none"/>
          <w:lang w:eastAsia="zh-CN"/>
        </w:rPr>
        <w:t>无条件</w:t>
      </w:r>
      <w:r>
        <w:rPr>
          <w:rFonts w:ascii="宋体" w:hAnsi="宋体" w:eastAsia="宋体" w:cs="宋体"/>
          <w:sz w:val="24"/>
          <w:szCs w:val="24"/>
          <w:highlight w:val="none"/>
        </w:rPr>
        <w:t>更换或退货，并承担所有相关费用，以及逾期交付的违约责任。</w:t>
      </w:r>
    </w:p>
    <w:p w14:paraId="5F218FC6">
      <w:pPr>
        <w:pStyle w:val="4"/>
        <w:spacing w:line="324" w:lineRule="auto"/>
        <w:jc w:val="both"/>
        <w:rPr>
          <w:rFonts w:ascii="宋体" w:hAnsi="宋体" w:eastAsia="宋体" w:cs="宋体"/>
          <w:sz w:val="24"/>
          <w:szCs w:val="24"/>
          <w:highlight w:val="none"/>
        </w:rPr>
      </w:pPr>
      <w:r>
        <w:rPr>
          <w:rFonts w:ascii="宋体" w:hAnsi="宋体" w:eastAsia="宋体" w:cs="宋体"/>
          <w:sz w:val="24"/>
          <w:szCs w:val="24"/>
          <w:highlight w:val="none"/>
        </w:rPr>
        <w:t xml:space="preserve">    整机验收合格后，供应商提交经使用部门签字认可的培训记录（1份）、加盖公章的售后服务承诺书（3份），并填写《西安市市级单位政府采购合同履约验收单》（4份），方视为最终通过验收，最终验收合格之日起计算质保期。</w:t>
      </w:r>
    </w:p>
    <w:p w14:paraId="2595850F">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质保期内，若存在质量、服务问题，供应商应当按照投标文件中承诺的条款及时进行处理。</w:t>
      </w:r>
    </w:p>
    <w:p w14:paraId="741E5A07">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若发现供应商弄虚作假，在招投标阶段故意或随意夸大所投产品技术参数、产品性能，或以国产产品冒充进口产品或提供贴牌产品的，供应商应无条件退货，采购方有权单方解除本合同，供应商赔偿采购人所有的损失。供应商提供的溯源证书必须真实、有效，并承担因证书不实引发的一切法律责任。同时，采购人有权将供应商违法违规情况向西安市政府采购监督部门通报，并由其依法进行处理。 </w:t>
      </w:r>
    </w:p>
    <w:p w14:paraId="4B70A69E">
      <w:pPr>
        <w:pStyle w:val="4"/>
        <w:spacing w:line="324" w:lineRule="auto"/>
        <w:ind w:firstLine="480" w:firstLineChars="200"/>
        <w:rPr>
          <w:rFonts w:ascii="宋体" w:hAnsi="宋体" w:eastAsia="宋体" w:cs="宋体"/>
          <w:sz w:val="24"/>
          <w:szCs w:val="24"/>
          <w:highlight w:val="none"/>
        </w:rPr>
      </w:pPr>
      <w:r>
        <w:rPr>
          <w:rFonts w:ascii="宋体" w:hAnsi="宋体" w:eastAsia="宋体" w:cs="宋体"/>
          <w:sz w:val="24"/>
          <w:szCs w:val="24"/>
          <w:highlight w:val="none"/>
        </w:rPr>
        <w:t>履约验收标准：</w:t>
      </w:r>
    </w:p>
    <w:p w14:paraId="3BB4E0C7">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①合同文本；</w:t>
      </w:r>
    </w:p>
    <w:p w14:paraId="252002EB">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②投标文件及澄清函、招标文件；</w:t>
      </w:r>
    </w:p>
    <w:p w14:paraId="581CB5EE">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③国家和行业、企业制定的相应标准和规范；</w:t>
      </w:r>
    </w:p>
    <w:p w14:paraId="607C4D04">
      <w:pPr>
        <w:pStyle w:val="4"/>
        <w:spacing w:line="324" w:lineRule="auto"/>
        <w:ind w:firstLine="480"/>
        <w:rPr>
          <w:rFonts w:ascii="宋体" w:hAnsi="宋体" w:eastAsia="宋体" w:cs="宋体"/>
          <w:sz w:val="24"/>
          <w:szCs w:val="24"/>
          <w:highlight w:val="none"/>
          <w:lang w:eastAsia="zh-CN"/>
        </w:rPr>
      </w:pPr>
      <w:r>
        <w:rPr>
          <w:rFonts w:ascii="宋体" w:hAnsi="宋体" w:eastAsia="宋体" w:cs="宋体"/>
          <w:sz w:val="24"/>
          <w:szCs w:val="24"/>
          <w:highlight w:val="none"/>
        </w:rPr>
        <w:t>④JJF 1586《主动活塞式流量标准装置校准规范》、 JJG 643《标准表法流量标准装置》、JJG 620《临界流文丘里喷嘴》、JJG 633《气体容积式流量计》、JJF 1357《湿式气体流量计校准规范》</w:t>
      </w:r>
      <w:r>
        <w:rPr>
          <w:rFonts w:ascii="宋体" w:hAnsi="宋体" w:eastAsia="宋体" w:cs="宋体"/>
          <w:sz w:val="24"/>
          <w:szCs w:val="24"/>
          <w:highlight w:val="none"/>
          <w:lang w:eastAsia="zh-CN"/>
        </w:rPr>
        <w:t>、</w:t>
      </w:r>
      <w:r>
        <w:rPr>
          <w:rFonts w:ascii="宋体" w:hAnsi="宋体" w:eastAsia="宋体" w:cs="宋体"/>
          <w:sz w:val="24"/>
          <w:szCs w:val="24"/>
          <w:highlight w:val="none"/>
        </w:rPr>
        <w:t>JJF 1627《皂膜流量计法标准漏孔校准规范》</w:t>
      </w:r>
      <w:r>
        <w:rPr>
          <w:rFonts w:ascii="宋体" w:hAnsi="宋体" w:eastAsia="宋体" w:cs="宋体"/>
          <w:sz w:val="24"/>
          <w:szCs w:val="24"/>
          <w:highlight w:val="none"/>
          <w:lang w:eastAsia="zh-CN"/>
        </w:rPr>
        <w:t>、</w:t>
      </w:r>
      <w:r>
        <w:rPr>
          <w:rFonts w:ascii="宋体" w:hAnsi="宋体" w:eastAsia="宋体" w:cs="宋体"/>
          <w:sz w:val="24"/>
          <w:szCs w:val="24"/>
          <w:highlight w:val="none"/>
        </w:rPr>
        <w:t>JJG 517《出租汽车计价器》</w:t>
      </w:r>
      <w:r>
        <w:rPr>
          <w:rFonts w:ascii="宋体" w:hAnsi="宋体" w:eastAsia="宋体" w:cs="宋体"/>
          <w:sz w:val="24"/>
          <w:szCs w:val="24"/>
          <w:highlight w:val="none"/>
          <w:lang w:eastAsia="zh-CN"/>
        </w:rPr>
        <w:t>、</w:t>
      </w:r>
      <w:r>
        <w:rPr>
          <w:rFonts w:ascii="宋体" w:hAnsi="宋体" w:eastAsia="宋体" w:cs="宋体"/>
          <w:sz w:val="24"/>
          <w:szCs w:val="24"/>
          <w:highlight w:val="none"/>
        </w:rPr>
        <w:t>JJG 974-2002 《水泥软练设备测量仪》、JJF 1867-2020 《水泥胶砂振动台校准规范》、JJF 2094-2024《行星式水泥胶砂搅拌机校准规范》、JJF（建材）124-2021《水泥胶砂试体成型振实台校准规范》</w:t>
      </w:r>
      <w:r>
        <w:rPr>
          <w:rFonts w:ascii="宋体" w:hAnsi="宋体" w:eastAsia="宋体" w:cs="宋体"/>
          <w:sz w:val="24"/>
          <w:szCs w:val="24"/>
          <w:highlight w:val="none"/>
          <w:lang w:eastAsia="zh-CN"/>
        </w:rPr>
        <w:t>、</w:t>
      </w:r>
      <w:r>
        <w:rPr>
          <w:rFonts w:ascii="宋体" w:hAnsi="宋体" w:eastAsia="宋体" w:cs="宋体"/>
          <w:sz w:val="24"/>
          <w:szCs w:val="24"/>
          <w:highlight w:val="none"/>
        </w:rPr>
        <w:t>JJG 59-2022《液体活塞式压力计》、JJF 1411-2013《测量内尺寸千分尺校准规范》、JJG 99-2022《砝码》</w:t>
      </w:r>
      <w:r>
        <w:rPr>
          <w:rFonts w:ascii="宋体" w:hAnsi="宋体" w:eastAsia="宋体" w:cs="宋体"/>
          <w:sz w:val="24"/>
          <w:szCs w:val="24"/>
          <w:highlight w:val="none"/>
          <w:lang w:eastAsia="zh-CN"/>
        </w:rPr>
        <w:t>、</w:t>
      </w:r>
      <w:r>
        <w:rPr>
          <w:rFonts w:ascii="宋体" w:hAnsi="宋体" w:eastAsia="宋体" w:cs="宋体"/>
          <w:sz w:val="24"/>
          <w:szCs w:val="24"/>
          <w:highlight w:val="none"/>
        </w:rPr>
        <w:t>JJG 276-2009《高温蠕变、持久强度试验机》、JJF 1171-2024《温湿度巡回检测仪校准规范》、JJG 141-2013《工作用贵金属热电偶》、JJF 1664-2017《温度显示仪校准规范》</w:t>
      </w:r>
      <w:r>
        <w:rPr>
          <w:rFonts w:ascii="宋体" w:hAnsi="宋体" w:eastAsia="宋体" w:cs="宋体"/>
          <w:sz w:val="24"/>
          <w:szCs w:val="24"/>
          <w:highlight w:val="none"/>
          <w:lang w:eastAsia="zh-CN"/>
        </w:rPr>
        <w:t>、</w:t>
      </w:r>
      <w:r>
        <w:rPr>
          <w:rFonts w:ascii="宋体" w:hAnsi="宋体" w:eastAsia="宋体" w:cs="宋体"/>
          <w:sz w:val="24"/>
          <w:szCs w:val="24"/>
          <w:highlight w:val="none"/>
        </w:rPr>
        <w:t>JJG 875-2019《数字压力计》等计量技术规范的要求（所列规范标准如有更新，以最新规范标准执行）等。</w:t>
      </w:r>
    </w:p>
    <w:p w14:paraId="1BA37F54">
      <w:pPr>
        <w:pStyle w:val="4"/>
        <w:spacing w:line="324" w:lineRule="auto"/>
        <w:ind w:firstLine="480"/>
        <w:rPr>
          <w:rFonts w:ascii="宋体" w:hAnsi="宋体" w:eastAsia="宋体" w:cs="宋体"/>
          <w:sz w:val="24"/>
          <w:szCs w:val="24"/>
          <w:highlight w:val="none"/>
        </w:rPr>
      </w:pPr>
      <w:r>
        <w:rPr>
          <w:rFonts w:ascii="宋体" w:hAnsi="宋体" w:eastAsia="宋体" w:cs="宋体"/>
          <w:sz w:val="24"/>
          <w:szCs w:val="24"/>
          <w:highlight w:val="none"/>
        </w:rPr>
        <w:t>⑤产品清单（注明品名、数量、规格和原产地或生产厂家，包括部件）。</w:t>
      </w:r>
    </w:p>
    <w:p w14:paraId="6A586A11">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十、包装、运输、调试</w:t>
      </w:r>
    </w:p>
    <w:p w14:paraId="5CEA02FD">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1、包装：产品包装应采取防潮、防晒、防腐蚀、防震动及防止其他损坏的必要措施。供应商应承担由于其包装或防护措施不妥而引起的货物锈蚀、损坏和丢失等任何损失造成的责任或费用；</w:t>
      </w:r>
    </w:p>
    <w:p w14:paraId="18818492">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2、运输：运杂费一次包死在总价内，包括</w:t>
      </w:r>
      <w:r>
        <w:rPr>
          <w:rFonts w:ascii="宋体" w:hAnsi="宋体" w:eastAsia="宋体" w:cs="宋体"/>
          <w:sz w:val="24"/>
          <w:szCs w:val="24"/>
          <w:highlight w:val="none"/>
          <w:lang w:eastAsia="zh-CN"/>
        </w:rPr>
        <w:t>并不限于</w:t>
      </w:r>
      <w:r>
        <w:rPr>
          <w:rFonts w:ascii="宋体" w:hAnsi="宋体" w:eastAsia="宋体" w:cs="宋体"/>
          <w:sz w:val="24"/>
          <w:szCs w:val="24"/>
          <w:highlight w:val="none"/>
        </w:rPr>
        <w:t>生产厂到施工现场所需的装卸、运输（含保险费）、现场保管费、二次倒运费、吊装费等费用；</w:t>
      </w:r>
    </w:p>
    <w:p w14:paraId="727BA4A7">
      <w:pPr>
        <w:pStyle w:val="4"/>
        <w:spacing w:line="440" w:lineRule="exact"/>
        <w:rPr>
          <w:rFonts w:hint="eastAsia" w:ascii="仿宋" w:hAnsi="仿宋" w:eastAsia="仿宋" w:cs="仿宋"/>
          <w:sz w:val="24"/>
          <w:szCs w:val="24"/>
          <w:highlight w:val="none"/>
          <w:lang w:eastAsia="zh-CN"/>
        </w:rPr>
      </w:pPr>
      <w:r>
        <w:rPr>
          <w:rFonts w:ascii="宋体" w:hAnsi="宋体" w:eastAsia="宋体" w:cs="宋体"/>
          <w:sz w:val="24"/>
          <w:szCs w:val="24"/>
          <w:highlight w:val="none"/>
        </w:rPr>
        <w:t xml:space="preserve">    </w:t>
      </w:r>
      <w:r>
        <w:rPr>
          <w:rFonts w:hint="eastAsia" w:ascii="宋体" w:hAnsi="宋体" w:eastAsia="宋体" w:cs="宋体"/>
          <w:sz w:val="24"/>
          <w:szCs w:val="24"/>
          <w:highlight w:val="none"/>
        </w:rPr>
        <w:t>3、</w:t>
      </w:r>
      <w:r>
        <w:rPr>
          <w:rFonts w:hint="eastAsia" w:ascii="宋体" w:hAnsi="宋体" w:eastAsia="宋体" w:cs="宋体"/>
          <w:sz w:val="24"/>
          <w:szCs w:val="24"/>
          <w:highlight w:val="none"/>
          <w:lang w:eastAsia="zh-CN"/>
        </w:rPr>
        <w:t>调试：</w:t>
      </w:r>
      <w:r>
        <w:rPr>
          <w:rFonts w:hint="eastAsia" w:ascii="宋体" w:hAnsi="宋体" w:eastAsia="宋体" w:cs="宋体"/>
          <w:sz w:val="24"/>
          <w:szCs w:val="24"/>
          <w:highlight w:val="none"/>
        </w:rPr>
        <w:t>供应商负责安装和调试</w:t>
      </w:r>
      <w:r>
        <w:rPr>
          <w:rFonts w:hint="eastAsia" w:ascii="宋体" w:hAnsi="宋体" w:eastAsia="宋体" w:cs="宋体"/>
          <w:sz w:val="24"/>
          <w:szCs w:val="24"/>
          <w:highlight w:val="none"/>
          <w:lang w:eastAsia="zh-CN"/>
        </w:rPr>
        <w:t>发生的一切费用</w:t>
      </w:r>
      <w:r>
        <w:rPr>
          <w:rFonts w:hint="eastAsia" w:ascii="宋体" w:hAnsi="宋体" w:eastAsia="宋体" w:cs="宋体"/>
          <w:sz w:val="24"/>
          <w:szCs w:val="24"/>
          <w:highlight w:val="none"/>
        </w:rPr>
        <w:t>，包括并不限于铺设、安装、改造水电管路等所</w:t>
      </w:r>
      <w:r>
        <w:rPr>
          <w:rFonts w:hint="eastAsia" w:ascii="宋体" w:hAnsi="宋体" w:eastAsia="宋体" w:cs="宋体"/>
          <w:sz w:val="24"/>
          <w:szCs w:val="24"/>
          <w:highlight w:val="none"/>
          <w:lang w:eastAsia="zh-CN"/>
        </w:rPr>
        <w:t>需</w:t>
      </w:r>
      <w:r>
        <w:rPr>
          <w:rFonts w:hint="eastAsia" w:ascii="宋体" w:hAnsi="宋体" w:eastAsia="宋体" w:cs="宋体"/>
          <w:sz w:val="24"/>
          <w:szCs w:val="24"/>
          <w:highlight w:val="none"/>
        </w:rPr>
        <w:t>环境设施，确保设备能够正常运行，并达到合同中规定的技术要求及产品性能</w:t>
      </w:r>
      <w:r>
        <w:rPr>
          <w:rFonts w:hint="eastAsia" w:ascii="仿宋" w:hAnsi="仿宋" w:eastAsia="仿宋" w:cs="仿宋"/>
          <w:sz w:val="24"/>
          <w:szCs w:val="24"/>
          <w:highlight w:val="none"/>
          <w:lang w:eastAsia="zh-CN"/>
        </w:rPr>
        <w:t>；</w:t>
      </w:r>
    </w:p>
    <w:p w14:paraId="729EACAC">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4、供应商应对运输、搬运、安装、调试等实施过程的安全负责，如发生人身伤亡、财产损失的由供应商负责解决并承担全部责任及费用；</w:t>
      </w:r>
    </w:p>
    <w:p w14:paraId="4C5332CD">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5、所有产品在运输、搬运、安装、调试的过程中，造成采购人损失的，由供应商承担全部责任并赔偿费用；</w:t>
      </w:r>
    </w:p>
    <w:p w14:paraId="2ED0C71A">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6、合同所约定的货物及配套设备交付采购人验收合格前的风险由供应商承担，采购人承担验收合格接收后的风险。</w:t>
      </w:r>
    </w:p>
    <w:p w14:paraId="1A73081D">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十一、培训</w:t>
      </w:r>
    </w:p>
    <w:p w14:paraId="4A0B07F1">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1、至少包括产品使用操作、保养、维修等培训内容。在设备投入使用前，供应商应按采购人要求</w:t>
      </w:r>
      <w:r>
        <w:rPr>
          <w:rFonts w:ascii="宋体" w:hAnsi="宋体" w:eastAsia="宋体" w:cs="宋体"/>
          <w:sz w:val="24"/>
          <w:szCs w:val="24"/>
          <w:highlight w:val="none"/>
          <w:lang w:eastAsia="zh-CN"/>
        </w:rPr>
        <w:t>无条件</w:t>
      </w:r>
      <w:r>
        <w:rPr>
          <w:rFonts w:ascii="宋体" w:hAnsi="宋体" w:eastAsia="宋体" w:cs="宋体"/>
          <w:sz w:val="24"/>
          <w:szCs w:val="24"/>
          <w:highlight w:val="none"/>
        </w:rPr>
        <w:t>培训技术人员若干名，培训服务以受培训人员熟练掌握相应技能为原则。使用初期进行必要的跟踪指导，保证设备的稳定运行；</w:t>
      </w:r>
    </w:p>
    <w:p w14:paraId="243C865D">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2、产品需在培训基地培训的，供应商应按要求履行，采购人指派人员因参加培训所产生的交通费、食宿费、培训费等均由供应商承担；</w:t>
      </w:r>
    </w:p>
    <w:p w14:paraId="40FB6125">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3、供应商应提供书面培训记录，并经受培训人员签字确认。</w:t>
      </w:r>
    </w:p>
    <w:p w14:paraId="06CAAD99">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十二、技术资料</w:t>
      </w:r>
    </w:p>
    <w:p w14:paraId="2872824D">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供应商应向采购人提供全套中文技术资料一套，其费用包括在合同总价款中：</w:t>
      </w:r>
    </w:p>
    <w:p w14:paraId="4BFD94E5">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1、完整的产品操作使用手册、说明书和维护、修理技术文件、图纸、保修卡等；</w:t>
      </w:r>
    </w:p>
    <w:p w14:paraId="5A45F59F">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2、制造厂的检验、测试报告、产品检验合格证书</w:t>
      </w:r>
      <w:r>
        <w:rPr>
          <w:rFonts w:ascii="宋体" w:hAnsi="宋体" w:eastAsia="宋体" w:cs="宋体"/>
          <w:sz w:val="24"/>
          <w:szCs w:val="24"/>
          <w:highlight w:val="none"/>
          <w:lang w:eastAsia="zh-CN"/>
        </w:rPr>
        <w:t>、产品检定、校准证书</w:t>
      </w:r>
      <w:r>
        <w:rPr>
          <w:rFonts w:ascii="宋体" w:hAnsi="宋体" w:eastAsia="宋体" w:cs="宋体"/>
          <w:sz w:val="24"/>
          <w:szCs w:val="24"/>
          <w:highlight w:val="none"/>
        </w:rPr>
        <w:t>等；</w:t>
      </w:r>
    </w:p>
    <w:p w14:paraId="48ECCC32">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3、产品的执行标准；</w:t>
      </w:r>
    </w:p>
    <w:p w14:paraId="3F628889">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4、进口产品需要提供报关单、关税缴纳凭证；</w:t>
      </w:r>
    </w:p>
    <w:p w14:paraId="421CB89A">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5、其他文件资料等。</w:t>
      </w:r>
    </w:p>
    <w:p w14:paraId="62E2B4B3">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十三、质量保证</w:t>
      </w:r>
    </w:p>
    <w:p w14:paraId="2E3B1F2E">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1、供应商提供的产品及材料必须保证质量可靠，为市场最新或主流产品，进货渠道正常，配置合理齐全，应全面满足要求，未明确要求的内容，须按产品主流标准配置或以采购人的补充要求为准。所供产品工艺质量应严格按国家最新发布的规范标准执行，如发生质量问题由供应商承担全部责任；</w:t>
      </w:r>
    </w:p>
    <w:p w14:paraId="2D27ED9F">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2、供应商应保证合同项下所供产品是供应商响应和本合同约定的厂家和产地生产的，全新未使用过的，并完全符合合同规定的质量、规格等要求；</w:t>
      </w:r>
    </w:p>
    <w:p w14:paraId="6FD3B24B">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3、采购人使用产品过程中因产品质量、产品缺陷及安装质量等造成人身伤亡、财产损失的，由供应商负责解决并承担全部责任。</w:t>
      </w:r>
    </w:p>
    <w:p w14:paraId="276BD6AB">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十四、售后服务（提供售后服务承诺书）</w:t>
      </w:r>
    </w:p>
    <w:p w14:paraId="6F17157E">
      <w:pPr>
        <w:pStyle w:val="5"/>
        <w:spacing w:line="324" w:lineRule="auto"/>
        <w:jc w:val="left"/>
        <w:outlineLvl w:val="9"/>
        <w:rPr>
          <w:rFonts w:hint="eastAsia" w:ascii="宋体" w:hAnsi="宋体" w:cs="宋体"/>
          <w:bCs/>
          <w:sz w:val="24"/>
          <w:szCs w:val="24"/>
          <w:highlight w:val="none"/>
        </w:rPr>
      </w:pPr>
      <w:r>
        <w:rPr>
          <w:rFonts w:hint="eastAsia" w:ascii="宋体" w:hAnsi="宋体" w:cs="宋体"/>
          <w:bCs/>
          <w:sz w:val="24"/>
          <w:szCs w:val="24"/>
          <w:highlight w:val="none"/>
        </w:rPr>
        <w:t xml:space="preserve">    1、供应商应提供可承担维修职能的公司或全资子或分公司或办事处，并驻守多名维护技术人员，并提供售后服务地点、联系人（常驻工程师）及联系电话（服务热线），随时解答各种疑问、提供技术支持；</w:t>
      </w:r>
    </w:p>
    <w:p w14:paraId="63A06587">
      <w:pPr>
        <w:pStyle w:val="5"/>
        <w:spacing w:line="324" w:lineRule="auto"/>
        <w:jc w:val="left"/>
        <w:outlineLvl w:val="9"/>
        <w:rPr>
          <w:rFonts w:hint="eastAsia" w:ascii="宋体" w:hAnsi="宋体" w:cs="宋体"/>
          <w:bCs/>
          <w:sz w:val="24"/>
          <w:szCs w:val="24"/>
          <w:highlight w:val="none"/>
        </w:rPr>
      </w:pPr>
      <w:r>
        <w:rPr>
          <w:rFonts w:hint="eastAsia" w:ascii="宋体" w:hAnsi="宋体" w:cs="宋体"/>
          <w:bCs/>
          <w:sz w:val="24"/>
          <w:szCs w:val="24"/>
          <w:highlight w:val="none"/>
        </w:rPr>
        <w:t xml:space="preserve">    服务方式：现场＋远程服务，响应时间为全年7×24小时；</w:t>
      </w:r>
    </w:p>
    <w:p w14:paraId="1B63D578">
      <w:pPr>
        <w:pStyle w:val="5"/>
        <w:spacing w:line="324" w:lineRule="auto"/>
        <w:jc w:val="left"/>
        <w:outlineLvl w:val="9"/>
        <w:rPr>
          <w:rFonts w:hint="eastAsia" w:ascii="宋体" w:hAnsi="宋体" w:cs="宋体"/>
          <w:bCs/>
          <w:sz w:val="24"/>
          <w:szCs w:val="24"/>
          <w:highlight w:val="none"/>
        </w:rPr>
      </w:pPr>
      <w:r>
        <w:rPr>
          <w:rFonts w:hint="eastAsia" w:ascii="宋体" w:hAnsi="宋体" w:cs="宋体"/>
          <w:bCs/>
          <w:sz w:val="24"/>
          <w:szCs w:val="24"/>
          <w:highlight w:val="none"/>
        </w:rPr>
        <w:t xml:space="preserve">    2、软件由厂家无条件提供终身维护和系统升级；</w:t>
      </w:r>
    </w:p>
    <w:p w14:paraId="600125DF">
      <w:pPr>
        <w:pStyle w:val="5"/>
        <w:spacing w:line="324" w:lineRule="auto"/>
        <w:jc w:val="left"/>
        <w:outlineLvl w:val="9"/>
        <w:rPr>
          <w:rFonts w:hint="eastAsia" w:ascii="宋体" w:hAnsi="宋体" w:cs="宋体"/>
          <w:bCs/>
          <w:sz w:val="24"/>
          <w:szCs w:val="24"/>
          <w:highlight w:val="none"/>
        </w:rPr>
      </w:pPr>
      <w:r>
        <w:rPr>
          <w:rFonts w:hint="eastAsia" w:ascii="宋体" w:hAnsi="宋体" w:cs="宋体"/>
          <w:bCs/>
          <w:sz w:val="24"/>
          <w:szCs w:val="24"/>
          <w:highlight w:val="none"/>
        </w:rPr>
        <w:t xml:space="preserve">    3、质保期：</w:t>
      </w:r>
    </w:p>
    <w:p w14:paraId="2716CE94">
      <w:pPr>
        <w:pStyle w:val="4"/>
        <w:spacing w:line="324" w:lineRule="auto"/>
        <w:rPr>
          <w:rFonts w:ascii="宋体" w:hAnsi="宋体" w:eastAsia="宋体" w:cs="宋体"/>
          <w:bCs/>
          <w:kern w:val="2"/>
          <w:sz w:val="24"/>
          <w:szCs w:val="24"/>
          <w:highlight w:val="none"/>
          <w:lang w:eastAsia="zh-CN"/>
        </w:rPr>
      </w:pPr>
      <w:r>
        <w:rPr>
          <w:rFonts w:ascii="宋体" w:hAnsi="宋体" w:eastAsia="宋体" w:cs="宋体"/>
          <w:sz w:val="24"/>
          <w:szCs w:val="24"/>
          <w:highlight w:val="none"/>
        </w:rPr>
        <w:t xml:space="preserve"> </w:t>
      </w:r>
      <w:r>
        <w:rPr>
          <w:rFonts w:ascii="宋体" w:hAnsi="宋体" w:eastAsia="宋体" w:cs="宋体"/>
          <w:bCs/>
          <w:kern w:val="2"/>
          <w:sz w:val="24"/>
          <w:szCs w:val="24"/>
          <w:highlight w:val="none"/>
          <w:lang w:eastAsia="zh-CN"/>
        </w:rPr>
        <w:t xml:space="preserve">   ①质保期内出现质量问题或发生故障，供应商应按采购人的要求无条件更换或维修，响应时间≤2小时，产生的所有费用均有供应商承担；</w:t>
      </w:r>
    </w:p>
    <w:p w14:paraId="30FFD331">
      <w:pPr>
        <w:pStyle w:val="4"/>
        <w:spacing w:line="324" w:lineRule="auto"/>
        <w:rPr>
          <w:rFonts w:ascii="宋体" w:hAnsi="宋体" w:eastAsia="宋体" w:cs="宋体"/>
          <w:bCs/>
          <w:kern w:val="2"/>
          <w:sz w:val="24"/>
          <w:szCs w:val="24"/>
          <w:highlight w:val="none"/>
          <w:lang w:eastAsia="zh-CN"/>
        </w:rPr>
      </w:pPr>
      <w:r>
        <w:rPr>
          <w:rFonts w:ascii="宋体" w:hAnsi="宋体" w:eastAsia="宋体" w:cs="宋体"/>
          <w:bCs/>
          <w:kern w:val="2"/>
          <w:sz w:val="24"/>
          <w:szCs w:val="24"/>
          <w:highlight w:val="none"/>
          <w:lang w:eastAsia="zh-CN"/>
        </w:rPr>
        <w:t xml:space="preserve">    ②若采购人认为故障不能远程解决时，维修工程师抵达现场时间≤12小时；</w:t>
      </w:r>
    </w:p>
    <w:p w14:paraId="6155C6F4">
      <w:pPr>
        <w:pStyle w:val="4"/>
        <w:spacing w:line="324" w:lineRule="auto"/>
        <w:ind w:firstLine="480"/>
        <w:rPr>
          <w:rFonts w:ascii="宋体" w:hAnsi="宋体" w:eastAsia="宋体" w:cs="宋体"/>
          <w:bCs/>
          <w:kern w:val="2"/>
          <w:sz w:val="24"/>
          <w:szCs w:val="24"/>
          <w:highlight w:val="none"/>
          <w:lang w:eastAsia="zh-CN"/>
        </w:rPr>
      </w:pPr>
      <w:r>
        <w:rPr>
          <w:rFonts w:ascii="宋体" w:hAnsi="宋体" w:eastAsia="宋体" w:cs="宋体"/>
          <w:bCs/>
          <w:kern w:val="2"/>
          <w:sz w:val="24"/>
          <w:szCs w:val="24"/>
          <w:highlight w:val="none"/>
          <w:lang w:eastAsia="zh-CN"/>
        </w:rPr>
        <w:t>③若故障在24小时内无法排除时，供应商必须向采购人提供书面报告，包括故障原因及分析、处理措施、解决时间；</w:t>
      </w:r>
    </w:p>
    <w:p w14:paraId="32BE7BC6">
      <w:pPr>
        <w:pStyle w:val="4"/>
        <w:spacing w:line="324" w:lineRule="auto"/>
        <w:ind w:firstLine="480"/>
        <w:rPr>
          <w:rFonts w:ascii="宋体" w:hAnsi="宋体" w:eastAsia="宋体" w:cs="宋体"/>
          <w:bCs/>
          <w:kern w:val="2"/>
          <w:sz w:val="24"/>
          <w:szCs w:val="24"/>
          <w:highlight w:val="none"/>
          <w:lang w:eastAsia="zh-CN"/>
        </w:rPr>
      </w:pPr>
      <w:r>
        <w:rPr>
          <w:rFonts w:ascii="宋体" w:hAnsi="宋体" w:eastAsia="宋体" w:cs="宋体"/>
          <w:bCs/>
          <w:kern w:val="2"/>
          <w:sz w:val="24"/>
          <w:szCs w:val="24"/>
          <w:highlight w:val="none"/>
          <w:lang w:eastAsia="zh-CN"/>
        </w:rPr>
        <w:t>④若解决故障时间超过48小时，采购人有权自行委托第三方进行维修，所产生的费用由供应商承担；</w:t>
      </w:r>
    </w:p>
    <w:p w14:paraId="509F1B71">
      <w:pPr>
        <w:pStyle w:val="4"/>
        <w:spacing w:line="324" w:lineRule="auto"/>
        <w:rPr>
          <w:rFonts w:ascii="宋体" w:hAnsi="宋体" w:eastAsia="宋体" w:cs="宋体"/>
          <w:bCs/>
          <w:kern w:val="2"/>
          <w:sz w:val="24"/>
          <w:szCs w:val="24"/>
          <w:highlight w:val="none"/>
          <w:lang w:eastAsia="zh-CN"/>
        </w:rPr>
      </w:pPr>
      <w:r>
        <w:rPr>
          <w:rFonts w:ascii="宋体" w:hAnsi="宋体" w:eastAsia="宋体" w:cs="宋体"/>
          <w:bCs/>
          <w:kern w:val="2"/>
          <w:sz w:val="24"/>
          <w:szCs w:val="24"/>
          <w:highlight w:val="none"/>
          <w:lang w:eastAsia="zh-CN"/>
        </w:rPr>
        <w:t xml:space="preserve">    ⑤质保期到期前，由供应商无条件对所供产品进行全面维护保养，确保设备处于正常运行状态；</w:t>
      </w:r>
    </w:p>
    <w:p w14:paraId="02ECA6F4">
      <w:pPr>
        <w:pStyle w:val="4"/>
        <w:spacing w:line="324" w:lineRule="auto"/>
        <w:rPr>
          <w:rFonts w:ascii="宋体" w:hAnsi="宋体" w:eastAsia="宋体" w:cs="宋体"/>
          <w:bCs/>
          <w:kern w:val="2"/>
          <w:sz w:val="24"/>
          <w:szCs w:val="24"/>
          <w:highlight w:val="none"/>
          <w:lang w:eastAsia="zh-CN"/>
        </w:rPr>
      </w:pPr>
      <w:r>
        <w:rPr>
          <w:rFonts w:ascii="宋体" w:hAnsi="宋体" w:eastAsia="宋体" w:cs="宋体"/>
          <w:bCs/>
          <w:kern w:val="2"/>
          <w:sz w:val="24"/>
          <w:szCs w:val="24"/>
          <w:highlight w:val="none"/>
          <w:lang w:eastAsia="zh-CN"/>
        </w:rPr>
        <w:t xml:space="preserve">    ⑥质保期内若出现更换产品或主要部件的情况，应重新进行检定或校准并验收，产生的所有费用由供应商承担，质保期自验收合格之日起重新计算。</w:t>
      </w:r>
    </w:p>
    <w:p w14:paraId="4BCD9D81">
      <w:pPr>
        <w:pStyle w:val="4"/>
        <w:spacing w:line="324" w:lineRule="auto"/>
        <w:ind w:firstLine="480"/>
        <w:rPr>
          <w:rFonts w:ascii="宋体" w:hAnsi="宋体" w:eastAsia="宋体" w:cs="宋体"/>
          <w:bCs/>
          <w:kern w:val="2"/>
          <w:sz w:val="24"/>
          <w:szCs w:val="24"/>
          <w:highlight w:val="none"/>
          <w:lang w:eastAsia="zh-CN"/>
        </w:rPr>
      </w:pPr>
      <w:r>
        <w:rPr>
          <w:rFonts w:ascii="宋体" w:hAnsi="宋体" w:eastAsia="宋体" w:cs="宋体"/>
          <w:bCs/>
          <w:kern w:val="2"/>
          <w:sz w:val="24"/>
          <w:szCs w:val="24"/>
          <w:highlight w:val="none"/>
          <w:lang w:eastAsia="zh-CN"/>
        </w:rPr>
        <w:t>4、所提供的服务内容应严格按照国家最新发布的规范标准执行，符合采购人的理念及要求，如发生质量问题由供应商承担全部责任；</w:t>
      </w:r>
    </w:p>
    <w:p w14:paraId="2A2046EB">
      <w:pPr>
        <w:pStyle w:val="4"/>
        <w:spacing w:line="324" w:lineRule="auto"/>
        <w:ind w:firstLine="480"/>
        <w:rPr>
          <w:rFonts w:ascii="宋体" w:hAnsi="宋体" w:eastAsia="宋体" w:cs="宋体"/>
          <w:bCs/>
          <w:kern w:val="2"/>
          <w:sz w:val="24"/>
          <w:szCs w:val="24"/>
          <w:highlight w:val="none"/>
          <w:lang w:eastAsia="zh-CN"/>
        </w:rPr>
      </w:pPr>
      <w:r>
        <w:rPr>
          <w:rFonts w:ascii="宋体" w:hAnsi="宋体" w:eastAsia="宋体" w:cs="宋体"/>
          <w:bCs/>
          <w:kern w:val="2"/>
          <w:sz w:val="24"/>
          <w:szCs w:val="24"/>
          <w:highlight w:val="none"/>
          <w:lang w:eastAsia="zh-CN"/>
        </w:rPr>
        <w:t>5、维保期以中标供应商的投标文件为准。</w:t>
      </w:r>
    </w:p>
    <w:p w14:paraId="334D62D0">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十五、保密</w:t>
      </w:r>
    </w:p>
    <w:p w14:paraId="3AD49D4E">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供应商须严格保密对工作中了解到的采购人的技术、机密等信息，不得向他人泄漏。本合同的解除或终止不免除供应商应承担的保密义务。</w:t>
      </w:r>
    </w:p>
    <w:p w14:paraId="09A387B7">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十六、知识产权</w:t>
      </w:r>
    </w:p>
    <w:p w14:paraId="619A2ACE">
      <w:pPr>
        <w:pStyle w:val="4"/>
        <w:spacing w:line="324" w:lineRule="auto"/>
        <w:rPr>
          <w:rFonts w:ascii="宋体" w:hAnsi="宋体" w:eastAsia="宋体" w:cs="宋体"/>
          <w:sz w:val="24"/>
          <w:szCs w:val="24"/>
          <w:highlight w:val="none"/>
        </w:rPr>
      </w:pPr>
      <w:r>
        <w:rPr>
          <w:rFonts w:ascii="宋体" w:hAnsi="宋体" w:eastAsia="宋体" w:cs="宋体"/>
          <w:sz w:val="24"/>
          <w:szCs w:val="24"/>
          <w:highlight w:val="none"/>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72690AEF">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十七、双方承诺</w:t>
      </w:r>
    </w:p>
    <w:p w14:paraId="42D55475">
      <w:pPr>
        <w:adjustRightInd w:val="0"/>
        <w:snapToGrid w:val="0"/>
        <w:spacing w:line="324"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1、供应商向采购人承诺，按照本合同约定提供相关产品和服务；</w:t>
      </w:r>
    </w:p>
    <w:p w14:paraId="0D15DA0F">
      <w:pPr>
        <w:adjustRightInd w:val="0"/>
        <w:snapToGrid w:val="0"/>
        <w:spacing w:line="324" w:lineRule="auto"/>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2、采购人向供应商承诺，按照本合同约定支付相关款项。</w:t>
      </w:r>
    </w:p>
    <w:p w14:paraId="1A5B24DA">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十八、违约责任</w:t>
      </w:r>
    </w:p>
    <w:p w14:paraId="35A189E6">
      <w:pPr>
        <w:pStyle w:val="5"/>
        <w:spacing w:line="324" w:lineRule="auto"/>
        <w:jc w:val="left"/>
        <w:outlineLvl w:val="9"/>
        <w:rPr>
          <w:rFonts w:hint="eastAsia" w:ascii="宋体" w:hAnsi="宋体" w:cs="宋体"/>
          <w:sz w:val="24"/>
          <w:szCs w:val="24"/>
          <w:highlight w:val="none"/>
        </w:rPr>
      </w:pPr>
      <w:r>
        <w:rPr>
          <w:rFonts w:hint="eastAsia" w:ascii="宋体" w:hAnsi="宋体" w:cs="宋体"/>
          <w:sz w:val="24"/>
          <w:szCs w:val="24"/>
          <w:highlight w:val="none"/>
        </w:rPr>
        <w:t xml:space="preserve">    1、按《中华人民共和国政府采购法》、《中华人民共和国民法典》中的相关条款和本合同约定执行；</w:t>
      </w:r>
    </w:p>
    <w:p w14:paraId="11341A12">
      <w:pPr>
        <w:pStyle w:val="5"/>
        <w:spacing w:line="324" w:lineRule="auto"/>
        <w:jc w:val="left"/>
        <w:outlineLvl w:val="9"/>
        <w:rPr>
          <w:rFonts w:hint="eastAsia" w:ascii="宋体" w:hAnsi="宋体" w:cs="宋体"/>
          <w:sz w:val="24"/>
          <w:szCs w:val="24"/>
          <w:highlight w:val="none"/>
        </w:rPr>
      </w:pPr>
      <w:r>
        <w:rPr>
          <w:rFonts w:hint="eastAsia" w:ascii="宋体" w:hAnsi="宋体" w:cs="宋体"/>
          <w:sz w:val="24"/>
          <w:szCs w:val="24"/>
          <w:highlight w:val="none"/>
        </w:rPr>
        <w:t xml:space="preserve">    2、供应商履约延误：</w:t>
      </w:r>
    </w:p>
    <w:p w14:paraId="16D8CC07">
      <w:pPr>
        <w:pStyle w:val="5"/>
        <w:spacing w:line="324" w:lineRule="auto"/>
        <w:jc w:val="left"/>
        <w:outlineLvl w:val="9"/>
        <w:rPr>
          <w:rFonts w:hint="eastAsia" w:ascii="宋体" w:hAnsi="宋体" w:cs="宋体"/>
          <w:sz w:val="24"/>
          <w:szCs w:val="24"/>
          <w:highlight w:val="none"/>
        </w:rPr>
      </w:pPr>
      <w:r>
        <w:rPr>
          <w:rFonts w:hint="eastAsia" w:ascii="宋体" w:hAnsi="宋体" w:cs="宋体"/>
          <w:bCs/>
          <w:sz w:val="24"/>
          <w:szCs w:val="24"/>
          <w:highlight w:val="none"/>
        </w:rPr>
        <w:t xml:space="preserve">   </w:t>
      </w:r>
      <w:r>
        <w:rPr>
          <w:rFonts w:hint="eastAsia" w:ascii="宋体" w:hAnsi="宋体" w:cs="宋体"/>
          <w:sz w:val="24"/>
          <w:szCs w:val="24"/>
          <w:highlight w:val="none"/>
        </w:rPr>
        <w:t xml:space="preserve"> ①如供应商事先未征得采购人同意并未得到采购人的谅解而单方面延迟交货，将按违约终止合同；</w:t>
      </w:r>
    </w:p>
    <w:p w14:paraId="1617F7D2">
      <w:pPr>
        <w:pStyle w:val="5"/>
        <w:spacing w:line="324" w:lineRule="auto"/>
        <w:ind w:firstLine="480" w:firstLineChars="200"/>
        <w:jc w:val="left"/>
        <w:outlineLvl w:val="9"/>
        <w:rPr>
          <w:rFonts w:hint="eastAsia" w:ascii="宋体" w:hAnsi="宋体" w:cs="宋体"/>
          <w:sz w:val="24"/>
          <w:szCs w:val="24"/>
          <w:highlight w:val="none"/>
        </w:rPr>
      </w:pPr>
      <w:r>
        <w:rPr>
          <w:rFonts w:hint="eastAsia" w:ascii="宋体" w:hAnsi="宋体" w:cs="宋体"/>
          <w:sz w:val="24"/>
          <w:szCs w:val="24"/>
          <w:highlight w:val="none"/>
        </w:rPr>
        <w:t>②在履行合同过程中，如果供应商遇到可能妨碍按时交货和提供服务的情况，应及时以书面形式将拖延的事实、可能拖延的期限和理由通知采购人。采购人在收到供应商通知后，应尽快对情况进行评价，并确定是否酌情延长交货时间。若采购人不同意延长交货时间，由供应商支付延期交货的违约金，采购人可在合同未付款中扣除延期交货的违约金，每延期交货一天按合同总价款的1%向采购人支付违约金，该违约金由采购人在应支付货款中直接扣除，供应商对此无任何异议；</w:t>
      </w:r>
    </w:p>
    <w:p w14:paraId="308AED82">
      <w:pPr>
        <w:pStyle w:val="5"/>
        <w:spacing w:line="324" w:lineRule="auto"/>
        <w:jc w:val="left"/>
        <w:outlineLvl w:val="9"/>
        <w:rPr>
          <w:rFonts w:hint="eastAsia" w:ascii="宋体" w:hAnsi="宋体" w:cs="宋体"/>
          <w:sz w:val="24"/>
          <w:szCs w:val="24"/>
          <w:highlight w:val="none"/>
        </w:rPr>
      </w:pPr>
      <w:r>
        <w:rPr>
          <w:rFonts w:hint="eastAsia" w:ascii="宋体" w:hAnsi="宋体" w:cs="宋体"/>
          <w:sz w:val="24"/>
          <w:szCs w:val="24"/>
          <w:highlight w:val="none"/>
        </w:rPr>
        <w:t xml:space="preserve">    3、如整机验收不合格，且供应商在规定的整改期内仍达不到验收标准的，视为供应商延期交货，采购人可在合同未付款中直接扣除延期交货违约金，每延期一天按合同总价款的1%扣除；同时，供应商应向采购人重新更换和投标文件</w:t>
      </w:r>
    </w:p>
    <w:p w14:paraId="5CC6733C">
      <w:pPr>
        <w:pStyle w:val="5"/>
        <w:spacing w:line="324" w:lineRule="auto"/>
        <w:jc w:val="left"/>
        <w:outlineLvl w:val="9"/>
        <w:rPr>
          <w:rFonts w:hint="eastAsia" w:ascii="宋体" w:hAnsi="宋体" w:cs="宋体"/>
          <w:sz w:val="24"/>
          <w:szCs w:val="24"/>
          <w:highlight w:val="none"/>
        </w:rPr>
      </w:pPr>
      <w:r>
        <w:rPr>
          <w:rFonts w:hint="eastAsia" w:ascii="宋体" w:hAnsi="宋体" w:cs="宋体"/>
          <w:sz w:val="24"/>
          <w:szCs w:val="24"/>
          <w:highlight w:val="none"/>
        </w:rPr>
        <w:t>一致的同生产厂家、同品牌、同型号、同规格的全新产品；</w:t>
      </w:r>
    </w:p>
    <w:p w14:paraId="443FAAED">
      <w:pPr>
        <w:pStyle w:val="5"/>
        <w:spacing w:line="324" w:lineRule="auto"/>
        <w:ind w:firstLine="480" w:firstLineChars="200"/>
        <w:jc w:val="left"/>
        <w:outlineLvl w:val="9"/>
        <w:rPr>
          <w:rFonts w:hint="eastAsia" w:ascii="宋体" w:hAnsi="宋体" w:cs="宋体"/>
          <w:sz w:val="24"/>
          <w:szCs w:val="24"/>
          <w:highlight w:val="none"/>
        </w:rPr>
      </w:pPr>
      <w:r>
        <w:rPr>
          <w:rFonts w:hint="eastAsia" w:ascii="宋体" w:hAnsi="宋体" w:cs="宋体"/>
          <w:sz w:val="24"/>
          <w:szCs w:val="24"/>
          <w:highlight w:val="none"/>
        </w:rPr>
        <w:t>4、供应商未全面履行合同义务或者发生违约，采购单位会同采购代理机构有权终止合同，依法向成交供应商进行经济索赔，并报请政府采购监督管理机关进行相应的行政处罚。供应商应当赔偿采购人所有损失，包括但不限于诉讼费、律师费、差旅费、公告费、保全费、担保费等。</w:t>
      </w:r>
    </w:p>
    <w:p w14:paraId="598D0FAD">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十九、合同争议的解决</w:t>
      </w:r>
    </w:p>
    <w:p w14:paraId="139F47ED">
      <w:pPr>
        <w:adjustRightInd w:val="0"/>
        <w:snapToGrid w:val="0"/>
        <w:spacing w:line="324"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合同执行中发生争议的，当事人双方应协商解决，协商达不成一致时，可向采购人所在地人民法院提请诉讼。</w:t>
      </w:r>
    </w:p>
    <w:p w14:paraId="60970E09">
      <w:pPr>
        <w:adjustRightInd w:val="0"/>
        <w:snapToGrid w:val="0"/>
        <w:spacing w:line="324" w:lineRule="auto"/>
        <w:jc w:val="left"/>
        <w:outlineLvl w:val="0"/>
        <w:rPr>
          <w:rFonts w:hint="eastAsia" w:ascii="宋体" w:hAnsi="宋体" w:cs="宋体"/>
          <w:b/>
          <w:bCs/>
          <w:sz w:val="24"/>
          <w:szCs w:val="24"/>
          <w:highlight w:val="none"/>
        </w:rPr>
      </w:pPr>
      <w:r>
        <w:rPr>
          <w:rFonts w:hint="eastAsia" w:ascii="宋体" w:hAnsi="宋体" w:cs="宋体"/>
          <w:b/>
          <w:bCs/>
          <w:sz w:val="24"/>
          <w:szCs w:val="24"/>
          <w:highlight w:val="none"/>
        </w:rPr>
        <w:t>二十、不可抗力情况下的免责约定</w:t>
      </w:r>
    </w:p>
    <w:p w14:paraId="1E025F4A">
      <w:pPr>
        <w:adjustRightInd w:val="0"/>
        <w:snapToGrid w:val="0"/>
        <w:spacing w:line="324" w:lineRule="auto"/>
        <w:jc w:val="left"/>
        <w:rPr>
          <w:rFonts w:hint="eastAsia" w:ascii="宋体" w:hAnsi="宋体" w:cs="宋体"/>
          <w:sz w:val="24"/>
          <w:szCs w:val="24"/>
          <w:highlight w:val="none"/>
        </w:rPr>
      </w:pPr>
      <w:r>
        <w:rPr>
          <w:rFonts w:hint="eastAsia" w:ascii="宋体" w:hAnsi="宋体" w:cs="宋体"/>
          <w:sz w:val="24"/>
          <w:szCs w:val="24"/>
          <w:highlight w:val="none"/>
        </w:rPr>
        <w:t xml:space="preserve">    双方约定不可抗力情况指：双方不可预见、不可避免、不可克服的客观情况，但不包括双方的违约或疏忽。这些事件包括：战争、严重火灾、洪水、台风、地震等。</w:t>
      </w:r>
    </w:p>
    <w:p w14:paraId="5C0E6290">
      <w:pPr>
        <w:adjustRightInd w:val="0"/>
        <w:snapToGrid w:val="0"/>
        <w:spacing w:line="324" w:lineRule="auto"/>
        <w:outlineLvl w:val="0"/>
        <w:rPr>
          <w:rFonts w:hint="eastAsia" w:ascii="宋体" w:hAnsi="宋体" w:cs="宋体"/>
          <w:b/>
          <w:sz w:val="24"/>
          <w:szCs w:val="24"/>
          <w:highlight w:val="none"/>
        </w:rPr>
      </w:pPr>
      <w:r>
        <w:rPr>
          <w:rFonts w:hint="eastAsia" w:ascii="宋体" w:hAnsi="宋体" w:cs="宋体"/>
          <w:b/>
          <w:sz w:val="24"/>
          <w:szCs w:val="24"/>
          <w:highlight w:val="none"/>
        </w:rPr>
        <w:t>二十一、合同订立</w:t>
      </w:r>
    </w:p>
    <w:p w14:paraId="2EE80F7F">
      <w:pPr>
        <w:adjustRightInd w:val="0"/>
        <w:snapToGrid w:val="0"/>
        <w:spacing w:line="324"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1、订立时间：</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17A7452B">
      <w:pPr>
        <w:adjustRightInd w:val="0"/>
        <w:snapToGrid w:val="0"/>
        <w:spacing w:line="324"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2、订立地点：</w:t>
      </w:r>
      <w:r>
        <w:rPr>
          <w:rFonts w:hint="eastAsia" w:ascii="宋体" w:hAnsi="宋体" w:cs="宋体"/>
          <w:sz w:val="24"/>
          <w:szCs w:val="24"/>
          <w:highlight w:val="none"/>
          <w:u w:val="single"/>
        </w:rPr>
        <w:t xml:space="preserve">                        </w:t>
      </w:r>
    </w:p>
    <w:p w14:paraId="071547C9">
      <w:pPr>
        <w:tabs>
          <w:tab w:val="left" w:pos="980"/>
        </w:tabs>
        <w:kinsoku w:val="0"/>
        <w:adjustRightInd w:val="0"/>
        <w:snapToGrid w:val="0"/>
        <w:spacing w:line="324"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3、本合同一式</w:t>
      </w:r>
      <w:r>
        <w:rPr>
          <w:rFonts w:hint="eastAsia" w:ascii="宋体" w:hAnsi="宋体" w:cs="宋体"/>
          <w:b/>
          <w:sz w:val="24"/>
          <w:szCs w:val="24"/>
          <w:highlight w:val="none"/>
          <w:u w:val="single"/>
        </w:rPr>
        <w:t>陆</w:t>
      </w:r>
      <w:r>
        <w:rPr>
          <w:rFonts w:hint="eastAsia" w:ascii="宋体" w:hAnsi="宋体" w:cs="宋体"/>
          <w:sz w:val="24"/>
          <w:szCs w:val="24"/>
          <w:highlight w:val="none"/>
        </w:rPr>
        <w:t>份，具有同等法律效力，采供双方各执</w:t>
      </w:r>
      <w:r>
        <w:rPr>
          <w:rFonts w:hint="eastAsia" w:ascii="宋体" w:hAnsi="宋体" w:cs="宋体"/>
          <w:b/>
          <w:bCs/>
          <w:sz w:val="24"/>
          <w:szCs w:val="24"/>
          <w:highlight w:val="none"/>
          <w:u w:val="single"/>
        </w:rPr>
        <w:t>叁</w:t>
      </w:r>
      <w:r>
        <w:rPr>
          <w:rFonts w:hint="eastAsia" w:ascii="宋体" w:hAnsi="宋体" w:cs="宋体"/>
          <w:sz w:val="24"/>
          <w:szCs w:val="24"/>
          <w:highlight w:val="none"/>
        </w:rPr>
        <w:t>份。各方法定代表人或者授权代理人签字并盖章后生效，合同执行完毕自动失效。（合同的服务承诺长期有效）；</w:t>
      </w:r>
    </w:p>
    <w:p w14:paraId="566F903B">
      <w:pPr>
        <w:tabs>
          <w:tab w:val="left" w:pos="980"/>
        </w:tabs>
        <w:kinsoku w:val="0"/>
        <w:adjustRightInd w:val="0"/>
        <w:snapToGrid w:val="0"/>
        <w:spacing w:line="324" w:lineRule="auto"/>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4、除本合同约定，合同一经签订，不得擅自变更、中止或者终止合同。对确需变更、调整或者中止、终止合同的，应按规定履行相应的手续或签订补充协议。</w:t>
      </w:r>
    </w:p>
    <w:p w14:paraId="10FD19B4">
      <w:pPr>
        <w:tabs>
          <w:tab w:val="left" w:pos="980"/>
        </w:tabs>
        <w:kinsoku w:val="0"/>
        <w:adjustRightInd w:val="0"/>
        <w:snapToGrid w:val="0"/>
        <w:spacing w:line="324" w:lineRule="auto"/>
        <w:jc w:val="left"/>
        <w:rPr>
          <w:rFonts w:hint="eastAsia" w:ascii="宋体" w:hAnsi="宋体" w:cs="宋体"/>
          <w:sz w:val="24"/>
          <w:szCs w:val="24"/>
          <w:highlight w:val="none"/>
        </w:rPr>
      </w:pPr>
      <w:r>
        <w:rPr>
          <w:rFonts w:hint="eastAsia" w:ascii="宋体" w:hAnsi="宋体" w:cs="宋体"/>
          <w:sz w:val="24"/>
          <w:szCs w:val="24"/>
          <w:highlight w:val="none"/>
        </w:rPr>
        <w:t xml:space="preserve">   （以下无正文）</w:t>
      </w:r>
    </w:p>
    <w:p w14:paraId="58CFC1F1">
      <w:pPr>
        <w:tabs>
          <w:tab w:val="left" w:pos="980"/>
        </w:tabs>
        <w:kinsoku w:val="0"/>
        <w:spacing w:line="324" w:lineRule="auto"/>
        <w:jc w:val="left"/>
        <w:rPr>
          <w:rFonts w:hint="eastAsia" w:ascii="宋体" w:hAnsi="宋体" w:cs="宋体"/>
          <w:sz w:val="24"/>
          <w:szCs w:val="24"/>
          <w:highlight w:val="none"/>
        </w:rPr>
      </w:pPr>
    </w:p>
    <w:p w14:paraId="35501331">
      <w:pPr>
        <w:adjustRightInd w:val="0"/>
        <w:snapToGrid w:val="0"/>
        <w:spacing w:line="324" w:lineRule="auto"/>
        <w:jc w:val="left"/>
        <w:rPr>
          <w:rFonts w:hint="eastAsia" w:ascii="宋体" w:hAnsi="宋体" w:cs="宋体"/>
          <w:sz w:val="24"/>
          <w:szCs w:val="24"/>
          <w:highlight w:val="none"/>
          <w:u w:val="single"/>
        </w:rPr>
      </w:pPr>
      <w:r>
        <w:rPr>
          <w:rFonts w:hint="eastAsia" w:ascii="宋体" w:hAnsi="宋体" w:cs="宋体"/>
          <w:b/>
          <w:sz w:val="24"/>
          <w:szCs w:val="24"/>
          <w:highlight w:val="none"/>
        </w:rPr>
        <w:t>采购人</w:t>
      </w:r>
      <w:r>
        <w:rPr>
          <w:rFonts w:hint="eastAsia" w:ascii="宋体" w:hAnsi="宋体" w:cs="宋体"/>
          <w:bCs/>
          <w:sz w:val="24"/>
          <w:szCs w:val="24"/>
          <w:highlight w:val="none"/>
        </w:rPr>
        <w:t>(</w:t>
      </w:r>
      <w:r>
        <w:rPr>
          <w:rFonts w:hint="eastAsia" w:ascii="宋体" w:hAnsi="宋体" w:cs="宋体"/>
          <w:sz w:val="24"/>
          <w:szCs w:val="24"/>
          <w:highlight w:val="none"/>
        </w:rPr>
        <w:t>公章):</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b/>
          <w:sz w:val="24"/>
          <w:szCs w:val="24"/>
          <w:highlight w:val="none"/>
        </w:rPr>
        <w:t>供应商</w:t>
      </w:r>
      <w:r>
        <w:rPr>
          <w:rFonts w:hint="eastAsia" w:ascii="宋体" w:hAnsi="宋体" w:cs="宋体"/>
          <w:bCs/>
          <w:sz w:val="24"/>
          <w:szCs w:val="24"/>
          <w:highlight w:val="none"/>
        </w:rPr>
        <w:t>(</w:t>
      </w:r>
      <w:r>
        <w:rPr>
          <w:rFonts w:hint="eastAsia" w:ascii="宋体" w:hAnsi="宋体" w:cs="宋体"/>
          <w:sz w:val="24"/>
          <w:szCs w:val="24"/>
          <w:highlight w:val="none"/>
        </w:rPr>
        <w:t>公章):</w:t>
      </w:r>
      <w:r>
        <w:rPr>
          <w:rFonts w:hint="eastAsia" w:ascii="宋体" w:hAnsi="宋体" w:cs="宋体"/>
          <w:sz w:val="24"/>
          <w:szCs w:val="24"/>
          <w:highlight w:val="none"/>
          <w:u w:val="single"/>
        </w:rPr>
        <w:t xml:space="preserve">                          </w:t>
      </w:r>
    </w:p>
    <w:p w14:paraId="5BFD1411">
      <w:pPr>
        <w:adjustRightInd w:val="0"/>
        <w:snapToGrid w:val="0"/>
        <w:spacing w:line="324" w:lineRule="auto"/>
        <w:ind w:left="4800" w:hanging="4800" w:hangingChars="2000"/>
        <w:jc w:val="left"/>
        <w:rPr>
          <w:rFonts w:hint="eastAsia" w:ascii="宋体" w:hAnsi="宋体" w:cs="宋体"/>
          <w:sz w:val="24"/>
          <w:szCs w:val="24"/>
          <w:highlight w:val="none"/>
          <w:u w:val="single"/>
        </w:rPr>
      </w:pPr>
      <w:r>
        <w:rPr>
          <w:rFonts w:hint="eastAsia" w:ascii="宋体" w:hAnsi="宋体" w:cs="宋体"/>
          <w:sz w:val="24"/>
          <w:szCs w:val="24"/>
          <w:highlight w:val="none"/>
        </w:rPr>
        <w:t>地址：</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地址：</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p>
    <w:p w14:paraId="16F7C524">
      <w:pPr>
        <w:adjustRightInd w:val="0"/>
        <w:snapToGrid w:val="0"/>
        <w:spacing w:line="324" w:lineRule="auto"/>
        <w:jc w:val="left"/>
        <w:rPr>
          <w:rFonts w:hint="eastAsia" w:ascii="宋体" w:hAnsi="宋体" w:cs="宋体"/>
          <w:sz w:val="24"/>
          <w:szCs w:val="24"/>
          <w:highlight w:val="none"/>
        </w:rPr>
      </w:pPr>
      <w:r>
        <w:rPr>
          <w:rFonts w:hint="eastAsia" w:ascii="宋体" w:hAnsi="宋体" w:cs="宋体"/>
          <w:sz w:val="24"/>
          <w:szCs w:val="24"/>
          <w:highlight w:val="none"/>
        </w:rPr>
        <w:t>法定代表人或                      法定代表人或</w:t>
      </w:r>
    </w:p>
    <w:p w14:paraId="3A52BE4F">
      <w:pPr>
        <w:adjustRightInd w:val="0"/>
        <w:snapToGrid w:val="0"/>
        <w:spacing w:line="324" w:lineRule="auto"/>
        <w:jc w:val="left"/>
        <w:rPr>
          <w:rFonts w:hint="eastAsia" w:ascii="宋体" w:hAnsi="宋体" w:cs="宋体"/>
          <w:sz w:val="24"/>
          <w:szCs w:val="24"/>
          <w:highlight w:val="none"/>
        </w:rPr>
      </w:pPr>
      <w:r>
        <w:rPr>
          <w:rFonts w:hint="eastAsia" w:ascii="宋体" w:hAnsi="宋体" w:cs="宋体"/>
          <w:sz w:val="24"/>
          <w:szCs w:val="24"/>
          <w:highlight w:val="none"/>
        </w:rPr>
        <w:t>授权代理人（签字）：              授权代理人（签字）：</w:t>
      </w:r>
    </w:p>
    <w:p w14:paraId="135BBA70">
      <w:pPr>
        <w:adjustRightInd w:val="0"/>
        <w:snapToGrid w:val="0"/>
        <w:spacing w:line="324" w:lineRule="auto"/>
        <w:jc w:val="left"/>
        <w:rPr>
          <w:rFonts w:hint="eastAsia" w:ascii="宋体" w:hAnsi="宋体" w:cs="宋体"/>
          <w:sz w:val="24"/>
          <w:szCs w:val="24"/>
          <w:highlight w:val="none"/>
          <w:u w:val="single"/>
        </w:rPr>
      </w:pPr>
      <w:r>
        <w:rPr>
          <w:rFonts w:hint="eastAsia" w:ascii="宋体" w:hAnsi="宋体" w:cs="宋体"/>
          <w:sz w:val="24"/>
          <w:szCs w:val="24"/>
          <w:highlight w:val="none"/>
        </w:rPr>
        <w:t>电话：</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电话：</w:t>
      </w:r>
      <w:r>
        <w:rPr>
          <w:rFonts w:hint="eastAsia" w:ascii="宋体" w:hAnsi="宋体" w:cs="宋体"/>
          <w:sz w:val="24"/>
          <w:szCs w:val="24"/>
          <w:highlight w:val="none"/>
          <w:u w:val="single"/>
        </w:rPr>
        <w:t xml:space="preserve">                  </w:t>
      </w:r>
    </w:p>
    <w:p w14:paraId="410C1714">
      <w:pPr>
        <w:adjustRightInd w:val="0"/>
        <w:snapToGrid w:val="0"/>
        <w:spacing w:line="324" w:lineRule="auto"/>
        <w:jc w:val="left"/>
        <w:rPr>
          <w:rFonts w:hint="eastAsia" w:cs="宋体" w:asciiTheme="minorEastAsia" w:hAnsiTheme="minorEastAsia" w:eastAsiaTheme="minorEastAsia"/>
          <w:sz w:val="24"/>
          <w:highlight w:val="none"/>
        </w:rPr>
      </w:pPr>
      <w:r>
        <w:rPr>
          <w:rFonts w:hint="eastAsia" w:ascii="宋体" w:hAnsi="宋体" w:cs="宋体"/>
          <w:sz w:val="24"/>
          <w:szCs w:val="24"/>
          <w:highlight w:val="none"/>
        </w:rPr>
        <w:t>日期：      年   月   日          日期：      年   月   日</w:t>
      </w:r>
    </w:p>
    <w:p w14:paraId="2EE705F4">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DF4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 w:type="paragraph" w:customStyle="1" w:styleId="5">
    <w:name w:val="正文缩进1"/>
    <w:basedOn w:val="1"/>
    <w:autoRedefine/>
    <w:qFormat/>
    <w:uiPriority w:val="0"/>
    <w:pPr>
      <w:spacing w:line="360" w:lineRule="auto"/>
      <w:outlineLvl w:val="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2025-09-18T06:41:09Z</dcterms:created>
  <dc:creator>admin</dc:creator>
  <cp:lastModifiedBy>puppet</cp:lastModifiedBy>
  <dcterms:modified xsi:type="dcterms:W3CDTF">2025-09-18T06:41:31Z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eyJoZGlkIjoiOWZlOTI0MzU1MTE4MDlkNWMzNDM3YTg4ZmE1ODFmZDgiLCJ1c2VySWQiOiI2NjUzNDI1ODcifQ==</vt:lpwstr>
  </property>
  <property fmtid="{D5CDD505-2E9C-101B-9397-08002B2CF9AE}" pid="4" name="ICV">
    <vt:lpwstr>C056CDE0E0424F44A35CEAB2A4A819EC_12</vt:lpwstr>
  </property>
</Properties>
</file>