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C51D">
      <w:pPr>
        <w:spacing w:line="360" w:lineRule="auto"/>
        <w:jc w:val="center"/>
        <w:rPr>
          <w:rFonts w:hint="eastAsia" w:asciiTheme="minorEastAsia" w:hAnsiTheme="minorEastAsia" w:eastAsiaTheme="minorEastAsia" w:cstheme="minorEastAsia"/>
          <w:b/>
          <w:bCs/>
          <w:sz w:val="44"/>
          <w:szCs w:val="44"/>
          <w:highlight w:val="none"/>
        </w:rPr>
      </w:pPr>
    </w:p>
    <w:p w14:paraId="1FE58B16">
      <w:pPr>
        <w:spacing w:line="360" w:lineRule="auto"/>
        <w:jc w:val="center"/>
        <w:rPr>
          <w:rFonts w:hint="eastAsia" w:asciiTheme="minorEastAsia" w:hAnsiTheme="minorEastAsia" w:eastAsiaTheme="minorEastAsia" w:cstheme="minorEastAsia"/>
          <w:b/>
          <w:bCs/>
          <w:sz w:val="44"/>
          <w:szCs w:val="44"/>
          <w:highlight w:val="none"/>
        </w:rPr>
      </w:pPr>
    </w:p>
    <w:p w14:paraId="0D67A3C2">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西安计量技术研究院</w:t>
      </w:r>
    </w:p>
    <w:p w14:paraId="5C0208F0">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理化计量检定校准装置采购项目</w:t>
      </w:r>
    </w:p>
    <w:p w14:paraId="551DD99F">
      <w:pPr>
        <w:spacing w:line="360" w:lineRule="auto"/>
        <w:jc w:val="center"/>
        <w:rPr>
          <w:rFonts w:hint="eastAsia" w:asciiTheme="minorEastAsia" w:hAnsiTheme="minorEastAsia" w:eastAsiaTheme="minorEastAsia" w:cstheme="minorEastAsia"/>
          <w:b/>
          <w:bCs/>
          <w:sz w:val="44"/>
          <w:szCs w:val="44"/>
          <w:highlight w:val="none"/>
        </w:rPr>
      </w:pPr>
    </w:p>
    <w:p w14:paraId="75327AF5">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采购合同</w:t>
      </w:r>
    </w:p>
    <w:p w14:paraId="2CA3ECCF">
      <w:pPr>
        <w:spacing w:line="360" w:lineRule="auto"/>
        <w:jc w:val="center"/>
        <w:rPr>
          <w:rFonts w:hint="eastAsia" w:asciiTheme="minorEastAsia" w:hAnsiTheme="minorEastAsia" w:eastAsiaTheme="minorEastAsia" w:cstheme="minorEastAsia"/>
          <w:b/>
          <w:bCs/>
          <w:sz w:val="44"/>
          <w:szCs w:val="44"/>
          <w:highlight w:val="none"/>
        </w:rPr>
      </w:pPr>
    </w:p>
    <w:p w14:paraId="27C098F1">
      <w:pPr>
        <w:spacing w:line="360" w:lineRule="auto"/>
        <w:ind w:firstLine="1687" w:firstLineChars="60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编号：</w:t>
      </w:r>
    </w:p>
    <w:p w14:paraId="22B823EE">
      <w:pPr>
        <w:spacing w:line="360" w:lineRule="auto"/>
        <w:ind w:firstLine="1687" w:firstLineChars="60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包号：</w:t>
      </w:r>
    </w:p>
    <w:p w14:paraId="0D4714CA">
      <w:pPr>
        <w:spacing w:before="156" w:beforeLines="50" w:line="360" w:lineRule="auto"/>
        <w:jc w:val="center"/>
        <w:rPr>
          <w:rFonts w:hint="eastAsia"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Cs/>
          <w:sz w:val="24"/>
          <w:highlight w:val="none"/>
        </w:rPr>
        <w:br w:type="page"/>
      </w:r>
    </w:p>
    <w:p w14:paraId="7AF54D1D">
      <w:pPr>
        <w:adjustRightInd w:val="0"/>
        <w:snapToGrid w:val="0"/>
        <w:spacing w:line="360" w:lineRule="auto"/>
        <w:ind w:firstLine="482" w:firstLineChars="20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合同文本</w:t>
      </w:r>
    </w:p>
    <w:p w14:paraId="2F9C5988">
      <w:pPr>
        <w:adjustRightInd w:val="0"/>
        <w:snapToGrid w:val="0"/>
        <w:spacing w:line="324" w:lineRule="auto"/>
        <w:ind w:firstLine="482" w:firstLineChars="200"/>
        <w:jc w:val="center"/>
        <w:rPr>
          <w:rFonts w:hint="eastAsia" w:ascii="宋体" w:hAnsi="宋体" w:cs="宋体"/>
          <w:b/>
          <w:sz w:val="24"/>
          <w:szCs w:val="24"/>
          <w:highlight w:val="none"/>
        </w:rPr>
      </w:pPr>
    </w:p>
    <w:p w14:paraId="1C2383F6">
      <w:pPr>
        <w:adjustRightInd w:val="0"/>
        <w:snapToGrid w:val="0"/>
        <w:spacing w:line="324" w:lineRule="auto"/>
        <w:ind w:firstLine="482" w:firstLineChars="200"/>
        <w:rPr>
          <w:rFonts w:hint="eastAsia" w:ascii="宋体" w:hAnsi="宋体" w:cs="宋体"/>
          <w:b/>
          <w:sz w:val="24"/>
          <w:szCs w:val="24"/>
          <w:highlight w:val="none"/>
          <w:u w:val="single"/>
        </w:rPr>
      </w:pPr>
      <w:r>
        <w:rPr>
          <w:rFonts w:hint="eastAsia" w:ascii="宋体" w:hAnsi="宋体" w:cs="宋体"/>
          <w:b/>
          <w:sz w:val="24"/>
          <w:szCs w:val="24"/>
          <w:highlight w:val="none"/>
        </w:rPr>
        <w:t>采购人（全称）：</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198A27C5">
      <w:pPr>
        <w:adjustRightInd w:val="0"/>
        <w:snapToGrid w:val="0"/>
        <w:spacing w:line="324" w:lineRule="auto"/>
        <w:ind w:firstLine="482" w:firstLineChars="200"/>
        <w:rPr>
          <w:rFonts w:hint="eastAsia" w:ascii="宋体" w:hAnsi="宋体" w:cs="宋体"/>
          <w:sz w:val="24"/>
          <w:szCs w:val="24"/>
          <w:highlight w:val="none"/>
          <w:u w:val="single"/>
        </w:rPr>
      </w:pPr>
      <w:r>
        <w:rPr>
          <w:rFonts w:hint="eastAsia" w:ascii="宋体" w:hAnsi="宋体" w:cs="宋体"/>
          <w:b/>
          <w:sz w:val="24"/>
          <w:szCs w:val="24"/>
          <w:highlight w:val="none"/>
        </w:rPr>
        <w:t>供应商（全称）：</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64247B45">
      <w:pPr>
        <w:adjustRightInd w:val="0"/>
        <w:snapToGrid w:val="0"/>
        <w:spacing w:line="324"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依照《中华人民共和国民法典》及其他有关法律、法规，遵循平等、自愿、公平和诚信的原则，双方就下述项目范围与相关服务事项协商一致，订立本合同。</w:t>
      </w:r>
    </w:p>
    <w:p w14:paraId="6699E393">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一、项目概况</w:t>
      </w:r>
    </w:p>
    <w:p w14:paraId="38BC729E">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1、项目名称：</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3085E6AD">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2、包号：</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1BEF3512">
      <w:pPr>
        <w:adjustRightInd w:val="0"/>
        <w:snapToGrid w:val="0"/>
        <w:spacing w:line="324"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3、项目地点：</w:t>
      </w:r>
      <w:r>
        <w:rPr>
          <w:rFonts w:hint="eastAsia" w:ascii="宋体" w:hAnsi="宋体" w:cs="宋体"/>
          <w:sz w:val="24"/>
          <w:szCs w:val="24"/>
          <w:highlight w:val="none"/>
          <w:u w:val="single"/>
        </w:rPr>
        <w:t>采购人指定地点</w:t>
      </w:r>
    </w:p>
    <w:p w14:paraId="42D3AC2F">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二、组成本合同的文件</w:t>
      </w:r>
    </w:p>
    <w:p w14:paraId="4D816D33">
      <w:pPr>
        <w:adjustRightInd w:val="0"/>
        <w:snapToGrid w:val="0"/>
        <w:spacing w:line="324" w:lineRule="auto"/>
        <w:ind w:firstLine="475" w:firstLineChars="198"/>
        <w:rPr>
          <w:rFonts w:hint="eastAsia" w:ascii="宋体" w:hAnsi="宋体" w:cs="宋体"/>
          <w:sz w:val="24"/>
          <w:szCs w:val="24"/>
          <w:highlight w:val="none"/>
        </w:rPr>
      </w:pPr>
      <w:r>
        <w:rPr>
          <w:rFonts w:hint="eastAsia" w:ascii="宋体" w:hAnsi="宋体" w:cs="宋体"/>
          <w:sz w:val="24"/>
          <w:szCs w:val="24"/>
          <w:highlight w:val="none"/>
        </w:rPr>
        <w:t>1、合同文本、中标通知书、投标文件、招标文件、澄清、招标补充文件（或委托书）；</w:t>
      </w:r>
    </w:p>
    <w:p w14:paraId="79472D78">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2、相关服务建议书；</w:t>
      </w:r>
    </w:p>
    <w:p w14:paraId="3AA83CAB">
      <w:pPr>
        <w:adjustRightInd w:val="0"/>
        <w:snapToGrid w:val="0"/>
        <w:spacing w:line="324" w:lineRule="auto"/>
        <w:rPr>
          <w:rFonts w:hint="eastAsia" w:ascii="宋体" w:hAnsi="宋体" w:cs="宋体"/>
          <w:sz w:val="24"/>
          <w:szCs w:val="24"/>
          <w:highlight w:val="none"/>
        </w:rPr>
      </w:pPr>
      <w:r>
        <w:rPr>
          <w:rFonts w:hint="eastAsia" w:ascii="宋体" w:hAnsi="宋体" w:cs="宋体"/>
          <w:sz w:val="24"/>
          <w:szCs w:val="24"/>
          <w:highlight w:val="none"/>
        </w:rPr>
        <w:t xml:space="preserve">    3、附录，即：附表内相关服务的范围和内容；</w:t>
      </w:r>
    </w:p>
    <w:p w14:paraId="632C517F">
      <w:pPr>
        <w:adjustRightInd w:val="0"/>
        <w:snapToGrid w:val="0"/>
        <w:spacing w:line="324" w:lineRule="auto"/>
        <w:ind w:firstLine="475" w:firstLineChars="198"/>
        <w:rPr>
          <w:rFonts w:hint="eastAsia" w:ascii="宋体" w:hAnsi="宋体" w:cs="宋体"/>
          <w:sz w:val="24"/>
          <w:szCs w:val="24"/>
          <w:highlight w:val="none"/>
        </w:rPr>
      </w:pPr>
      <w:r>
        <w:rPr>
          <w:rFonts w:hint="eastAsia" w:ascii="宋体" w:hAnsi="宋体" w:cs="宋体"/>
          <w:sz w:val="24"/>
          <w:szCs w:val="24"/>
          <w:highlight w:val="none"/>
        </w:rPr>
        <w:t>4、本合同签订后，双方依法签订的补充协议也是本合同文件的组成部分。</w:t>
      </w:r>
    </w:p>
    <w:p w14:paraId="363F6C20">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三、合同价款</w:t>
      </w:r>
    </w:p>
    <w:p w14:paraId="3A23CC2F">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1、合同金额（大写）：</w:t>
      </w:r>
      <w:r>
        <w:rPr>
          <w:rFonts w:hint="eastAsia" w:ascii="宋体" w:hAnsi="宋体" w:cs="宋体"/>
          <w:sz w:val="24"/>
          <w:szCs w:val="24"/>
          <w:highlight w:val="none"/>
          <w:u w:val="single"/>
        </w:rPr>
        <w:t xml:space="preserve">              整</w:t>
      </w:r>
      <w:r>
        <w:rPr>
          <w:rFonts w:hint="eastAsia" w:ascii="宋体" w:hAnsi="宋体" w:cs="宋体"/>
          <w:sz w:val="24"/>
          <w:szCs w:val="24"/>
          <w:highlight w:val="none"/>
        </w:rPr>
        <w:t>（¥     ）；</w:t>
      </w:r>
    </w:p>
    <w:p w14:paraId="0A5D08A2">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2、合同价格即中标价，供应商完成所要求的产品、服务且验收合格的所有费用，包括但不限于设备费、运输费、保险费、安装调试费、检定/校准费、仓储保管费、培训费、验收费等其他一切相关费用；</w:t>
      </w:r>
    </w:p>
    <w:p w14:paraId="2E20F55C">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3、合同价格为含税价，供应商提供产品所发生的一切税（包括增值税）费等都已包含于合同价款中；</w:t>
      </w:r>
    </w:p>
    <w:p w14:paraId="4171A157">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4、该合同总价不受市场价格变化或实际工作量变化的影响，在合同有效期不做任何调整，供应商自行承担所供货物的市场价格变化。</w:t>
      </w:r>
    </w:p>
    <w:p w14:paraId="3F47550E">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四、期限</w:t>
      </w:r>
    </w:p>
    <w:p w14:paraId="2E96DABF">
      <w:pPr>
        <w:pStyle w:val="4"/>
        <w:spacing w:line="324" w:lineRule="auto"/>
        <w:ind w:firstLine="480" w:firstLineChars="200"/>
        <w:jc w:val="both"/>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交货期自签订合同之日起    日历天。</w:t>
      </w:r>
    </w:p>
    <w:p w14:paraId="6C529100">
      <w:pPr>
        <w:pStyle w:val="4"/>
        <w:spacing w:line="324" w:lineRule="auto"/>
        <w:ind w:firstLine="480" w:firstLineChars="200"/>
        <w:jc w:val="both"/>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质保期自最终验收合格之日算，质保期   年。</w:t>
      </w:r>
    </w:p>
    <w:p w14:paraId="36918F02">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五、结算方式</w:t>
      </w:r>
    </w:p>
    <w:p w14:paraId="092809AF">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1、结算单位：银行转账，由采购人以人民币负责结算。验收时，供应商必须开具符合采购人要求的全额发票给采购人；</w:t>
      </w:r>
    </w:p>
    <w:p w14:paraId="60083CC3">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2、合同签订之后五个工作日内，供应商按采购人指定账户交纳合同总价款的5%（即    元，大写：    元整）作为履约保证金。履约保证金到账后30日内，采购人一次性向供应商支付合同总价款的40%（即     元，大写：    整）作为预付款；</w:t>
      </w:r>
    </w:p>
    <w:p w14:paraId="370FFBE7">
      <w:pPr>
        <w:pStyle w:val="4"/>
        <w:spacing w:line="324" w:lineRule="auto"/>
        <w:ind w:firstLine="720" w:firstLineChars="3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3、通过最终验收合格后，采购人向供应商支付全部剩余60%的合同总价款（即     元，大写：      元整），根据供应商履约情况，采购人将履约保证金无息退还供应商；</w:t>
      </w:r>
    </w:p>
    <w:p w14:paraId="7B3F9871">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支付方式：银行转账，采购人将应付供应商的款项付款至下列指定账户：</w:t>
      </w:r>
    </w:p>
    <w:p w14:paraId="51C82AD9">
      <w:pPr>
        <w:pStyle w:val="4"/>
        <w:spacing w:line="324" w:lineRule="auto"/>
        <w:rPr>
          <w:rFonts w:ascii="宋体" w:hAnsi="宋体" w:eastAsia="宋体" w:cs="宋体"/>
          <w:sz w:val="24"/>
          <w:szCs w:val="24"/>
          <w:highlight w:val="none"/>
          <w:lang w:eastAsia="zh-CN"/>
        </w:rPr>
      </w:pPr>
      <w:r>
        <w:rPr>
          <w:rFonts w:ascii="宋体" w:hAnsi="宋体" w:eastAsia="宋体" w:cs="宋体"/>
          <w:kern w:val="2"/>
          <w:sz w:val="24"/>
          <w:szCs w:val="24"/>
          <w:highlight w:val="none"/>
          <w:lang w:eastAsia="zh-CN"/>
        </w:rPr>
        <w:t>单    位：</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0720B428">
      <w:pPr>
        <w:pStyle w:val="4"/>
        <w:spacing w:line="324" w:lineRule="auto"/>
        <w:rPr>
          <w:rFonts w:ascii="宋体" w:hAnsi="宋体" w:eastAsia="宋体" w:cs="宋体"/>
          <w:sz w:val="24"/>
          <w:szCs w:val="24"/>
          <w:highlight w:val="none"/>
          <w:u w:val="single"/>
          <w:lang w:eastAsia="zh-CN"/>
        </w:rPr>
      </w:pPr>
      <w:r>
        <w:rPr>
          <w:rFonts w:ascii="宋体" w:hAnsi="宋体" w:eastAsia="宋体" w:cs="宋体"/>
          <w:sz w:val="24"/>
          <w:szCs w:val="24"/>
          <w:highlight w:val="none"/>
        </w:rPr>
        <w:t>地    址：</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0CAC1689">
      <w:pPr>
        <w:pStyle w:val="4"/>
        <w:spacing w:line="324" w:lineRule="auto"/>
        <w:rPr>
          <w:rFonts w:ascii="宋体" w:hAnsi="宋体" w:eastAsia="宋体" w:cs="宋体"/>
          <w:sz w:val="24"/>
          <w:szCs w:val="24"/>
          <w:highlight w:val="none"/>
          <w:lang w:eastAsia="zh-CN"/>
        </w:rPr>
      </w:pPr>
      <w:r>
        <w:rPr>
          <w:rFonts w:ascii="宋体" w:hAnsi="宋体" w:eastAsia="宋体" w:cs="宋体"/>
          <w:sz w:val="24"/>
          <w:szCs w:val="24"/>
          <w:highlight w:val="none"/>
        </w:rPr>
        <w:t>税    号：</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40E93B7E">
      <w:pPr>
        <w:pStyle w:val="4"/>
        <w:spacing w:line="324" w:lineRule="auto"/>
        <w:rPr>
          <w:rFonts w:ascii="宋体" w:hAnsi="宋体" w:eastAsia="宋体" w:cs="宋体"/>
          <w:sz w:val="24"/>
          <w:szCs w:val="24"/>
          <w:highlight w:val="none"/>
          <w:u w:val="single"/>
          <w:lang w:eastAsia="zh-CN"/>
        </w:rPr>
      </w:pPr>
      <w:r>
        <w:rPr>
          <w:rFonts w:ascii="宋体" w:hAnsi="宋体" w:eastAsia="宋体" w:cs="宋体"/>
          <w:sz w:val="24"/>
          <w:szCs w:val="24"/>
          <w:highlight w:val="none"/>
        </w:rPr>
        <w:t>开户银行：</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4E9C33AE">
      <w:pPr>
        <w:pStyle w:val="4"/>
        <w:spacing w:line="324" w:lineRule="auto"/>
        <w:rPr>
          <w:rFonts w:ascii="宋体" w:hAnsi="宋体" w:eastAsia="宋体" w:cs="宋体"/>
          <w:sz w:val="24"/>
          <w:szCs w:val="24"/>
          <w:highlight w:val="none"/>
          <w:u w:val="single"/>
          <w:lang w:eastAsia="zh-CN"/>
        </w:rPr>
      </w:pPr>
      <w:r>
        <w:rPr>
          <w:rFonts w:ascii="宋体" w:hAnsi="宋体" w:eastAsia="宋体" w:cs="宋体"/>
          <w:sz w:val="24"/>
          <w:szCs w:val="24"/>
          <w:highlight w:val="none"/>
        </w:rPr>
        <w:t>账    号：</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59776B0F">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履约保证金支付方式：银行转账，供应商支付履约保证金至下列指定账户：</w:t>
      </w:r>
    </w:p>
    <w:p w14:paraId="5552F7EA">
      <w:pPr>
        <w:pStyle w:val="4"/>
        <w:spacing w:line="324" w:lineRule="auto"/>
        <w:rPr>
          <w:rFonts w:ascii="宋体" w:hAnsi="宋体" w:eastAsia="宋体" w:cs="宋体"/>
          <w:sz w:val="24"/>
          <w:szCs w:val="24"/>
          <w:highlight w:val="none"/>
          <w:u w:val="single"/>
        </w:rPr>
      </w:pPr>
      <w:r>
        <w:rPr>
          <w:rFonts w:ascii="宋体" w:hAnsi="宋体" w:eastAsia="宋体" w:cs="宋体"/>
          <w:sz w:val="24"/>
          <w:szCs w:val="24"/>
          <w:highlight w:val="none"/>
        </w:rPr>
        <w:t>账户名称：</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p>
    <w:p w14:paraId="6AFDA133">
      <w:pPr>
        <w:pStyle w:val="4"/>
        <w:spacing w:line="324" w:lineRule="auto"/>
        <w:rPr>
          <w:rFonts w:ascii="宋体" w:hAnsi="宋体" w:eastAsia="宋体" w:cs="宋体"/>
          <w:sz w:val="24"/>
          <w:szCs w:val="24"/>
          <w:highlight w:val="none"/>
          <w:lang w:eastAsia="zh-CN"/>
        </w:rPr>
      </w:pPr>
      <w:r>
        <w:rPr>
          <w:rFonts w:ascii="宋体" w:hAnsi="宋体" w:eastAsia="宋体" w:cs="宋体"/>
          <w:sz w:val="24"/>
          <w:szCs w:val="24"/>
          <w:highlight w:val="none"/>
        </w:rPr>
        <w:t>开户银行：</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1F1E0F86">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账    号：</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p>
    <w:p w14:paraId="5F465408">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六、检定/校准/检测</w:t>
      </w:r>
    </w:p>
    <w:p w14:paraId="28129445">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供应商在整机验收时需向采购人提供采购人要求的设备计量检定、校准证书等资料，由此产生的所有费用由供应商承担。（除无需溯源的设备）</w:t>
      </w:r>
    </w:p>
    <w:p w14:paraId="6BCEDAFA">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七、内容及要求</w:t>
      </w:r>
    </w:p>
    <w:p w14:paraId="79B3A6B2">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即交付的产品、服务内容、数量与投标文件、招标文件等所指明的，或者与本合同所指明的产品、服务内容相一致。</w:t>
      </w:r>
    </w:p>
    <w:p w14:paraId="7C0F00DB">
      <w:pPr>
        <w:pStyle w:val="4"/>
        <w:spacing w:line="324" w:lineRule="auto"/>
        <w:ind w:firstLine="480" w:firstLineChars="200"/>
        <w:jc w:val="center"/>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供货内容一览表</w:t>
      </w:r>
    </w:p>
    <w:tbl>
      <w:tblPr>
        <w:tblStyle w:val="2"/>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48"/>
        <w:gridCol w:w="1096"/>
        <w:gridCol w:w="1161"/>
        <w:gridCol w:w="1274"/>
        <w:gridCol w:w="1769"/>
        <w:gridCol w:w="608"/>
        <w:gridCol w:w="1107"/>
        <w:gridCol w:w="554"/>
        <w:gridCol w:w="1019"/>
      </w:tblGrid>
      <w:tr w14:paraId="758A40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6A0DE0C">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序号</w:t>
            </w:r>
          </w:p>
        </w:tc>
        <w:tc>
          <w:tcPr>
            <w:tcW w:w="1096" w:type="dxa"/>
            <w:vAlign w:val="center"/>
          </w:tcPr>
          <w:p w14:paraId="44736261">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名称</w:t>
            </w:r>
          </w:p>
        </w:tc>
        <w:tc>
          <w:tcPr>
            <w:tcW w:w="1161" w:type="dxa"/>
            <w:vAlign w:val="center"/>
          </w:tcPr>
          <w:p w14:paraId="1991EBEC">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品牌</w:t>
            </w:r>
          </w:p>
        </w:tc>
        <w:tc>
          <w:tcPr>
            <w:tcW w:w="1274" w:type="dxa"/>
            <w:tcBorders>
              <w:right w:val="single" w:color="auto" w:sz="4" w:space="0"/>
            </w:tcBorders>
            <w:vAlign w:val="center"/>
          </w:tcPr>
          <w:p w14:paraId="0E14778E">
            <w:pPr>
              <w:pStyle w:val="4"/>
              <w:spacing w:line="324" w:lineRule="auto"/>
              <w:jc w:val="center"/>
              <w:rPr>
                <w:rFonts w:ascii="宋体" w:hAnsi="宋体" w:eastAsia="宋体" w:cs="宋体"/>
                <w:sz w:val="24"/>
                <w:szCs w:val="24"/>
                <w:highlight w:val="none"/>
              </w:rPr>
            </w:pPr>
            <w:bookmarkStart w:id="0" w:name="_Toc27392"/>
            <w:r>
              <w:rPr>
                <w:rFonts w:ascii="宋体" w:hAnsi="宋体" w:eastAsia="宋体" w:cs="宋体"/>
                <w:sz w:val="24"/>
                <w:szCs w:val="24"/>
                <w:highlight w:val="none"/>
              </w:rPr>
              <w:t>规格型号</w:t>
            </w:r>
            <w:bookmarkEnd w:id="0"/>
          </w:p>
        </w:tc>
        <w:tc>
          <w:tcPr>
            <w:tcW w:w="1769" w:type="dxa"/>
            <w:tcBorders>
              <w:left w:val="single" w:color="auto" w:sz="4" w:space="0"/>
            </w:tcBorders>
            <w:vAlign w:val="center"/>
          </w:tcPr>
          <w:p w14:paraId="423B4C9E">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生产厂家</w:t>
            </w:r>
          </w:p>
        </w:tc>
        <w:tc>
          <w:tcPr>
            <w:tcW w:w="608" w:type="dxa"/>
            <w:vAlign w:val="center"/>
          </w:tcPr>
          <w:p w14:paraId="77F70E8E">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产地</w:t>
            </w:r>
          </w:p>
        </w:tc>
        <w:tc>
          <w:tcPr>
            <w:tcW w:w="1107" w:type="dxa"/>
            <w:tcBorders>
              <w:right w:val="single" w:color="auto" w:sz="4" w:space="0"/>
            </w:tcBorders>
            <w:vAlign w:val="center"/>
          </w:tcPr>
          <w:p w14:paraId="5BF65086">
            <w:pPr>
              <w:pStyle w:val="4"/>
              <w:spacing w:line="324" w:lineRule="auto"/>
              <w:jc w:val="center"/>
              <w:rPr>
                <w:rFonts w:ascii="宋体" w:hAnsi="宋体" w:eastAsia="宋体" w:cs="宋体"/>
                <w:sz w:val="24"/>
                <w:szCs w:val="24"/>
                <w:highlight w:val="none"/>
              </w:rPr>
            </w:pPr>
            <w:bookmarkStart w:id="1" w:name="_Toc14127"/>
            <w:r>
              <w:rPr>
                <w:rFonts w:ascii="宋体" w:hAnsi="宋体" w:eastAsia="宋体" w:cs="宋体"/>
                <w:sz w:val="24"/>
                <w:szCs w:val="24"/>
                <w:highlight w:val="none"/>
              </w:rPr>
              <w:t>单价</w:t>
            </w:r>
            <w:bookmarkEnd w:id="1"/>
          </w:p>
        </w:tc>
        <w:tc>
          <w:tcPr>
            <w:tcW w:w="554" w:type="dxa"/>
            <w:tcBorders>
              <w:left w:val="single" w:color="auto" w:sz="4" w:space="0"/>
              <w:right w:val="single" w:color="auto" w:sz="4" w:space="0"/>
            </w:tcBorders>
            <w:vAlign w:val="center"/>
          </w:tcPr>
          <w:p w14:paraId="137C1719">
            <w:pPr>
              <w:pStyle w:val="4"/>
              <w:spacing w:line="324" w:lineRule="auto"/>
              <w:jc w:val="center"/>
              <w:rPr>
                <w:rFonts w:ascii="宋体" w:hAnsi="宋体" w:eastAsia="宋体" w:cs="宋体"/>
                <w:sz w:val="24"/>
                <w:szCs w:val="24"/>
                <w:highlight w:val="none"/>
              </w:rPr>
            </w:pPr>
            <w:bookmarkStart w:id="2" w:name="_Toc31109"/>
            <w:r>
              <w:rPr>
                <w:rFonts w:ascii="宋体" w:hAnsi="宋体" w:eastAsia="宋体" w:cs="宋体"/>
                <w:sz w:val="24"/>
                <w:szCs w:val="24"/>
                <w:highlight w:val="none"/>
              </w:rPr>
              <w:t>数量</w:t>
            </w:r>
            <w:bookmarkEnd w:id="2"/>
          </w:p>
        </w:tc>
        <w:tc>
          <w:tcPr>
            <w:tcW w:w="1019" w:type="dxa"/>
            <w:vAlign w:val="center"/>
          </w:tcPr>
          <w:p w14:paraId="1A8EDB92">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总价</w:t>
            </w:r>
          </w:p>
        </w:tc>
      </w:tr>
      <w:tr w14:paraId="733D2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3D6DEB4">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1</w:t>
            </w:r>
          </w:p>
        </w:tc>
        <w:tc>
          <w:tcPr>
            <w:tcW w:w="1096" w:type="dxa"/>
            <w:vAlign w:val="center"/>
          </w:tcPr>
          <w:p w14:paraId="752A8D4F">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7C7BFB71">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3B6A260C">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724267E8">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78992F68">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27BC9A00">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096CB72A">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2ABB6C79">
            <w:pPr>
              <w:widowControl/>
              <w:spacing w:line="324" w:lineRule="auto"/>
              <w:jc w:val="center"/>
              <w:textAlignment w:val="center"/>
              <w:rPr>
                <w:rFonts w:hint="eastAsia" w:ascii="宋体" w:hAnsi="宋体" w:cs="宋体"/>
                <w:kern w:val="0"/>
                <w:sz w:val="24"/>
                <w:szCs w:val="24"/>
                <w:highlight w:val="none"/>
                <w:lang w:bidi="ar"/>
              </w:rPr>
            </w:pPr>
          </w:p>
        </w:tc>
      </w:tr>
      <w:tr w14:paraId="68B50F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C7BB6D7">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2</w:t>
            </w:r>
          </w:p>
        </w:tc>
        <w:tc>
          <w:tcPr>
            <w:tcW w:w="1096" w:type="dxa"/>
            <w:vAlign w:val="center"/>
          </w:tcPr>
          <w:p w14:paraId="01220863">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11A86CE0">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0565759E">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205DDBC5">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4BC4DA96">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5A028FA9">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2F4E1C6A">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62A4D610">
            <w:pPr>
              <w:widowControl/>
              <w:spacing w:line="324" w:lineRule="auto"/>
              <w:jc w:val="center"/>
              <w:textAlignment w:val="center"/>
              <w:rPr>
                <w:rFonts w:hint="eastAsia" w:ascii="宋体" w:hAnsi="宋体" w:cs="宋体"/>
                <w:kern w:val="0"/>
                <w:sz w:val="24"/>
                <w:szCs w:val="24"/>
                <w:highlight w:val="none"/>
                <w:lang w:bidi="ar"/>
              </w:rPr>
            </w:pPr>
          </w:p>
        </w:tc>
      </w:tr>
      <w:tr w14:paraId="30C2B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522C26F">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3</w:t>
            </w:r>
          </w:p>
        </w:tc>
        <w:tc>
          <w:tcPr>
            <w:tcW w:w="1096" w:type="dxa"/>
            <w:vAlign w:val="center"/>
          </w:tcPr>
          <w:p w14:paraId="2189DBDE">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40C48853">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4EAEA63A">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1D2BE340">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37B9E278">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7131F5B9">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24ACBC22">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11BA3CFF">
            <w:pPr>
              <w:widowControl/>
              <w:spacing w:line="324" w:lineRule="auto"/>
              <w:jc w:val="center"/>
              <w:textAlignment w:val="center"/>
              <w:rPr>
                <w:rFonts w:hint="eastAsia" w:ascii="宋体" w:hAnsi="宋体" w:cs="宋体"/>
                <w:kern w:val="0"/>
                <w:sz w:val="24"/>
                <w:szCs w:val="24"/>
                <w:highlight w:val="none"/>
                <w:lang w:bidi="ar"/>
              </w:rPr>
            </w:pPr>
          </w:p>
        </w:tc>
      </w:tr>
      <w:tr w14:paraId="34594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3821F019">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4</w:t>
            </w:r>
          </w:p>
        </w:tc>
        <w:tc>
          <w:tcPr>
            <w:tcW w:w="1096" w:type="dxa"/>
            <w:vAlign w:val="center"/>
          </w:tcPr>
          <w:p w14:paraId="0904B751">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14F955CD">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3C5D55DE">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63B3E88F">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07ED97A9">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40DFDC7A">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671A02FE">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6BF1BFD5">
            <w:pPr>
              <w:widowControl/>
              <w:spacing w:line="324" w:lineRule="auto"/>
              <w:jc w:val="center"/>
              <w:textAlignment w:val="center"/>
              <w:rPr>
                <w:rFonts w:hint="eastAsia" w:ascii="宋体" w:hAnsi="宋体" w:cs="宋体"/>
                <w:kern w:val="0"/>
                <w:sz w:val="24"/>
                <w:szCs w:val="24"/>
                <w:highlight w:val="none"/>
                <w:lang w:bidi="ar"/>
              </w:rPr>
            </w:pPr>
          </w:p>
        </w:tc>
      </w:tr>
      <w:tr w14:paraId="3F033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11FDC30">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5</w:t>
            </w:r>
          </w:p>
        </w:tc>
        <w:tc>
          <w:tcPr>
            <w:tcW w:w="1096" w:type="dxa"/>
            <w:vAlign w:val="center"/>
          </w:tcPr>
          <w:p w14:paraId="1E4F0331">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583A3BE7">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4D18E33C">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4ED2583A">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768F8454">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7AD493DB">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483936D0">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55F8A5F3">
            <w:pPr>
              <w:widowControl/>
              <w:spacing w:line="324" w:lineRule="auto"/>
              <w:jc w:val="center"/>
              <w:textAlignment w:val="center"/>
              <w:rPr>
                <w:rFonts w:hint="eastAsia" w:ascii="宋体" w:hAnsi="宋体" w:cs="宋体"/>
                <w:kern w:val="0"/>
                <w:sz w:val="24"/>
                <w:szCs w:val="24"/>
                <w:highlight w:val="none"/>
                <w:lang w:bidi="ar"/>
              </w:rPr>
            </w:pPr>
          </w:p>
        </w:tc>
      </w:tr>
    </w:tbl>
    <w:p w14:paraId="78E2F406">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八、项目实施或货物交付地点：采购人指定地点。</w:t>
      </w:r>
    </w:p>
    <w:p w14:paraId="35B88B82">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九、验收标准和方法</w:t>
      </w:r>
    </w:p>
    <w:p w14:paraId="03CCC17D">
      <w:pPr>
        <w:pStyle w:val="4"/>
        <w:spacing w:line="324" w:lineRule="auto"/>
        <w:ind w:firstLine="480" w:firstLineChars="200"/>
        <w:jc w:val="both"/>
        <w:rPr>
          <w:rFonts w:ascii="宋体" w:hAnsi="宋体" w:eastAsia="宋体" w:cs="宋体"/>
          <w:sz w:val="24"/>
          <w:szCs w:val="24"/>
          <w:highlight w:val="none"/>
        </w:rPr>
      </w:pPr>
      <w:r>
        <w:rPr>
          <w:rFonts w:ascii="宋体" w:hAnsi="宋体" w:eastAsia="宋体" w:cs="宋体"/>
          <w:sz w:val="24"/>
          <w:szCs w:val="24"/>
          <w:highlight w:val="none"/>
        </w:rPr>
        <w:t>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w:t>
      </w:r>
      <w:r>
        <w:rPr>
          <w:rFonts w:ascii="宋体" w:hAnsi="宋体" w:eastAsia="宋体" w:cs="宋体"/>
          <w:sz w:val="24"/>
          <w:szCs w:val="24"/>
          <w:highlight w:val="none"/>
          <w:lang w:eastAsia="zh-CN"/>
        </w:rPr>
        <w:t>无条件</w:t>
      </w:r>
      <w:r>
        <w:rPr>
          <w:rFonts w:ascii="宋体" w:hAnsi="宋体" w:eastAsia="宋体" w:cs="宋体"/>
          <w:sz w:val="24"/>
          <w:szCs w:val="24"/>
          <w:highlight w:val="none"/>
        </w:rPr>
        <w:t>更换或退货，并承担所有相关责任及费用，以及逾期交付的违约责任。</w:t>
      </w:r>
    </w:p>
    <w:p w14:paraId="612781EB">
      <w:pPr>
        <w:pStyle w:val="4"/>
        <w:spacing w:line="324" w:lineRule="auto"/>
        <w:ind w:firstLine="480" w:firstLineChars="200"/>
        <w:jc w:val="both"/>
        <w:rPr>
          <w:rFonts w:ascii="宋体" w:hAnsi="宋体" w:eastAsia="宋体" w:cs="宋体"/>
          <w:sz w:val="24"/>
          <w:szCs w:val="24"/>
          <w:highlight w:val="none"/>
        </w:rPr>
      </w:pPr>
      <w:r>
        <w:rPr>
          <w:rFonts w:ascii="宋体" w:hAnsi="宋体" w:eastAsia="宋体" w:cs="宋体"/>
          <w:sz w:val="24"/>
          <w:szCs w:val="24"/>
          <w:highlight w:val="none"/>
        </w:rPr>
        <w:t>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w:t>
      </w:r>
      <w:r>
        <w:rPr>
          <w:rFonts w:ascii="宋体" w:hAnsi="宋体" w:eastAsia="宋体" w:cs="宋体"/>
          <w:sz w:val="24"/>
          <w:szCs w:val="24"/>
          <w:highlight w:val="none"/>
          <w:lang w:eastAsia="zh-CN"/>
        </w:rPr>
        <w:t>无条件</w:t>
      </w:r>
      <w:r>
        <w:rPr>
          <w:rFonts w:ascii="宋体" w:hAnsi="宋体" w:eastAsia="宋体" w:cs="宋体"/>
          <w:sz w:val="24"/>
          <w:szCs w:val="24"/>
          <w:highlight w:val="none"/>
        </w:rPr>
        <w:t>更换或退货，并承担所有相关费用，以及逾期交付的违约责任。</w:t>
      </w:r>
    </w:p>
    <w:p w14:paraId="43B00656">
      <w:pPr>
        <w:pStyle w:val="4"/>
        <w:spacing w:line="324" w:lineRule="auto"/>
        <w:jc w:val="both"/>
        <w:rPr>
          <w:rFonts w:ascii="宋体" w:hAnsi="宋体" w:eastAsia="宋体" w:cs="宋体"/>
          <w:sz w:val="24"/>
          <w:szCs w:val="24"/>
          <w:highlight w:val="none"/>
        </w:rPr>
      </w:pPr>
      <w:r>
        <w:rPr>
          <w:rFonts w:ascii="宋体" w:hAnsi="宋体" w:eastAsia="宋体" w:cs="宋体"/>
          <w:sz w:val="24"/>
          <w:szCs w:val="24"/>
          <w:highlight w:val="none"/>
        </w:rPr>
        <w:t xml:space="preserve">    整机验收合格后，供应商提交经使用部门签字认可的培训记录（1份）、加盖公章的售后服务承诺书（3份），并填写《西安市市级单位政府采购合同履约验收单》（4份），方视为最终通过验收，最终验收合格之日起计算质保期。</w:t>
      </w:r>
    </w:p>
    <w:p w14:paraId="52EFF5A5">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质保期内，若存在质量、服务问题，供应商应当按照投标文件中承诺的条款及时进行处理。</w:t>
      </w:r>
    </w:p>
    <w:p w14:paraId="5AAFA411">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w:t>
      </w:r>
    </w:p>
    <w:p w14:paraId="1F35F3F3">
      <w:pPr>
        <w:pStyle w:val="4"/>
        <w:spacing w:line="324" w:lineRule="auto"/>
        <w:ind w:firstLine="480" w:firstLineChars="200"/>
        <w:rPr>
          <w:rFonts w:ascii="宋体" w:hAnsi="宋体" w:eastAsia="宋体" w:cs="宋体"/>
          <w:sz w:val="24"/>
          <w:szCs w:val="24"/>
          <w:highlight w:val="none"/>
        </w:rPr>
      </w:pPr>
      <w:r>
        <w:rPr>
          <w:rFonts w:ascii="宋体" w:hAnsi="宋体" w:eastAsia="宋体" w:cs="宋体"/>
          <w:sz w:val="24"/>
          <w:szCs w:val="24"/>
          <w:highlight w:val="none"/>
        </w:rPr>
        <w:t>履约验收标准：</w:t>
      </w:r>
    </w:p>
    <w:p w14:paraId="73DC6799">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①合同文本；</w:t>
      </w:r>
    </w:p>
    <w:p w14:paraId="697F4CDE">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②投标文件及澄清函、招标文件；</w:t>
      </w:r>
    </w:p>
    <w:p w14:paraId="53B4DD41">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③国家和行业、企业制定的相应标准和规范；</w:t>
      </w:r>
    </w:p>
    <w:p w14:paraId="5C98E313">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④JJG 976-2024《透射式烟度计》、JJG 245-2005《光照度计》、JJF1287-2011《澄明度检测仪校准规范》、JJG 768-2005《发射光谱仪》、JJF1886-2020《电场探头校准规范》、HJ972-2018《移动通信基站电磁辐射环境检测方法》、JJF（陕）012-2019《电导率仪在线校准规范》、JJG376-2007 《电导率仪》、JJF（陕）028-2020《数显糖量计校准规范》、JJG 1034-2008《光谱光度计标准滤光器》、JJG 693-2011《可燃气体检测报警器》、JJG 695-2019《硫化氢气体检测仪》、JJG 1105-2015《氨气检测仪》、JJG 701-2008《熔点测定仪》、JJG 119-2018《实验室pH(酸度)计》、JJG847-2011《滤纸式烟度计》，JJF1225-2009《汽车用透光率计校准规范》、JJG 188-2017《声级计》、JJG1095-2024《环境噪声自动监测仪》、JJG 176-2022《声校准器》、JJG 1019-2007《工作标准传声器(耦合腔比较法)》、JJF 1636-2017《交流电阻箱校准规范》等计量技术规范的要求（所列规范标准如有更新，以最新规范标准执行）等。</w:t>
      </w:r>
    </w:p>
    <w:p w14:paraId="704C2F49">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⑤产品清单（注明品名、数量、规格和原产地或生产厂家，包括部件）。</w:t>
      </w:r>
    </w:p>
    <w:p w14:paraId="35BEE620">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十、包装、运输、调试</w:t>
      </w:r>
    </w:p>
    <w:p w14:paraId="778F34F6">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1、包装：产品包装应采取防潮、防晒、防腐蚀、防震动及防止其他损坏的必要措施。供应商应承担由于其包装或防护措施不妥而引起的货物锈蚀、损坏和丢失等任何损失造成的责任或费用；</w:t>
      </w:r>
    </w:p>
    <w:p w14:paraId="4BEFAB51">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2、运输：运杂费一次包死在总价内，包括</w:t>
      </w:r>
      <w:r>
        <w:rPr>
          <w:rFonts w:ascii="宋体" w:hAnsi="宋体" w:eastAsia="宋体" w:cs="宋体"/>
          <w:sz w:val="24"/>
          <w:szCs w:val="24"/>
          <w:highlight w:val="none"/>
          <w:lang w:eastAsia="zh-CN"/>
        </w:rPr>
        <w:t>并不限于</w:t>
      </w:r>
      <w:r>
        <w:rPr>
          <w:rFonts w:ascii="宋体" w:hAnsi="宋体" w:eastAsia="宋体" w:cs="宋体"/>
          <w:sz w:val="24"/>
          <w:szCs w:val="24"/>
          <w:highlight w:val="none"/>
        </w:rPr>
        <w:t>生产厂到施工现场所需的装卸、运输（含保险费）、现场保管费、二次倒运费、吊装费等费用；</w:t>
      </w:r>
    </w:p>
    <w:p w14:paraId="49BAD29F">
      <w:pPr>
        <w:pStyle w:val="4"/>
        <w:spacing w:line="440" w:lineRule="exact"/>
        <w:rPr>
          <w:rFonts w:hint="eastAsia" w:ascii="仿宋" w:hAnsi="仿宋" w:eastAsia="仿宋" w:cs="仿宋"/>
          <w:sz w:val="24"/>
          <w:szCs w:val="24"/>
          <w:highlight w:val="none"/>
          <w:lang w:eastAsia="zh-CN"/>
        </w:rPr>
      </w:pPr>
      <w:r>
        <w:rPr>
          <w:rFonts w:ascii="宋体" w:hAnsi="宋体" w:eastAsia="宋体" w:cs="宋体"/>
          <w:sz w:val="24"/>
          <w:szCs w:val="24"/>
          <w:highlight w:val="none"/>
        </w:rPr>
        <w:t xml:space="preserve"> </w:t>
      </w:r>
      <w:r>
        <w:rPr>
          <w:rFonts w:hint="eastAsia" w:ascii="宋体" w:hAnsi="宋体" w:eastAsia="宋体" w:cs="宋体"/>
          <w:sz w:val="24"/>
          <w:szCs w:val="24"/>
          <w:highlight w:val="none"/>
        </w:rPr>
        <w:t xml:space="preserve">   3、</w:t>
      </w:r>
      <w:r>
        <w:rPr>
          <w:rFonts w:hint="eastAsia" w:ascii="宋体" w:hAnsi="宋体" w:eastAsia="宋体" w:cs="宋体"/>
          <w:sz w:val="24"/>
          <w:szCs w:val="24"/>
          <w:highlight w:val="none"/>
          <w:lang w:eastAsia="zh-CN"/>
        </w:rPr>
        <w:t>调试：</w:t>
      </w:r>
      <w:r>
        <w:rPr>
          <w:rFonts w:hint="eastAsia" w:ascii="宋体" w:hAnsi="宋体" w:eastAsia="宋体" w:cs="宋体"/>
          <w:sz w:val="24"/>
          <w:szCs w:val="24"/>
          <w:highlight w:val="none"/>
        </w:rPr>
        <w:t>供应商负责安装和调试</w:t>
      </w:r>
      <w:r>
        <w:rPr>
          <w:rFonts w:hint="eastAsia" w:ascii="宋体" w:hAnsi="宋体" w:eastAsia="宋体" w:cs="宋体"/>
          <w:sz w:val="24"/>
          <w:szCs w:val="24"/>
          <w:highlight w:val="none"/>
          <w:lang w:eastAsia="zh-CN"/>
        </w:rPr>
        <w:t>发生的一切费用</w:t>
      </w:r>
      <w:r>
        <w:rPr>
          <w:rFonts w:hint="eastAsia" w:ascii="宋体" w:hAnsi="宋体" w:eastAsia="宋体" w:cs="宋体"/>
          <w:sz w:val="24"/>
          <w:szCs w:val="24"/>
          <w:highlight w:val="none"/>
        </w:rPr>
        <w:t>，包括并不限于铺设、安装、改造水电管路等所</w:t>
      </w:r>
      <w:r>
        <w:rPr>
          <w:rFonts w:hint="eastAsia" w:ascii="宋体" w:hAnsi="宋体" w:eastAsia="宋体" w:cs="宋体"/>
          <w:sz w:val="24"/>
          <w:szCs w:val="24"/>
          <w:highlight w:val="none"/>
          <w:lang w:eastAsia="zh-CN"/>
        </w:rPr>
        <w:t>需</w:t>
      </w:r>
      <w:r>
        <w:rPr>
          <w:rFonts w:hint="eastAsia" w:ascii="宋体" w:hAnsi="宋体" w:eastAsia="宋体" w:cs="宋体"/>
          <w:sz w:val="24"/>
          <w:szCs w:val="24"/>
          <w:highlight w:val="none"/>
        </w:rPr>
        <w:t>环境设施，确保设备能够正常运行，并达到合同中规定的技术要求及产品性能</w:t>
      </w:r>
      <w:r>
        <w:rPr>
          <w:rFonts w:hint="eastAsia" w:ascii="宋体" w:hAnsi="宋体" w:eastAsia="宋体" w:cs="宋体"/>
          <w:sz w:val="24"/>
          <w:szCs w:val="24"/>
          <w:highlight w:val="none"/>
          <w:lang w:eastAsia="zh-CN"/>
        </w:rPr>
        <w:t>；</w:t>
      </w:r>
    </w:p>
    <w:p w14:paraId="4D3F38B8">
      <w:pPr>
        <w:pStyle w:val="4"/>
        <w:spacing w:line="324" w:lineRule="auto"/>
        <w:rPr>
          <w:rFonts w:ascii="宋体" w:hAnsi="宋体" w:eastAsia="宋体" w:cs="宋体"/>
          <w:sz w:val="24"/>
          <w:szCs w:val="24"/>
          <w:highlight w:val="none"/>
        </w:rPr>
      </w:pPr>
      <w:bookmarkStart w:id="3" w:name="_GoBack"/>
      <w:bookmarkEnd w:id="3"/>
      <w:r>
        <w:rPr>
          <w:rFonts w:ascii="宋体" w:hAnsi="宋体" w:eastAsia="宋体" w:cs="宋体"/>
          <w:sz w:val="24"/>
          <w:szCs w:val="24"/>
          <w:highlight w:val="none"/>
        </w:rPr>
        <w:t xml:space="preserve">    4、供应商应对运输、搬运、安装、调试等实施过程的安全负责，如发生人身伤亡、财产损失的由供应商负责解决并承担全部责任及费用；</w:t>
      </w:r>
    </w:p>
    <w:p w14:paraId="0D6FDB04">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5、所有产品在运输、搬运、安装、调试的过程中，造成采购人损失的，由供应商承担全部责任并赔偿费用；</w:t>
      </w:r>
    </w:p>
    <w:p w14:paraId="1731D8B6">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6、合同所约定的货物及配套设备交付采购人验收合格前的风险由供应商承担，采购人承担验收合格接收后的风险。</w:t>
      </w:r>
    </w:p>
    <w:p w14:paraId="6E5370B1">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十一、培训</w:t>
      </w:r>
    </w:p>
    <w:p w14:paraId="12172772">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1、至少包括产品使用操作、保养、维修等培训内容。在设备投入使用前，供应商应按采购人要求</w:t>
      </w:r>
      <w:r>
        <w:rPr>
          <w:rFonts w:ascii="宋体" w:hAnsi="宋体" w:eastAsia="宋体" w:cs="宋体"/>
          <w:sz w:val="24"/>
          <w:szCs w:val="24"/>
          <w:highlight w:val="none"/>
          <w:lang w:eastAsia="zh-CN"/>
        </w:rPr>
        <w:t>无条件</w:t>
      </w:r>
      <w:r>
        <w:rPr>
          <w:rFonts w:ascii="宋体" w:hAnsi="宋体" w:eastAsia="宋体" w:cs="宋体"/>
          <w:sz w:val="24"/>
          <w:szCs w:val="24"/>
          <w:highlight w:val="none"/>
        </w:rPr>
        <w:t>培训技术人员若干名，培训服务以受培训人员熟练掌握相应技能为原则。使用初期进行必要的跟踪指导，保证设备的稳定运行；</w:t>
      </w:r>
    </w:p>
    <w:p w14:paraId="1D50FEAF">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2、产品需在培训基地培训的，供应商应按要求履行，采购人指派人员因参加培训所产生的交通费、食宿费、培训费等均由供应商承担；</w:t>
      </w:r>
    </w:p>
    <w:p w14:paraId="474730E0">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3、供应商应提供书面培训记录，并经受培训人员签字确认。</w:t>
      </w:r>
    </w:p>
    <w:p w14:paraId="112AEF26">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十二、技术资料</w:t>
      </w:r>
    </w:p>
    <w:p w14:paraId="37253C41">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供应商应向采购人提供全套中文技术资料一套，其费用包括在合同总价款中：</w:t>
      </w:r>
    </w:p>
    <w:p w14:paraId="2A854CFA">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1、完整的产品操作使用手册、说明书和维护、修理技术文件、图纸、保修卡等；</w:t>
      </w:r>
    </w:p>
    <w:p w14:paraId="56E6D19C">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2、制造厂的检验、测试报告、产品检验合格证书</w:t>
      </w:r>
      <w:r>
        <w:rPr>
          <w:rFonts w:ascii="宋体" w:hAnsi="宋体" w:eastAsia="宋体" w:cs="宋体"/>
          <w:sz w:val="24"/>
          <w:szCs w:val="24"/>
          <w:highlight w:val="none"/>
          <w:lang w:eastAsia="zh-CN"/>
        </w:rPr>
        <w:t>、产品检定、校准证书</w:t>
      </w:r>
      <w:r>
        <w:rPr>
          <w:rFonts w:ascii="宋体" w:hAnsi="宋体" w:eastAsia="宋体" w:cs="宋体"/>
          <w:sz w:val="24"/>
          <w:szCs w:val="24"/>
          <w:highlight w:val="none"/>
        </w:rPr>
        <w:t>等；</w:t>
      </w:r>
    </w:p>
    <w:p w14:paraId="70042FC0">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3、产品的执行标准；</w:t>
      </w:r>
    </w:p>
    <w:p w14:paraId="6BA8D009">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4、进口产品需要提供报关单、关税缴纳凭证；</w:t>
      </w:r>
    </w:p>
    <w:p w14:paraId="4641C9B4">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5、其他文件资料等。</w:t>
      </w:r>
    </w:p>
    <w:p w14:paraId="64E3CF89">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十三、质量保证</w:t>
      </w:r>
    </w:p>
    <w:p w14:paraId="129DB01C">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供应商提供的产品及材料必须保证质量可靠，为市场最新或主流产品，进货渠道正常，配置合理齐全，应全面满足要求，未明确要求的内容，须按产品主流标准配置或以采购人的补充要求为准。所供产品工艺质量应严格按国家最新发布的规范标准执行，如发生质量问题由供应商承担全部责任；</w:t>
      </w:r>
    </w:p>
    <w:p w14:paraId="4679E6E2">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2、供应商应保证合同项下所供产品是供应商响应和本合同约定的厂家和产地生产的，全新未使用过的，并完全符合合同规定的质量、规格等要求；</w:t>
      </w:r>
    </w:p>
    <w:p w14:paraId="4D9B353B">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3、采购人使用产品过程中因产品质量、产品缺陷及安装质量等造成人身伤亡、财产损失的，由供应商负责解决并承担全部责任。</w:t>
      </w:r>
    </w:p>
    <w:p w14:paraId="5655FD10">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十四、售后服务（提供售后服务承诺书）</w:t>
      </w:r>
    </w:p>
    <w:p w14:paraId="3BDA267B">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1、供应商应提供可承担维修职能的公司或全资子或分公司或办事处，并驻守多名维护技术人员，并提供售后服务地点、联系人（常驻工程师）及联系电话（服务热线），随时解答各种疑问、提供技术支持；</w:t>
      </w:r>
    </w:p>
    <w:p w14:paraId="3B030417">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服务方式：现场＋远程服务，响应时间为全年7×24小时；</w:t>
      </w:r>
    </w:p>
    <w:p w14:paraId="7DC0C42A">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2、软件由厂家无条件提供终身维护和系统升级；</w:t>
      </w:r>
    </w:p>
    <w:p w14:paraId="673268FB">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3、质保期：</w:t>
      </w:r>
    </w:p>
    <w:p w14:paraId="13F24A6A">
      <w:pPr>
        <w:pStyle w:val="4"/>
        <w:spacing w:line="324" w:lineRule="auto"/>
        <w:rPr>
          <w:rFonts w:ascii="宋体" w:hAnsi="宋体" w:eastAsia="宋体" w:cs="宋体"/>
          <w:bCs/>
          <w:kern w:val="2"/>
          <w:sz w:val="24"/>
          <w:szCs w:val="24"/>
          <w:highlight w:val="none"/>
          <w:lang w:eastAsia="zh-CN"/>
        </w:rPr>
      </w:pPr>
      <w:r>
        <w:rPr>
          <w:rFonts w:ascii="宋体" w:hAnsi="宋体" w:eastAsia="宋体" w:cs="宋体"/>
          <w:sz w:val="24"/>
          <w:szCs w:val="24"/>
          <w:highlight w:val="none"/>
        </w:rPr>
        <w:t xml:space="preserve"> </w:t>
      </w:r>
      <w:r>
        <w:rPr>
          <w:rFonts w:ascii="宋体" w:hAnsi="宋体" w:eastAsia="宋体" w:cs="宋体"/>
          <w:bCs/>
          <w:kern w:val="2"/>
          <w:sz w:val="24"/>
          <w:szCs w:val="24"/>
          <w:highlight w:val="none"/>
          <w:lang w:eastAsia="zh-CN"/>
        </w:rPr>
        <w:t xml:space="preserve">   ①质保期内出现质量问题或发生故障，供应商应按采购人的要求无条件更换或维修，响应时间≤2小时，产生的所有费用均有供应商承担；</w:t>
      </w:r>
    </w:p>
    <w:p w14:paraId="511D8731">
      <w:pPr>
        <w:pStyle w:val="4"/>
        <w:spacing w:line="324" w:lineRule="auto"/>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 xml:space="preserve">    ②若采购人认为故障不能远程解决时，维修工程师抵达现场时间≤12小时；</w:t>
      </w:r>
    </w:p>
    <w:p w14:paraId="74D855F6">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③若故障在24小时内无法排除时，供应商必须向采购人提供书面报告，包括故障原因及分析、处理措施、解决时间；</w:t>
      </w:r>
    </w:p>
    <w:p w14:paraId="2A66C58A">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④若解决故障时间超过48小时，采购人有权自行委托第三方进行维修，所产生的费用由供应商承担；</w:t>
      </w:r>
    </w:p>
    <w:p w14:paraId="43B50CAF">
      <w:pPr>
        <w:pStyle w:val="4"/>
        <w:spacing w:line="324" w:lineRule="auto"/>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 xml:space="preserve">    ⑤质保期到期前，由供应商无条件对所供产品进行全面维护保养，确保设备处于正常运行状态；</w:t>
      </w:r>
    </w:p>
    <w:p w14:paraId="13B46F57">
      <w:pPr>
        <w:pStyle w:val="4"/>
        <w:spacing w:line="324" w:lineRule="auto"/>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 xml:space="preserve">    ⑥质保期内若出现更换产品或主要部件的情况，应重新进行检定或校准并验收，产生的所有费用由供应商承担，质保期自验收合格之日起重新计算。</w:t>
      </w:r>
    </w:p>
    <w:p w14:paraId="0C202750">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4、所提供的服务内容应严格按照国家最新发布的规范标准执行，符合采购人的理念及要求，如发生质量问题由供应商承担全部责任；</w:t>
      </w:r>
    </w:p>
    <w:p w14:paraId="4890DF36">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5、维保期以中标供应商的投标文件为准。</w:t>
      </w:r>
    </w:p>
    <w:p w14:paraId="78CFE877">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十五、保密</w:t>
      </w:r>
    </w:p>
    <w:p w14:paraId="5B1612DE">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供应商须严格保密对工作中了解到的采购人的技术、机密等信息，不得向他人泄漏。本合同的解除或终止不免除供应商应承担的保密义务。</w:t>
      </w:r>
    </w:p>
    <w:p w14:paraId="78DEAF61">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十六、知识产权</w:t>
      </w:r>
    </w:p>
    <w:p w14:paraId="11FB0930">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669C2E1B">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十七、双方承诺</w:t>
      </w:r>
    </w:p>
    <w:p w14:paraId="10A1C071">
      <w:pPr>
        <w:adjustRightInd w:val="0"/>
        <w:snapToGrid w:val="0"/>
        <w:spacing w:line="324"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1、供应商向采购人承诺，按照本合同约定提供相关产品和服务；</w:t>
      </w:r>
    </w:p>
    <w:p w14:paraId="2860617B">
      <w:pPr>
        <w:adjustRightInd w:val="0"/>
        <w:snapToGrid w:val="0"/>
        <w:spacing w:line="324"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2、采购人向供应商承诺，按照本合同约定支付相关款项。</w:t>
      </w:r>
    </w:p>
    <w:p w14:paraId="14886887">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十八、违约责任</w:t>
      </w:r>
    </w:p>
    <w:p w14:paraId="501EC966">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 xml:space="preserve">    1、按《中华人民共和国政府采购法》、《中华人民共和国民法典》中的相关条款和本合同约定执行；</w:t>
      </w:r>
    </w:p>
    <w:p w14:paraId="48213D66">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 xml:space="preserve">    2、供应商履约延误：</w:t>
      </w:r>
    </w:p>
    <w:p w14:paraId="3E3D48BF">
      <w:pPr>
        <w:pStyle w:val="5"/>
        <w:spacing w:line="324" w:lineRule="auto"/>
        <w:jc w:val="left"/>
        <w:outlineLvl w:val="9"/>
        <w:rPr>
          <w:rFonts w:hint="eastAsia" w:ascii="宋体" w:hAnsi="宋体" w:cs="宋体"/>
          <w:sz w:val="24"/>
          <w:szCs w:val="24"/>
          <w:highlight w:val="none"/>
        </w:rPr>
      </w:pPr>
      <w:r>
        <w:rPr>
          <w:rFonts w:hint="eastAsia" w:ascii="宋体" w:hAnsi="宋体" w:cs="宋体"/>
          <w:bCs/>
          <w:sz w:val="24"/>
          <w:szCs w:val="24"/>
          <w:highlight w:val="none"/>
        </w:rPr>
        <w:t xml:space="preserve">   </w:t>
      </w:r>
      <w:r>
        <w:rPr>
          <w:rFonts w:hint="eastAsia" w:ascii="宋体" w:hAnsi="宋体" w:cs="宋体"/>
          <w:sz w:val="24"/>
          <w:szCs w:val="24"/>
          <w:highlight w:val="none"/>
        </w:rPr>
        <w:t xml:space="preserve"> ①如供应商事先未征得采购人同意并未得到采购人的谅解而单方面延迟交货，将按违约终止合同；</w:t>
      </w:r>
    </w:p>
    <w:p w14:paraId="501CA74B">
      <w:pPr>
        <w:pStyle w:val="5"/>
        <w:spacing w:line="324" w:lineRule="auto"/>
        <w:ind w:firstLine="480" w:firstLineChars="200"/>
        <w:jc w:val="left"/>
        <w:outlineLvl w:val="9"/>
        <w:rPr>
          <w:rFonts w:hint="eastAsia" w:ascii="宋体" w:hAnsi="宋体" w:cs="宋体"/>
          <w:sz w:val="24"/>
          <w:szCs w:val="24"/>
          <w:highlight w:val="none"/>
        </w:rPr>
      </w:pPr>
      <w:r>
        <w:rPr>
          <w:rFonts w:hint="eastAsia" w:ascii="宋体" w:hAnsi="宋体" w:cs="宋体"/>
          <w:sz w:val="24"/>
          <w:szCs w:val="24"/>
          <w:highlight w:val="none"/>
        </w:rPr>
        <w:t>②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每延期交货一天按合同总价款的1%向采购人支付违约金，该违约金由采购人在应支付货款中直接扣除，供应商对此无任何异议；</w:t>
      </w:r>
    </w:p>
    <w:p w14:paraId="764AD544">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 xml:space="preserve">    3、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w:t>
      </w:r>
    </w:p>
    <w:p w14:paraId="2FE4768F">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一致的同生产厂家、同品牌、同型号、同规格的全新产品；</w:t>
      </w:r>
    </w:p>
    <w:p w14:paraId="6AA5124E">
      <w:pPr>
        <w:pStyle w:val="5"/>
        <w:spacing w:line="324" w:lineRule="auto"/>
        <w:ind w:firstLine="480" w:firstLineChars="200"/>
        <w:jc w:val="left"/>
        <w:outlineLvl w:val="9"/>
        <w:rPr>
          <w:rFonts w:hint="eastAsia" w:ascii="宋体" w:hAnsi="宋体" w:cs="宋体"/>
          <w:sz w:val="24"/>
          <w:szCs w:val="24"/>
          <w:highlight w:val="none"/>
        </w:rPr>
      </w:pPr>
      <w:r>
        <w:rPr>
          <w:rFonts w:hint="eastAsia" w:ascii="宋体" w:hAnsi="宋体" w:cs="宋体"/>
          <w:sz w:val="24"/>
          <w:szCs w:val="24"/>
          <w:highlight w:val="none"/>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59BC29AE">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十九、合同争议的解决</w:t>
      </w:r>
    </w:p>
    <w:p w14:paraId="2297CEE8">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合同执行中发生争议的，当事人双方应协商解决，协商达不成一致时，可向采购人所在地人民法院提请诉讼。</w:t>
      </w:r>
    </w:p>
    <w:p w14:paraId="34E953D4">
      <w:pPr>
        <w:adjustRightInd w:val="0"/>
        <w:snapToGrid w:val="0"/>
        <w:spacing w:line="324" w:lineRule="auto"/>
        <w:jc w:val="left"/>
        <w:outlineLvl w:val="0"/>
        <w:rPr>
          <w:rFonts w:hint="eastAsia" w:ascii="宋体" w:hAnsi="宋体" w:cs="宋体"/>
          <w:b/>
          <w:bCs/>
          <w:sz w:val="24"/>
          <w:szCs w:val="24"/>
          <w:highlight w:val="none"/>
        </w:rPr>
      </w:pPr>
      <w:r>
        <w:rPr>
          <w:rFonts w:hint="eastAsia" w:ascii="宋体" w:hAnsi="宋体" w:cs="宋体"/>
          <w:b/>
          <w:bCs/>
          <w:sz w:val="24"/>
          <w:szCs w:val="24"/>
          <w:highlight w:val="none"/>
        </w:rPr>
        <w:t>二十、不可抗力情况下的免责约定</w:t>
      </w:r>
    </w:p>
    <w:p w14:paraId="7641B2AC">
      <w:pPr>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 xml:space="preserve">    双方约定不可抗力情况指：双方不可预见、不可避免、不可克服的客观情况，但不包括双方的违约或疏忽。这些事件包括：战争、严重火灾、洪水、台风、地震等。</w:t>
      </w:r>
    </w:p>
    <w:p w14:paraId="51705556">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二十一、合同订立</w:t>
      </w:r>
    </w:p>
    <w:p w14:paraId="5D86B0F6">
      <w:pPr>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1、订立时间：</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133FBCB7">
      <w:pPr>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2、订立地点：</w:t>
      </w:r>
      <w:r>
        <w:rPr>
          <w:rFonts w:hint="eastAsia" w:ascii="宋体" w:hAnsi="宋体" w:cs="宋体"/>
          <w:sz w:val="24"/>
          <w:szCs w:val="24"/>
          <w:highlight w:val="none"/>
          <w:u w:val="single"/>
        </w:rPr>
        <w:t xml:space="preserve">                        </w:t>
      </w:r>
    </w:p>
    <w:p w14:paraId="0F3768D0">
      <w:pPr>
        <w:tabs>
          <w:tab w:val="left" w:pos="980"/>
        </w:tabs>
        <w:kinsoku w:val="0"/>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3、本合同一式</w:t>
      </w:r>
      <w:r>
        <w:rPr>
          <w:rFonts w:hint="eastAsia" w:ascii="宋体" w:hAnsi="宋体" w:cs="宋体"/>
          <w:b/>
          <w:sz w:val="24"/>
          <w:szCs w:val="24"/>
          <w:highlight w:val="none"/>
          <w:u w:val="single"/>
        </w:rPr>
        <w:t>陆</w:t>
      </w:r>
      <w:r>
        <w:rPr>
          <w:rFonts w:hint="eastAsia" w:ascii="宋体" w:hAnsi="宋体" w:cs="宋体"/>
          <w:sz w:val="24"/>
          <w:szCs w:val="24"/>
          <w:highlight w:val="none"/>
        </w:rPr>
        <w:t>份，具有同等法律效力，采供双方各执</w:t>
      </w:r>
      <w:r>
        <w:rPr>
          <w:rFonts w:hint="eastAsia" w:ascii="宋体" w:hAnsi="宋体" w:cs="宋体"/>
          <w:b/>
          <w:bCs/>
          <w:sz w:val="24"/>
          <w:szCs w:val="24"/>
          <w:highlight w:val="none"/>
          <w:u w:val="single"/>
        </w:rPr>
        <w:t>叁</w:t>
      </w:r>
      <w:r>
        <w:rPr>
          <w:rFonts w:hint="eastAsia" w:ascii="宋体" w:hAnsi="宋体" w:cs="宋体"/>
          <w:sz w:val="24"/>
          <w:szCs w:val="24"/>
          <w:highlight w:val="none"/>
        </w:rPr>
        <w:t>份。各方法定代表人或者授权代理人签字并盖章后生效，合同执行完毕自动失效。（合同的服务承诺长期有效）；</w:t>
      </w:r>
    </w:p>
    <w:p w14:paraId="5BBCAD1B">
      <w:pPr>
        <w:tabs>
          <w:tab w:val="left" w:pos="980"/>
        </w:tabs>
        <w:kinsoku w:val="0"/>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4、除本合同约定，合同一经签订，不得擅自变更、中止或者终止合同。对确需变更、调整或者中止、终止合同的，应按规定履行相应的手续或签订补充协议。</w:t>
      </w:r>
    </w:p>
    <w:p w14:paraId="7049D1D4">
      <w:pPr>
        <w:tabs>
          <w:tab w:val="left" w:pos="980"/>
        </w:tabs>
        <w:kinsoku w:val="0"/>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 xml:space="preserve">   （以下无正文）</w:t>
      </w:r>
    </w:p>
    <w:p w14:paraId="5B0396DE">
      <w:pPr>
        <w:tabs>
          <w:tab w:val="left" w:pos="980"/>
        </w:tabs>
        <w:kinsoku w:val="0"/>
        <w:spacing w:line="324" w:lineRule="auto"/>
        <w:jc w:val="left"/>
        <w:rPr>
          <w:rFonts w:hint="eastAsia" w:ascii="宋体" w:hAnsi="宋体" w:cs="宋体"/>
          <w:sz w:val="24"/>
          <w:szCs w:val="24"/>
          <w:highlight w:val="none"/>
        </w:rPr>
      </w:pPr>
    </w:p>
    <w:p w14:paraId="33BFAF5F">
      <w:pPr>
        <w:adjustRightInd w:val="0"/>
        <w:snapToGrid w:val="0"/>
        <w:spacing w:line="324" w:lineRule="auto"/>
        <w:jc w:val="left"/>
        <w:rPr>
          <w:rFonts w:hint="eastAsia" w:ascii="宋体" w:hAnsi="宋体" w:cs="宋体"/>
          <w:sz w:val="24"/>
          <w:szCs w:val="24"/>
          <w:highlight w:val="none"/>
          <w:u w:val="single"/>
        </w:rPr>
      </w:pPr>
      <w:r>
        <w:rPr>
          <w:rFonts w:hint="eastAsia" w:ascii="宋体" w:hAnsi="宋体" w:cs="宋体"/>
          <w:b/>
          <w:sz w:val="24"/>
          <w:szCs w:val="24"/>
          <w:highlight w:val="none"/>
        </w:rPr>
        <w:t>采购人</w:t>
      </w:r>
      <w:r>
        <w:rPr>
          <w:rFonts w:hint="eastAsia" w:ascii="宋体" w:hAnsi="宋体" w:cs="宋体"/>
          <w:bCs/>
          <w:sz w:val="24"/>
          <w:szCs w:val="24"/>
          <w:highlight w:val="none"/>
        </w:rPr>
        <w:t>(</w:t>
      </w:r>
      <w:r>
        <w:rPr>
          <w:rFonts w:hint="eastAsia" w:ascii="宋体" w:hAnsi="宋体" w:cs="宋体"/>
          <w:sz w:val="24"/>
          <w:szCs w:val="24"/>
          <w:highlight w:val="none"/>
        </w:rPr>
        <w:t>公章):</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b/>
          <w:sz w:val="24"/>
          <w:szCs w:val="24"/>
          <w:highlight w:val="none"/>
        </w:rPr>
        <w:t>供应商</w:t>
      </w:r>
      <w:r>
        <w:rPr>
          <w:rFonts w:hint="eastAsia" w:ascii="宋体" w:hAnsi="宋体" w:cs="宋体"/>
          <w:bCs/>
          <w:sz w:val="24"/>
          <w:szCs w:val="24"/>
          <w:highlight w:val="none"/>
        </w:rPr>
        <w:t>(</w:t>
      </w:r>
      <w:r>
        <w:rPr>
          <w:rFonts w:hint="eastAsia" w:ascii="宋体" w:hAnsi="宋体" w:cs="宋体"/>
          <w:sz w:val="24"/>
          <w:szCs w:val="24"/>
          <w:highlight w:val="none"/>
        </w:rPr>
        <w:t>公章):</w:t>
      </w:r>
      <w:r>
        <w:rPr>
          <w:rFonts w:hint="eastAsia" w:ascii="宋体" w:hAnsi="宋体" w:cs="宋体"/>
          <w:sz w:val="24"/>
          <w:szCs w:val="24"/>
          <w:highlight w:val="none"/>
          <w:u w:val="single"/>
        </w:rPr>
        <w:t xml:space="preserve">                          </w:t>
      </w:r>
    </w:p>
    <w:p w14:paraId="5BB7987E">
      <w:pPr>
        <w:adjustRightInd w:val="0"/>
        <w:snapToGrid w:val="0"/>
        <w:spacing w:line="324" w:lineRule="auto"/>
        <w:ind w:left="4800" w:hanging="4800" w:hangingChars="2000"/>
        <w:jc w:val="left"/>
        <w:rPr>
          <w:rFonts w:hint="eastAsia" w:ascii="宋体" w:hAnsi="宋体" w:cs="宋体"/>
          <w:sz w:val="24"/>
          <w:szCs w:val="24"/>
          <w:highlight w:val="none"/>
          <w:u w:val="single"/>
        </w:rPr>
      </w:pPr>
      <w:r>
        <w:rPr>
          <w:rFonts w:hint="eastAsia" w:ascii="宋体" w:hAnsi="宋体" w:cs="宋体"/>
          <w:sz w:val="24"/>
          <w:szCs w:val="24"/>
          <w:highlight w:val="none"/>
        </w:rPr>
        <w:t>地址：</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地址：</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p>
    <w:p w14:paraId="2D61F078">
      <w:pPr>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法定代表人或                      法定代表人或</w:t>
      </w:r>
    </w:p>
    <w:p w14:paraId="2152E524">
      <w:pPr>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授权代理人（签字）：              授权代理人（签字）：</w:t>
      </w:r>
    </w:p>
    <w:p w14:paraId="042D5CBD">
      <w:pPr>
        <w:adjustRightInd w:val="0"/>
        <w:snapToGrid w:val="0"/>
        <w:spacing w:line="324" w:lineRule="auto"/>
        <w:jc w:val="left"/>
        <w:rPr>
          <w:rFonts w:hint="eastAsia" w:ascii="宋体" w:hAnsi="宋体" w:cs="宋体"/>
          <w:sz w:val="24"/>
          <w:szCs w:val="24"/>
          <w:highlight w:val="none"/>
          <w:u w:val="single"/>
        </w:rPr>
      </w:pPr>
      <w:r>
        <w:rPr>
          <w:rFonts w:hint="eastAsia" w:ascii="宋体" w:hAnsi="宋体" w:cs="宋体"/>
          <w:sz w:val="24"/>
          <w:szCs w:val="24"/>
          <w:highlight w:val="none"/>
        </w:rPr>
        <w:t>电话：</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电话：</w:t>
      </w:r>
      <w:r>
        <w:rPr>
          <w:rFonts w:hint="eastAsia" w:ascii="宋体" w:hAnsi="宋体" w:cs="宋体"/>
          <w:sz w:val="24"/>
          <w:szCs w:val="24"/>
          <w:highlight w:val="none"/>
          <w:u w:val="single"/>
        </w:rPr>
        <w:t xml:space="preserve">                  </w:t>
      </w:r>
    </w:p>
    <w:p w14:paraId="5B4B7D26">
      <w:pPr>
        <w:adjustRightInd w:val="0"/>
        <w:snapToGrid w:val="0"/>
        <w:spacing w:line="324" w:lineRule="auto"/>
        <w:jc w:val="left"/>
        <w:rPr>
          <w:rFonts w:hint="eastAsia" w:cs="宋体" w:asciiTheme="minorEastAsia" w:hAnsiTheme="minorEastAsia" w:eastAsiaTheme="minorEastAsia"/>
          <w:sz w:val="24"/>
          <w:highlight w:val="none"/>
        </w:rPr>
      </w:pPr>
      <w:r>
        <w:rPr>
          <w:rFonts w:hint="eastAsia" w:ascii="宋体" w:hAnsi="宋体" w:cs="宋体"/>
          <w:sz w:val="24"/>
          <w:szCs w:val="24"/>
          <w:highlight w:val="none"/>
        </w:rPr>
        <w:t>日期：      年   月   日          日期：      年   月   日</w:t>
      </w:r>
    </w:p>
    <w:p w14:paraId="072D1534">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771CA"/>
    <w:rsid w:val="12DF4DA2"/>
    <w:rsid w:val="5C40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 w:type="paragraph" w:customStyle="1" w:styleId="5">
    <w:name w:val="正文缩进1"/>
    <w:basedOn w:val="1"/>
    <w:autoRedefine/>
    <w:qFormat/>
    <w:uiPriority w:val="0"/>
    <w:pPr>
      <w:spacing w:line="360" w:lineRule="auto"/>
      <w:outlineLvl w:val="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5063</Words>
  <Characters>5291</Characters>
  <Lines>0</Lines>
  <Paragraphs>0</Paragraphs>
  <TotalTime>0</TotalTime>
  <ScaleCrop>false</ScaleCrop>
  <LinksUpToDate>false</LinksUpToDate>
  <CharactersWithSpaces>6171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2025-09-18T06:41:00Z</dcterms:created>
  <dc:creator>admin</dc:creator>
  <cp:lastModifiedBy>puppet</cp:lastModifiedBy>
  <dcterms:modified xsi:type="dcterms:W3CDTF">2025-09-18T07:07:47Z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eyJoZGlkIjoiOWZlOTI0MzU1MTE4MDlkNWMzNDM3YTg4ZmE1ODFmZDgiLCJ1c2VySWQiOiI2NjUzNDI1ODcifQ==</vt:lpwstr>
  </property>
  <property fmtid="{D5CDD505-2E9C-101B-9397-08002B2CF9AE}" pid="4" name="ICV">
    <vt:lpwstr>C056CDE0E0424F44A35CEAB2A4A819EC_12</vt:lpwstr>
  </property>
</Properties>
</file>