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CFF8B8">
      <w:pPr>
        <w:keepNext w:val="0"/>
        <w:keepLines w:val="0"/>
        <w:pageBreakBefore w:val="0"/>
        <w:widowControl/>
        <w:suppressLineNumbers w:val="0"/>
        <w:kinsoku/>
        <w:overflowPunct/>
        <w:topLinePunct w:val="0"/>
        <w:autoSpaceDE/>
        <w:autoSpaceDN/>
        <w:bidi w:val="0"/>
        <w:adjustRightInd w:val="0"/>
        <w:snapToGrid w:val="0"/>
        <w:spacing w:line="360" w:lineRule="auto"/>
        <w:jc w:val="center"/>
        <w:rPr>
          <w:rFonts w:hint="eastAsia" w:ascii="仿宋" w:hAnsi="仿宋" w:eastAsia="仿宋" w:cs="仿宋"/>
          <w:sz w:val="32"/>
          <w:szCs w:val="32"/>
          <w:highlight w:val="none"/>
        </w:rPr>
      </w:pPr>
      <w:bookmarkStart w:id="0" w:name="_GoBack"/>
      <w:r>
        <w:rPr>
          <w:rFonts w:hint="eastAsia" w:ascii="仿宋" w:hAnsi="仿宋" w:eastAsia="仿宋" w:cs="仿宋"/>
          <w:sz w:val="32"/>
          <w:szCs w:val="32"/>
        </w:rPr>
        <w:t xml:space="preserve"> </w:t>
      </w:r>
      <w:r>
        <w:rPr>
          <w:rFonts w:hint="eastAsia" w:ascii="仿宋" w:hAnsi="仿宋" w:eastAsia="仿宋" w:cs="仿宋"/>
          <w:b/>
          <w:bCs/>
          <w:color w:val="000000"/>
          <w:kern w:val="0"/>
          <w:sz w:val="32"/>
          <w:szCs w:val="32"/>
          <w:highlight w:val="none"/>
          <w:lang w:val="en-US" w:eastAsia="zh-CN" w:bidi="ar"/>
        </w:rPr>
        <w:t>服务合同</w:t>
      </w:r>
    </w:p>
    <w:bookmarkEnd w:id="0"/>
    <w:p w14:paraId="23121E02">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采购人（甲方）：</w:t>
      </w:r>
      <w:r>
        <w:rPr>
          <w:rFonts w:hint="eastAsia" w:ascii="仿宋" w:hAnsi="仿宋" w:eastAsia="仿宋" w:cs="仿宋"/>
          <w:color w:val="000000"/>
          <w:kern w:val="0"/>
          <w:sz w:val="24"/>
          <w:szCs w:val="24"/>
          <w:highlight w:val="none"/>
          <w:u w:val="single"/>
          <w:lang w:val="en-US" w:eastAsia="zh-CN" w:bidi="ar"/>
        </w:rPr>
        <w:t xml:space="preserve">                             </w:t>
      </w:r>
    </w:p>
    <w:p w14:paraId="00DC9B58">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
          <w:bCs/>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供应商（乙方）：</w:t>
      </w:r>
      <w:r>
        <w:rPr>
          <w:rFonts w:hint="eastAsia" w:ascii="仿宋" w:hAnsi="仿宋" w:eastAsia="仿宋" w:cs="仿宋"/>
          <w:color w:val="000000"/>
          <w:kern w:val="0"/>
          <w:sz w:val="24"/>
          <w:szCs w:val="24"/>
          <w:highlight w:val="none"/>
          <w:u w:val="single"/>
          <w:lang w:val="en-US" w:eastAsia="zh-CN" w:bidi="ar"/>
        </w:rPr>
        <w:t xml:space="preserve">                             </w:t>
      </w:r>
    </w:p>
    <w:p w14:paraId="67041C48">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val="0"/>
        <w:snapToGrid w:val="0"/>
        <w:spacing w:beforeAutospacing="0" w:after="0" w:afterAutospacing="0" w:line="360" w:lineRule="auto"/>
        <w:ind w:left="0" w:right="0" w:firstLine="480"/>
        <w:jc w:val="both"/>
        <w:textAlignment w:val="baseline"/>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根据《中华人民共和国民法典》《中华人民共和国政府采购法》等法律法规的规定，甲、乙双方关于</w:t>
      </w:r>
      <w:r>
        <w:rPr>
          <w:rFonts w:hint="eastAsia" w:ascii="仿宋" w:hAnsi="仿宋" w:eastAsia="仿宋" w:cs="仿宋"/>
          <w:b/>
          <w:bCs/>
          <w:color w:val="000000"/>
          <w:kern w:val="0"/>
          <w:sz w:val="24"/>
          <w:szCs w:val="24"/>
          <w:highlight w:val="none"/>
          <w:u w:val="single"/>
          <w:lang w:val="en-US" w:eastAsia="zh-CN" w:bidi="ar"/>
        </w:rPr>
        <w:t xml:space="preserve"> 沈家桥项目考古发掘资料整理服务</w:t>
      </w:r>
      <w:r>
        <w:rPr>
          <w:rFonts w:hint="eastAsia" w:ascii="仿宋" w:hAnsi="仿宋" w:eastAsia="仿宋" w:cs="仿宋"/>
          <w:i w:val="0"/>
          <w:iCs w:val="0"/>
          <w:caps w:val="0"/>
          <w:color w:val="auto"/>
          <w:spacing w:val="0"/>
          <w:sz w:val="24"/>
          <w:szCs w:val="24"/>
          <w:highlight w:val="none"/>
          <w:u w:val="single"/>
          <w:shd w:val="clear" w:fill="FFFFFF"/>
          <w:vertAlign w:val="baseline"/>
          <w:lang w:val="en-US" w:eastAsia="zh-CN"/>
        </w:rPr>
        <w:t xml:space="preserve">  </w:t>
      </w:r>
      <w:r>
        <w:rPr>
          <w:rFonts w:hint="eastAsia" w:ascii="仿宋" w:hAnsi="仿宋" w:eastAsia="仿宋" w:cs="仿宋"/>
          <w:color w:val="000000"/>
          <w:kern w:val="0"/>
          <w:sz w:val="24"/>
          <w:szCs w:val="24"/>
          <w:highlight w:val="none"/>
          <w:lang w:val="en-US" w:eastAsia="zh-CN" w:bidi="ar"/>
        </w:rPr>
        <w:t>，项目编号：</w:t>
      </w:r>
      <w:r>
        <w:rPr>
          <w:rFonts w:hint="eastAsia" w:ascii="仿宋" w:hAnsi="仿宋" w:eastAsia="仿宋" w:cs="仿宋"/>
          <w:i w:val="0"/>
          <w:iCs w:val="0"/>
          <w:caps w:val="0"/>
          <w:color w:val="auto"/>
          <w:spacing w:val="0"/>
          <w:sz w:val="24"/>
          <w:szCs w:val="24"/>
          <w:highlight w:val="none"/>
          <w:u w:val="single"/>
          <w:shd w:val="clear" w:fill="FFFFFF"/>
          <w:vertAlign w:val="baseline"/>
          <w:lang w:val="en-US" w:eastAsia="zh-CN"/>
        </w:rPr>
        <w:t xml:space="preserve"> DX2025-242  </w:t>
      </w:r>
      <w:r>
        <w:rPr>
          <w:rFonts w:hint="eastAsia" w:ascii="仿宋" w:hAnsi="仿宋" w:eastAsia="仿宋" w:cs="仿宋"/>
          <w:color w:val="000000"/>
          <w:kern w:val="0"/>
          <w:sz w:val="24"/>
          <w:szCs w:val="24"/>
          <w:highlight w:val="none"/>
          <w:lang w:val="en-US" w:eastAsia="zh-CN" w:bidi="ar"/>
        </w:rPr>
        <w:t>事宜，甲、乙双方本着平等、自愿的原则，经多次友好协商达成以下一致意见，订立本合同共同遵守。</w:t>
      </w:r>
    </w:p>
    <w:p w14:paraId="47C3C34D">
      <w:pPr>
        <w:keepNext w:val="0"/>
        <w:keepLines w:val="0"/>
        <w:pageBreakBefore w:val="0"/>
        <w:widowControl/>
        <w:numPr>
          <w:ilvl w:val="0"/>
          <w:numId w:val="2"/>
        </w:numPr>
        <w:suppressLineNumbers w:val="0"/>
        <w:kinsoku/>
        <w:wordWrap/>
        <w:overflowPunct/>
        <w:topLinePunct w:val="0"/>
        <w:autoSpaceDE/>
        <w:autoSpaceDN/>
        <w:bidi w:val="0"/>
        <w:adjustRightInd w:val="0"/>
        <w:snapToGrid w:val="0"/>
        <w:spacing w:line="360" w:lineRule="auto"/>
        <w:ind w:firstLine="482" w:firstLineChars="200"/>
        <w:jc w:val="left"/>
        <w:textAlignment w:val="auto"/>
        <w:rPr>
          <w:rFonts w:hint="eastAsia" w:ascii="仿宋" w:hAnsi="仿宋" w:eastAsia="仿宋" w:cs="仿宋"/>
          <w:b/>
          <w:bCs/>
          <w:color w:val="000000"/>
          <w:kern w:val="0"/>
          <w:sz w:val="24"/>
          <w:szCs w:val="24"/>
          <w:highlight w:val="none"/>
          <w:lang w:val="en-US" w:eastAsia="zh-CN" w:bidi="ar"/>
        </w:rPr>
      </w:pPr>
      <w:r>
        <w:rPr>
          <w:rFonts w:hint="eastAsia" w:ascii="仿宋" w:hAnsi="仿宋" w:eastAsia="仿宋" w:cs="仿宋"/>
          <w:b/>
          <w:bCs/>
          <w:color w:val="000000"/>
          <w:kern w:val="0"/>
          <w:sz w:val="24"/>
          <w:szCs w:val="24"/>
          <w:highlight w:val="none"/>
          <w:lang w:val="en-US" w:eastAsia="zh-CN" w:bidi="ar"/>
        </w:rPr>
        <w:t>服务内容</w:t>
      </w:r>
    </w:p>
    <w:p w14:paraId="444DA968">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color w:val="000000"/>
          <w:kern w:val="0"/>
          <w:sz w:val="24"/>
          <w:szCs w:val="24"/>
          <w:highlight w:val="none"/>
          <w:u w:val="single"/>
          <w:lang w:val="en-US" w:eastAsia="zh-CN" w:bidi="ar"/>
        </w:rPr>
      </w:pPr>
      <w:r>
        <w:rPr>
          <w:rFonts w:hint="eastAsia" w:ascii="仿宋" w:hAnsi="仿宋" w:eastAsia="仿宋" w:cs="仿宋"/>
          <w:color w:val="000000"/>
          <w:kern w:val="0"/>
          <w:sz w:val="24"/>
          <w:szCs w:val="24"/>
          <w:highlight w:val="none"/>
          <w:lang w:val="en-US" w:eastAsia="zh-CN" w:bidi="ar"/>
        </w:rPr>
        <w:t>（一）项目名称：</w:t>
      </w:r>
      <w:r>
        <w:rPr>
          <w:rFonts w:hint="eastAsia" w:ascii="仿宋" w:hAnsi="仿宋" w:eastAsia="仿宋" w:cs="仿宋"/>
          <w:color w:val="000000"/>
          <w:kern w:val="0"/>
          <w:sz w:val="24"/>
          <w:szCs w:val="24"/>
          <w:highlight w:val="none"/>
          <w:u w:val="single"/>
          <w:lang w:val="en-US" w:eastAsia="zh-CN" w:bidi="ar"/>
        </w:rPr>
        <w:t>沈家桥项目考古发掘资料整理服务</w:t>
      </w:r>
    </w:p>
    <w:p w14:paraId="1E5A1F22">
      <w:pPr>
        <w:keepNext w:val="0"/>
        <w:keepLines w:val="0"/>
        <w:pageBreakBefore w:val="0"/>
        <w:widowControl/>
        <w:suppressLineNumbers w:val="0"/>
        <w:kinsoku/>
        <w:wordWrap w:val="0"/>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color w:val="000000"/>
          <w:kern w:val="0"/>
          <w:sz w:val="24"/>
          <w:szCs w:val="24"/>
          <w:highlight w:val="none"/>
          <w:lang w:val="en-US" w:eastAsia="zh-CN" w:bidi="ar"/>
        </w:rPr>
        <w:t>（二）</w:t>
      </w:r>
      <w:r>
        <w:rPr>
          <w:rFonts w:hint="eastAsia" w:ascii="仿宋" w:hAnsi="仿宋" w:eastAsia="仿宋" w:cs="仿宋"/>
          <w:color w:val="000000"/>
          <w:kern w:val="0"/>
          <w:sz w:val="24"/>
          <w:szCs w:val="24"/>
          <w:highlight w:val="none"/>
          <w:u w:val="none"/>
          <w:lang w:val="en-US" w:eastAsia="zh-CN" w:bidi="ar"/>
        </w:rPr>
        <w:t>服务内容事项</w:t>
      </w:r>
      <w:r>
        <w:rPr>
          <w:rFonts w:hint="eastAsia" w:ascii="仿宋" w:hAnsi="仿宋" w:eastAsia="仿宋" w:cs="仿宋"/>
          <w:color w:val="000000"/>
          <w:kern w:val="0"/>
          <w:sz w:val="24"/>
          <w:szCs w:val="24"/>
          <w:highlight w:val="none"/>
          <w:lang w:val="en-US" w:eastAsia="zh-CN" w:bidi="ar"/>
        </w:rPr>
        <w:t>：</w:t>
      </w:r>
      <w:r>
        <w:rPr>
          <w:rFonts w:hint="eastAsia" w:ascii="仿宋" w:hAnsi="仿宋" w:eastAsia="仿宋" w:cs="仿宋"/>
          <w:color w:val="000000"/>
          <w:kern w:val="0"/>
          <w:sz w:val="24"/>
          <w:szCs w:val="24"/>
          <w:highlight w:val="none"/>
          <w:u w:val="single"/>
          <w:lang w:val="en-US" w:eastAsia="zh-CN" w:bidi="ar"/>
        </w:rPr>
        <w:t>根据采购人需求，核对、整理田野发掘日记、记录、图纸、照片、登记表、文物等相关资料；完成出土文物及器物标本的清洗、拼对、修复、描述、绘图、照相等；完成满足编写考古发掘报告或简报条件的报告。</w:t>
      </w:r>
    </w:p>
    <w:p w14:paraId="31E5683E">
      <w:pPr>
        <w:pStyle w:val="16"/>
        <w:pageBreakBefore w:val="0"/>
        <w:kinsoku/>
        <w:overflowPunct/>
        <w:topLinePunct w:val="0"/>
        <w:autoSpaceDE/>
        <w:autoSpaceDN/>
        <w:bidi w:val="0"/>
        <w:adjustRightInd w:val="0"/>
        <w:snapToGrid w:val="0"/>
        <w:spacing w:line="360" w:lineRule="auto"/>
        <w:ind w:firstLine="440"/>
        <w:rPr>
          <w:rFonts w:hint="eastAsia" w:ascii="仿宋" w:hAnsi="仿宋" w:eastAsia="仿宋" w:cs="仿宋"/>
          <w:b/>
          <w:bCs/>
          <w:color w:val="000000"/>
          <w:kern w:val="0"/>
          <w:sz w:val="24"/>
          <w:szCs w:val="24"/>
          <w:highlight w:val="none"/>
          <w:lang w:val="en-US" w:eastAsia="zh-CN" w:bidi="ar"/>
        </w:rPr>
      </w:pPr>
      <w:r>
        <w:rPr>
          <w:rFonts w:hint="eastAsia" w:ascii="仿宋" w:hAnsi="仿宋" w:eastAsia="仿宋" w:cs="仿宋"/>
          <w:b/>
          <w:bCs/>
          <w:color w:val="000000"/>
          <w:kern w:val="0"/>
          <w:sz w:val="24"/>
          <w:szCs w:val="24"/>
          <w:highlight w:val="none"/>
          <w:lang w:val="en-US" w:eastAsia="zh-CN" w:bidi="ar"/>
        </w:rPr>
        <w:t>二、服务要求：</w:t>
      </w:r>
    </w:p>
    <w:p w14:paraId="0B88CC59">
      <w:pPr>
        <w:pStyle w:val="5"/>
        <w:pageBreakBefore w:val="0"/>
        <w:numPr>
          <w:ilvl w:val="0"/>
          <w:numId w:val="0"/>
        </w:numPr>
        <w:kinsoku/>
        <w:overflowPunct/>
        <w:topLinePunct w:val="0"/>
        <w:autoSpaceDE/>
        <w:autoSpaceDN/>
        <w:bidi w:val="0"/>
        <w:adjustRightInd w:val="0"/>
        <w:snapToGrid w:val="0"/>
        <w:spacing w:before="0" w:after="0" w:line="360" w:lineRule="auto"/>
        <w:ind w:left="860" w:leftChars="0" w:hanging="440" w:firstLineChars="0"/>
        <w:jc w:val="left"/>
        <w:rPr>
          <w:rFonts w:hint="eastAsia" w:ascii="仿宋" w:hAnsi="仿宋" w:eastAsia="仿宋" w:cs="仿宋"/>
          <w:sz w:val="24"/>
          <w:szCs w:val="24"/>
          <w:highlight w:val="none"/>
        </w:rPr>
      </w:pPr>
      <w:r>
        <w:rPr>
          <w:rFonts w:hint="eastAsia" w:ascii="仿宋" w:hAnsi="仿宋" w:eastAsia="仿宋" w:cs="仿宋"/>
          <w:b/>
          <w:bCs/>
          <w:kern w:val="2"/>
          <w:sz w:val="24"/>
          <w:szCs w:val="24"/>
          <w:lang w:val="en-US" w:eastAsia="zh-CN" w:bidi="ar-SA"/>
        </w:rPr>
        <w:t>(一)</w:t>
      </w:r>
      <w:r>
        <w:rPr>
          <w:rFonts w:hint="eastAsia" w:ascii="仿宋" w:hAnsi="仿宋" w:eastAsia="仿宋" w:cs="仿宋"/>
          <w:sz w:val="24"/>
          <w:szCs w:val="24"/>
          <w:highlight w:val="none"/>
        </w:rPr>
        <w:t>项目原则</w:t>
      </w:r>
    </w:p>
    <w:p w14:paraId="4882B7FE">
      <w:pPr>
        <w:pStyle w:val="16"/>
        <w:pageBreakBefore w:val="0"/>
        <w:kinsoku/>
        <w:overflowPunct/>
        <w:topLinePunct w:val="0"/>
        <w:autoSpaceDE/>
        <w:autoSpaceDN/>
        <w:bidi w:val="0"/>
        <w:adjustRightInd w:val="0"/>
        <w:snapToGrid w:val="0"/>
        <w:spacing w:line="360" w:lineRule="auto"/>
        <w:ind w:firstLine="440"/>
        <w:rPr>
          <w:rFonts w:hint="eastAsia" w:ascii="仿宋" w:hAnsi="仿宋" w:eastAsia="仿宋" w:cs="仿宋"/>
          <w:sz w:val="24"/>
          <w:szCs w:val="24"/>
          <w:highlight w:val="none"/>
        </w:rPr>
      </w:pPr>
      <w:r>
        <w:rPr>
          <w:rFonts w:hint="eastAsia" w:ascii="仿宋" w:hAnsi="仿宋" w:eastAsia="仿宋" w:cs="仿宋"/>
          <w:sz w:val="24"/>
          <w:szCs w:val="24"/>
          <w:highlight w:val="none"/>
        </w:rPr>
        <w:t>1.遵循公开、公平、公正和诚实信用的原则。</w:t>
      </w:r>
    </w:p>
    <w:p w14:paraId="247F4CEE">
      <w:pPr>
        <w:pStyle w:val="16"/>
        <w:pageBreakBefore w:val="0"/>
        <w:kinsoku/>
        <w:overflowPunct/>
        <w:topLinePunct w:val="0"/>
        <w:autoSpaceDE/>
        <w:autoSpaceDN/>
        <w:bidi w:val="0"/>
        <w:adjustRightInd w:val="0"/>
        <w:snapToGrid w:val="0"/>
        <w:spacing w:line="360" w:lineRule="auto"/>
        <w:ind w:firstLine="440"/>
        <w:rPr>
          <w:rFonts w:hint="eastAsia" w:ascii="仿宋" w:hAnsi="仿宋" w:eastAsia="仿宋" w:cs="仿宋"/>
          <w:sz w:val="24"/>
          <w:szCs w:val="24"/>
          <w:highlight w:val="none"/>
        </w:rPr>
      </w:pPr>
      <w:r>
        <w:rPr>
          <w:rFonts w:hint="eastAsia" w:ascii="仿宋" w:hAnsi="仿宋" w:eastAsia="仿宋" w:cs="仿宋"/>
          <w:sz w:val="24"/>
          <w:szCs w:val="24"/>
          <w:highlight w:val="none"/>
        </w:rPr>
        <w:t>2.依法由采购人负责，任何单位和个人不得以任何方式非法干涉考古发掘后期资料整理单位的采购活动。</w:t>
      </w:r>
    </w:p>
    <w:p w14:paraId="4B0D8583">
      <w:pPr>
        <w:pStyle w:val="5"/>
        <w:pageBreakBefore w:val="0"/>
        <w:numPr>
          <w:ilvl w:val="0"/>
          <w:numId w:val="0"/>
        </w:numPr>
        <w:kinsoku/>
        <w:overflowPunct/>
        <w:topLinePunct w:val="0"/>
        <w:autoSpaceDE/>
        <w:autoSpaceDN/>
        <w:bidi w:val="0"/>
        <w:adjustRightInd w:val="0"/>
        <w:snapToGrid w:val="0"/>
        <w:spacing w:before="0" w:after="0" w:line="360" w:lineRule="auto"/>
        <w:ind w:left="860" w:leftChars="0" w:hanging="440" w:firstLineChars="0"/>
        <w:jc w:val="left"/>
        <w:rPr>
          <w:rFonts w:hint="eastAsia" w:ascii="仿宋" w:hAnsi="仿宋" w:eastAsia="仿宋" w:cs="仿宋"/>
          <w:sz w:val="24"/>
          <w:szCs w:val="24"/>
          <w:highlight w:val="none"/>
        </w:rPr>
      </w:pPr>
      <w:r>
        <w:rPr>
          <w:rFonts w:hint="eastAsia" w:ascii="仿宋" w:hAnsi="仿宋" w:eastAsia="仿宋" w:cs="仿宋"/>
          <w:b/>
          <w:bCs/>
          <w:kern w:val="2"/>
          <w:sz w:val="24"/>
          <w:szCs w:val="24"/>
          <w:lang w:val="en-US" w:eastAsia="zh-CN" w:bidi="ar-SA"/>
        </w:rPr>
        <w:t>(二)</w:t>
      </w:r>
      <w:r>
        <w:rPr>
          <w:rFonts w:hint="eastAsia" w:ascii="仿宋" w:hAnsi="仿宋" w:eastAsia="仿宋" w:cs="仿宋"/>
          <w:sz w:val="24"/>
          <w:szCs w:val="24"/>
          <w:highlight w:val="none"/>
        </w:rPr>
        <w:t>技术要求</w:t>
      </w:r>
    </w:p>
    <w:p w14:paraId="037E6815">
      <w:pPr>
        <w:pStyle w:val="16"/>
        <w:pageBreakBefore w:val="0"/>
        <w:kinsoku/>
        <w:overflowPunct/>
        <w:topLinePunct w:val="0"/>
        <w:autoSpaceDE/>
        <w:autoSpaceDN/>
        <w:bidi w:val="0"/>
        <w:adjustRightInd w:val="0"/>
        <w:snapToGrid w:val="0"/>
        <w:spacing w:line="360" w:lineRule="auto"/>
        <w:ind w:firstLine="440"/>
        <w:rPr>
          <w:rFonts w:hint="eastAsia" w:ascii="仿宋" w:hAnsi="仿宋" w:eastAsia="仿宋" w:cs="仿宋"/>
          <w:sz w:val="24"/>
          <w:szCs w:val="24"/>
          <w:highlight w:val="none"/>
        </w:rPr>
      </w:pPr>
      <w:r>
        <w:rPr>
          <w:rFonts w:hint="eastAsia" w:ascii="仿宋" w:hAnsi="仿宋" w:eastAsia="仿宋" w:cs="仿宋"/>
          <w:sz w:val="24"/>
          <w:szCs w:val="24"/>
          <w:highlight w:val="none"/>
        </w:rPr>
        <w:t>为进一步推进市考古院考古发掘资料的整理和研究工作，促进考古发掘成果转化，提升学术研究水平，本项目考古发掘资料整理工作至少需包括清洗、拼对、修复、绘图、拍照、描述、报告编制等服务工作内容，须满足以下技术要求及人员要求：</w:t>
      </w:r>
    </w:p>
    <w:p w14:paraId="2AB20F5B">
      <w:pPr>
        <w:pStyle w:val="16"/>
        <w:pageBreakBefore w:val="0"/>
        <w:kinsoku/>
        <w:overflowPunct/>
        <w:topLinePunct w:val="0"/>
        <w:autoSpaceDE/>
        <w:autoSpaceDN/>
        <w:bidi w:val="0"/>
        <w:adjustRightInd w:val="0"/>
        <w:snapToGrid w:val="0"/>
        <w:spacing w:line="360" w:lineRule="auto"/>
        <w:ind w:firstLine="440"/>
        <w:rPr>
          <w:rFonts w:hint="eastAsia" w:ascii="仿宋" w:hAnsi="仿宋" w:eastAsia="仿宋" w:cs="仿宋"/>
          <w:sz w:val="24"/>
          <w:szCs w:val="24"/>
          <w:highlight w:val="none"/>
        </w:rPr>
      </w:pPr>
      <w:r>
        <w:rPr>
          <w:rFonts w:hint="eastAsia" w:ascii="仿宋" w:hAnsi="仿宋" w:eastAsia="仿宋" w:cs="仿宋"/>
          <w:sz w:val="24"/>
          <w:szCs w:val="24"/>
          <w:highlight w:val="none"/>
        </w:rPr>
        <w:t>1.供应商必须严格执行《田野考古工作规程》和国家文物局有关资料整理工作的相关规定。供应商须保证资料整理工作科学有效，确保工作质量和文物安全。</w:t>
      </w:r>
    </w:p>
    <w:p w14:paraId="72950F51">
      <w:pPr>
        <w:pStyle w:val="16"/>
        <w:pageBreakBefore w:val="0"/>
        <w:kinsoku/>
        <w:overflowPunct/>
        <w:topLinePunct w:val="0"/>
        <w:autoSpaceDE/>
        <w:autoSpaceDN/>
        <w:bidi w:val="0"/>
        <w:adjustRightInd w:val="0"/>
        <w:snapToGrid w:val="0"/>
        <w:spacing w:line="360" w:lineRule="auto"/>
        <w:ind w:firstLine="440"/>
        <w:rPr>
          <w:rFonts w:hint="eastAsia" w:ascii="仿宋" w:hAnsi="仿宋" w:eastAsia="仿宋" w:cs="仿宋"/>
          <w:sz w:val="24"/>
          <w:szCs w:val="24"/>
          <w:highlight w:val="none"/>
        </w:rPr>
      </w:pPr>
      <w:r>
        <w:rPr>
          <w:rFonts w:hint="eastAsia" w:ascii="仿宋" w:hAnsi="仿宋" w:eastAsia="仿宋" w:cs="仿宋"/>
          <w:sz w:val="24"/>
          <w:szCs w:val="24"/>
          <w:highlight w:val="none"/>
        </w:rPr>
        <w:t>2.供应商必须服从考古院的工作安排和管理，必须按相关要求开展资料整理工作。</w:t>
      </w:r>
    </w:p>
    <w:p w14:paraId="2BFC76F3">
      <w:pPr>
        <w:pStyle w:val="16"/>
        <w:pageBreakBefore w:val="0"/>
        <w:kinsoku/>
        <w:overflowPunct/>
        <w:topLinePunct w:val="0"/>
        <w:autoSpaceDE/>
        <w:autoSpaceDN/>
        <w:bidi w:val="0"/>
        <w:adjustRightInd w:val="0"/>
        <w:snapToGrid w:val="0"/>
        <w:spacing w:line="360" w:lineRule="auto"/>
        <w:ind w:firstLine="440"/>
        <w:rPr>
          <w:rFonts w:hint="eastAsia" w:ascii="仿宋" w:hAnsi="仿宋" w:eastAsia="仿宋" w:cs="仿宋"/>
          <w:sz w:val="24"/>
          <w:szCs w:val="24"/>
          <w:highlight w:val="none"/>
        </w:rPr>
      </w:pPr>
      <w:r>
        <w:rPr>
          <w:rFonts w:hint="eastAsia" w:ascii="仿宋" w:hAnsi="仿宋" w:eastAsia="仿宋" w:cs="仿宋"/>
          <w:sz w:val="24"/>
          <w:szCs w:val="24"/>
          <w:highlight w:val="none"/>
        </w:rPr>
        <w:t>3.供应商须配备有专家、数名专业资料整理技术人员等。须配备相应资料整理的装备、设备，如笔记本或平板电脑、专业相机、运输工具。供应商应配备统一服装和标识，提供具备人员宿舍、临时库房、办公室、修复室等基础设施的工作场所。</w:t>
      </w:r>
    </w:p>
    <w:p w14:paraId="66EE74EF">
      <w:pPr>
        <w:pStyle w:val="16"/>
        <w:pageBreakBefore w:val="0"/>
        <w:kinsoku/>
        <w:overflowPunct/>
        <w:topLinePunct w:val="0"/>
        <w:autoSpaceDE/>
        <w:autoSpaceDN/>
        <w:bidi w:val="0"/>
        <w:adjustRightInd w:val="0"/>
        <w:snapToGrid w:val="0"/>
        <w:spacing w:line="360" w:lineRule="auto"/>
        <w:ind w:firstLine="440"/>
        <w:rPr>
          <w:rFonts w:hint="eastAsia" w:ascii="仿宋" w:hAnsi="仿宋" w:eastAsia="仿宋" w:cs="仿宋"/>
          <w:sz w:val="24"/>
          <w:szCs w:val="24"/>
          <w:highlight w:val="none"/>
        </w:rPr>
      </w:pPr>
      <w:r>
        <w:rPr>
          <w:rFonts w:hint="eastAsia" w:ascii="仿宋" w:hAnsi="仿宋" w:eastAsia="仿宋" w:cs="仿宋"/>
          <w:sz w:val="24"/>
          <w:szCs w:val="24"/>
          <w:highlight w:val="none"/>
        </w:rPr>
        <w:t>4.委托项目由供应商自行承担，不得将资料整理项目分包或转包给任何单位和个人。</w:t>
      </w:r>
    </w:p>
    <w:p w14:paraId="3A6C5903">
      <w:pPr>
        <w:pStyle w:val="16"/>
        <w:pageBreakBefore w:val="0"/>
        <w:kinsoku/>
        <w:overflowPunct/>
        <w:topLinePunct w:val="0"/>
        <w:autoSpaceDE/>
        <w:autoSpaceDN/>
        <w:bidi w:val="0"/>
        <w:adjustRightInd w:val="0"/>
        <w:snapToGrid w:val="0"/>
        <w:spacing w:line="360" w:lineRule="auto"/>
        <w:ind w:firstLine="440"/>
        <w:rPr>
          <w:rFonts w:hint="eastAsia" w:ascii="仿宋" w:hAnsi="仿宋" w:eastAsia="仿宋" w:cs="仿宋"/>
          <w:sz w:val="24"/>
          <w:szCs w:val="24"/>
          <w:highlight w:val="none"/>
        </w:rPr>
      </w:pPr>
      <w:r>
        <w:rPr>
          <w:rFonts w:hint="eastAsia" w:ascii="仿宋" w:hAnsi="仿宋" w:eastAsia="仿宋" w:cs="仿宋"/>
          <w:sz w:val="24"/>
          <w:szCs w:val="24"/>
          <w:highlight w:val="none"/>
        </w:rPr>
        <w:t>5.供应商须接受考古院组织的检查、监管和验收工作。</w:t>
      </w:r>
    </w:p>
    <w:p w14:paraId="3F76C8D4">
      <w:pPr>
        <w:pStyle w:val="16"/>
        <w:pageBreakBefore w:val="0"/>
        <w:kinsoku/>
        <w:overflowPunct/>
        <w:topLinePunct w:val="0"/>
        <w:autoSpaceDE/>
        <w:autoSpaceDN/>
        <w:bidi w:val="0"/>
        <w:adjustRightInd w:val="0"/>
        <w:snapToGrid w:val="0"/>
        <w:spacing w:line="360" w:lineRule="auto"/>
        <w:ind w:firstLine="440"/>
        <w:rPr>
          <w:rFonts w:hint="eastAsia" w:ascii="仿宋" w:hAnsi="仿宋" w:eastAsia="仿宋" w:cs="仿宋"/>
          <w:sz w:val="24"/>
          <w:szCs w:val="24"/>
          <w:highlight w:val="none"/>
        </w:rPr>
      </w:pPr>
      <w:r>
        <w:rPr>
          <w:rFonts w:hint="eastAsia" w:ascii="仿宋" w:hAnsi="仿宋" w:eastAsia="仿宋" w:cs="仿宋"/>
          <w:sz w:val="24"/>
          <w:szCs w:val="24"/>
          <w:highlight w:val="none"/>
        </w:rPr>
        <w:t>6.供应商对在资料整理过程中接触到的考古院的任何资料、文件、数据（无论是书面的还是电子的），以及了解的考古信息、考古报告，负有保密的责任。未经考古院书面同意，供应商不得以任何方式向任何第三方提供或透露。供应商须与参加资料整理的人员签署保密协议。</w:t>
      </w:r>
    </w:p>
    <w:p w14:paraId="4F95C8DB">
      <w:pPr>
        <w:pStyle w:val="16"/>
        <w:pageBreakBefore w:val="0"/>
        <w:kinsoku/>
        <w:overflowPunct/>
        <w:topLinePunct w:val="0"/>
        <w:autoSpaceDE/>
        <w:autoSpaceDN/>
        <w:bidi w:val="0"/>
        <w:adjustRightInd w:val="0"/>
        <w:snapToGrid w:val="0"/>
        <w:spacing w:line="360" w:lineRule="auto"/>
        <w:ind w:firstLine="440"/>
        <w:rPr>
          <w:rFonts w:hint="eastAsia" w:ascii="仿宋" w:hAnsi="仿宋" w:eastAsia="仿宋" w:cs="仿宋"/>
          <w:sz w:val="24"/>
          <w:szCs w:val="24"/>
          <w:highlight w:val="none"/>
        </w:rPr>
      </w:pPr>
      <w:r>
        <w:rPr>
          <w:rFonts w:hint="eastAsia" w:ascii="仿宋" w:hAnsi="仿宋" w:eastAsia="仿宋" w:cs="仿宋"/>
          <w:sz w:val="24"/>
          <w:szCs w:val="24"/>
          <w:highlight w:val="none"/>
        </w:rPr>
        <w:t>7.供应商人员应熟悉《中华人民共和国文物保护法》的有关规定，不得私留截留、保管、倒卖工地上出土的古代文物和标本，一经发现，采购人有权终止合同，并依法追究当事人及连带供应商法律责任。</w:t>
      </w:r>
    </w:p>
    <w:p w14:paraId="7A932D77">
      <w:pPr>
        <w:pStyle w:val="5"/>
        <w:pageBreakBefore w:val="0"/>
        <w:numPr>
          <w:ilvl w:val="0"/>
          <w:numId w:val="0"/>
        </w:numPr>
        <w:kinsoku/>
        <w:overflowPunct/>
        <w:topLinePunct w:val="0"/>
        <w:autoSpaceDE/>
        <w:autoSpaceDN/>
        <w:bidi w:val="0"/>
        <w:adjustRightInd w:val="0"/>
        <w:snapToGrid w:val="0"/>
        <w:spacing w:before="0" w:after="0" w:line="360" w:lineRule="auto"/>
        <w:ind w:left="860" w:leftChars="0" w:hanging="440" w:firstLineChars="0"/>
        <w:jc w:val="left"/>
        <w:rPr>
          <w:rFonts w:hint="eastAsia" w:ascii="仿宋" w:hAnsi="仿宋" w:eastAsia="仿宋" w:cs="仿宋"/>
          <w:sz w:val="24"/>
          <w:szCs w:val="24"/>
          <w:highlight w:val="none"/>
        </w:rPr>
      </w:pPr>
      <w:r>
        <w:rPr>
          <w:rFonts w:hint="eastAsia" w:ascii="仿宋" w:hAnsi="仿宋" w:eastAsia="仿宋" w:cs="仿宋"/>
          <w:b/>
          <w:bCs/>
          <w:kern w:val="2"/>
          <w:sz w:val="24"/>
          <w:szCs w:val="24"/>
          <w:lang w:val="en-US" w:eastAsia="zh-CN" w:bidi="ar-SA"/>
        </w:rPr>
        <w:t>(三)</w:t>
      </w:r>
      <w:r>
        <w:rPr>
          <w:rFonts w:hint="eastAsia" w:ascii="仿宋" w:hAnsi="仿宋" w:eastAsia="仿宋" w:cs="仿宋"/>
          <w:sz w:val="24"/>
          <w:szCs w:val="24"/>
          <w:highlight w:val="none"/>
        </w:rPr>
        <w:t>提交资料</w:t>
      </w:r>
    </w:p>
    <w:p w14:paraId="199F45BE">
      <w:pPr>
        <w:pStyle w:val="16"/>
        <w:pageBreakBefore w:val="0"/>
        <w:kinsoku/>
        <w:overflowPunct/>
        <w:topLinePunct w:val="0"/>
        <w:autoSpaceDE/>
        <w:autoSpaceDN/>
        <w:bidi w:val="0"/>
        <w:adjustRightInd w:val="0"/>
        <w:snapToGrid w:val="0"/>
        <w:spacing w:line="360" w:lineRule="auto"/>
        <w:ind w:firstLine="440"/>
        <w:rPr>
          <w:rFonts w:hint="eastAsia" w:ascii="仿宋" w:hAnsi="仿宋" w:eastAsia="仿宋" w:cs="仿宋"/>
          <w:sz w:val="24"/>
          <w:szCs w:val="24"/>
          <w:highlight w:val="none"/>
        </w:rPr>
      </w:pPr>
      <w:r>
        <w:rPr>
          <w:rFonts w:hint="eastAsia" w:ascii="仿宋" w:hAnsi="仿宋" w:eastAsia="仿宋" w:cs="仿宋"/>
          <w:sz w:val="24"/>
          <w:szCs w:val="24"/>
          <w:highlight w:val="none"/>
        </w:rPr>
        <w:t>根据采购人要求提供全部纸质和电子资料，包括所有清洗修复后的文物、相关基础资料以及最终的成果报告等。</w:t>
      </w:r>
    </w:p>
    <w:p w14:paraId="47D2044A">
      <w:pPr>
        <w:pStyle w:val="5"/>
        <w:pageBreakBefore w:val="0"/>
        <w:numPr>
          <w:ilvl w:val="0"/>
          <w:numId w:val="0"/>
        </w:numPr>
        <w:kinsoku/>
        <w:overflowPunct/>
        <w:topLinePunct w:val="0"/>
        <w:autoSpaceDE/>
        <w:autoSpaceDN/>
        <w:bidi w:val="0"/>
        <w:adjustRightInd w:val="0"/>
        <w:snapToGrid w:val="0"/>
        <w:spacing w:before="0" w:after="0" w:line="360" w:lineRule="auto"/>
        <w:ind w:left="860" w:leftChars="0" w:hanging="440" w:firstLineChars="0"/>
        <w:jc w:val="left"/>
        <w:rPr>
          <w:rFonts w:hint="eastAsia" w:ascii="仿宋" w:hAnsi="仿宋" w:eastAsia="仿宋" w:cs="仿宋"/>
          <w:sz w:val="24"/>
          <w:szCs w:val="24"/>
          <w:highlight w:val="none"/>
        </w:rPr>
      </w:pPr>
      <w:r>
        <w:rPr>
          <w:rFonts w:hint="eastAsia" w:ascii="仿宋" w:hAnsi="仿宋" w:eastAsia="仿宋" w:cs="仿宋"/>
          <w:b/>
          <w:bCs/>
          <w:kern w:val="2"/>
          <w:sz w:val="24"/>
          <w:szCs w:val="24"/>
          <w:lang w:val="en-US" w:eastAsia="zh-CN" w:bidi="ar-SA"/>
        </w:rPr>
        <w:t>(四)</w:t>
      </w:r>
      <w:r>
        <w:rPr>
          <w:rFonts w:hint="eastAsia" w:ascii="仿宋" w:hAnsi="仿宋" w:eastAsia="仿宋" w:cs="仿宋"/>
          <w:sz w:val="24"/>
          <w:szCs w:val="24"/>
          <w:highlight w:val="none"/>
        </w:rPr>
        <w:t>项目验收</w:t>
      </w:r>
    </w:p>
    <w:p w14:paraId="48F42337">
      <w:pPr>
        <w:pStyle w:val="16"/>
        <w:pageBreakBefore w:val="0"/>
        <w:kinsoku/>
        <w:overflowPunct/>
        <w:topLinePunct w:val="0"/>
        <w:autoSpaceDE/>
        <w:autoSpaceDN/>
        <w:bidi w:val="0"/>
        <w:adjustRightInd w:val="0"/>
        <w:snapToGrid w:val="0"/>
        <w:spacing w:line="360" w:lineRule="auto"/>
        <w:ind w:firstLine="440"/>
        <w:rPr>
          <w:rFonts w:hint="eastAsia" w:ascii="仿宋" w:hAnsi="仿宋" w:eastAsia="仿宋" w:cs="仿宋"/>
          <w:sz w:val="24"/>
          <w:szCs w:val="24"/>
          <w:highlight w:val="none"/>
        </w:rPr>
      </w:pPr>
      <w:r>
        <w:rPr>
          <w:rFonts w:hint="eastAsia" w:ascii="仿宋" w:hAnsi="仿宋" w:eastAsia="仿宋" w:cs="仿宋"/>
          <w:sz w:val="24"/>
          <w:szCs w:val="24"/>
          <w:highlight w:val="none"/>
        </w:rPr>
        <w:t>严格按照国家文物局《田野考古发掘工作规程》等相关要求，服从采购人组织的检查、监管和结项验收，验收至少包括审阅满足编写考古发掘报告或简报条件的结项报告、检查图纸照片等各类资料以及查验出土文物修复情况等。</w:t>
      </w:r>
    </w:p>
    <w:p w14:paraId="75E1130E">
      <w:pPr>
        <w:pStyle w:val="5"/>
        <w:pageBreakBefore w:val="0"/>
        <w:numPr>
          <w:ilvl w:val="0"/>
          <w:numId w:val="0"/>
        </w:numPr>
        <w:kinsoku/>
        <w:overflowPunct/>
        <w:topLinePunct w:val="0"/>
        <w:autoSpaceDE/>
        <w:autoSpaceDN/>
        <w:bidi w:val="0"/>
        <w:adjustRightInd w:val="0"/>
        <w:snapToGrid w:val="0"/>
        <w:spacing w:before="0" w:after="0" w:line="360" w:lineRule="auto"/>
        <w:ind w:left="860" w:leftChars="0" w:hanging="440" w:firstLineChars="0"/>
        <w:jc w:val="left"/>
        <w:rPr>
          <w:rFonts w:hint="eastAsia" w:ascii="仿宋" w:hAnsi="仿宋" w:eastAsia="仿宋" w:cs="仿宋"/>
          <w:color w:val="000000"/>
          <w:sz w:val="24"/>
          <w:szCs w:val="24"/>
          <w:highlight w:val="none"/>
        </w:rPr>
      </w:pPr>
      <w:r>
        <w:rPr>
          <w:rFonts w:hint="eastAsia" w:ascii="仿宋" w:hAnsi="仿宋" w:eastAsia="仿宋" w:cs="仿宋"/>
          <w:b/>
          <w:bCs/>
          <w:color w:val="000000"/>
          <w:kern w:val="2"/>
          <w:sz w:val="24"/>
          <w:szCs w:val="24"/>
          <w:lang w:val="en-US" w:eastAsia="zh-CN" w:bidi="ar-SA"/>
        </w:rPr>
        <w:t>(五)</w:t>
      </w:r>
      <w:r>
        <w:rPr>
          <w:rFonts w:hint="eastAsia" w:ascii="仿宋" w:hAnsi="仿宋" w:eastAsia="仿宋" w:cs="仿宋"/>
          <w:sz w:val="24"/>
          <w:szCs w:val="24"/>
          <w:highlight w:val="none"/>
        </w:rPr>
        <w:t>现场管理及安全要求</w:t>
      </w:r>
    </w:p>
    <w:p w14:paraId="1ACA2808">
      <w:pPr>
        <w:pStyle w:val="16"/>
        <w:pageBreakBefore w:val="0"/>
        <w:kinsoku/>
        <w:overflowPunct/>
        <w:topLinePunct w:val="0"/>
        <w:autoSpaceDE/>
        <w:autoSpaceDN/>
        <w:bidi w:val="0"/>
        <w:adjustRightInd w:val="0"/>
        <w:snapToGrid w:val="0"/>
        <w:spacing w:line="360" w:lineRule="auto"/>
        <w:ind w:firstLine="440"/>
        <w:rPr>
          <w:rFonts w:hint="eastAsia" w:ascii="仿宋" w:hAnsi="仿宋" w:eastAsia="仿宋" w:cs="仿宋"/>
          <w:sz w:val="24"/>
          <w:szCs w:val="24"/>
          <w:highlight w:val="none"/>
        </w:rPr>
      </w:pPr>
      <w:r>
        <w:rPr>
          <w:rFonts w:hint="eastAsia" w:ascii="仿宋" w:hAnsi="仿宋" w:eastAsia="仿宋" w:cs="仿宋"/>
          <w:sz w:val="24"/>
          <w:szCs w:val="24"/>
          <w:highlight w:val="none"/>
        </w:rPr>
        <w:t>供应商应严格执行合同等文件中的相关规定，使安全管理制度做到标准化与规范化，确保资料整理工作的工程安全、人员安全和文物安全。</w:t>
      </w:r>
    </w:p>
    <w:p w14:paraId="187273AF">
      <w:pPr>
        <w:pStyle w:val="5"/>
        <w:pageBreakBefore w:val="0"/>
        <w:numPr>
          <w:ilvl w:val="0"/>
          <w:numId w:val="0"/>
        </w:numPr>
        <w:kinsoku/>
        <w:overflowPunct/>
        <w:topLinePunct w:val="0"/>
        <w:autoSpaceDE/>
        <w:autoSpaceDN/>
        <w:bidi w:val="0"/>
        <w:adjustRightInd w:val="0"/>
        <w:snapToGrid w:val="0"/>
        <w:spacing w:before="0" w:after="0" w:line="360" w:lineRule="auto"/>
        <w:ind w:left="860" w:leftChars="0" w:hanging="440" w:firstLineChars="0"/>
        <w:jc w:val="left"/>
        <w:rPr>
          <w:rFonts w:hint="eastAsia" w:ascii="仿宋" w:hAnsi="仿宋" w:eastAsia="仿宋" w:cs="仿宋"/>
          <w:color w:val="000000"/>
          <w:sz w:val="24"/>
          <w:szCs w:val="24"/>
          <w:highlight w:val="none"/>
        </w:rPr>
      </w:pPr>
      <w:r>
        <w:rPr>
          <w:rFonts w:hint="eastAsia" w:ascii="仿宋" w:hAnsi="仿宋" w:eastAsia="仿宋" w:cs="仿宋"/>
          <w:b/>
          <w:bCs/>
          <w:color w:val="000000"/>
          <w:kern w:val="2"/>
          <w:sz w:val="24"/>
          <w:szCs w:val="24"/>
          <w:lang w:val="en-US" w:eastAsia="zh-CN" w:bidi="ar-SA"/>
        </w:rPr>
        <w:t>(六)</w:t>
      </w:r>
      <w:r>
        <w:rPr>
          <w:rFonts w:hint="eastAsia" w:ascii="仿宋" w:hAnsi="仿宋" w:eastAsia="仿宋" w:cs="仿宋"/>
          <w:sz w:val="24"/>
          <w:szCs w:val="24"/>
          <w:highlight w:val="none"/>
        </w:rPr>
        <w:t>响应要求</w:t>
      </w:r>
    </w:p>
    <w:p w14:paraId="4C055739">
      <w:pPr>
        <w:pStyle w:val="16"/>
        <w:pageBreakBefore w:val="0"/>
        <w:kinsoku/>
        <w:overflowPunct/>
        <w:topLinePunct w:val="0"/>
        <w:autoSpaceDE/>
        <w:autoSpaceDN/>
        <w:bidi w:val="0"/>
        <w:adjustRightInd w:val="0"/>
        <w:snapToGrid w:val="0"/>
        <w:spacing w:line="360" w:lineRule="auto"/>
        <w:ind w:firstLine="440"/>
        <w:rPr>
          <w:rFonts w:hint="eastAsia" w:ascii="仿宋" w:hAnsi="仿宋" w:eastAsia="仿宋" w:cs="仿宋"/>
          <w:sz w:val="24"/>
          <w:szCs w:val="24"/>
          <w:highlight w:val="none"/>
        </w:rPr>
      </w:pPr>
      <w:r>
        <w:rPr>
          <w:rFonts w:hint="eastAsia" w:ascii="仿宋" w:hAnsi="仿宋" w:eastAsia="仿宋" w:cs="仿宋"/>
          <w:sz w:val="24"/>
          <w:szCs w:val="24"/>
          <w:highlight w:val="none"/>
        </w:rPr>
        <w:t>供应商需设有固定服务电话，以便及时响应采购人的资料整理需求。</w:t>
      </w:r>
    </w:p>
    <w:p w14:paraId="66700A46">
      <w:pPr>
        <w:pStyle w:val="16"/>
        <w:pageBreakBefore w:val="0"/>
        <w:kinsoku/>
        <w:overflowPunct/>
        <w:topLinePunct w:val="0"/>
        <w:autoSpaceDE/>
        <w:autoSpaceDN/>
        <w:bidi w:val="0"/>
        <w:adjustRightInd w:val="0"/>
        <w:snapToGrid w:val="0"/>
        <w:spacing w:line="360" w:lineRule="auto"/>
        <w:ind w:firstLine="440"/>
        <w:rPr>
          <w:rFonts w:hint="eastAsia" w:ascii="仿宋" w:hAnsi="仿宋" w:eastAsia="仿宋" w:cs="仿宋"/>
          <w:sz w:val="24"/>
          <w:szCs w:val="24"/>
          <w:highlight w:val="none"/>
        </w:rPr>
      </w:pPr>
      <w:r>
        <w:rPr>
          <w:rFonts w:hint="eastAsia" w:ascii="仿宋" w:hAnsi="仿宋" w:eastAsia="仿宋" w:cs="仿宋"/>
          <w:sz w:val="24"/>
          <w:szCs w:val="24"/>
          <w:highlight w:val="none"/>
        </w:rPr>
        <w:t>供应商应在接到采购人通知起，2小时之内回复，在2个工作日内根据采购人所下达的资料整理任务及资料整理时间要求，自行配备组织相关人员进场。如因供应商服务响应滞后，采购人有权将资料整理任务指定其他供应商。</w:t>
      </w:r>
    </w:p>
    <w:p w14:paraId="0CC6C3D2">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2" w:firstLineChars="200"/>
        <w:jc w:val="left"/>
        <w:textAlignment w:val="auto"/>
        <w:rPr>
          <w:rFonts w:hint="eastAsia" w:ascii="仿宋" w:hAnsi="仿宋" w:eastAsia="仿宋" w:cs="仿宋"/>
          <w:b/>
          <w:bCs/>
          <w:color w:val="000000"/>
          <w:kern w:val="0"/>
          <w:sz w:val="24"/>
          <w:szCs w:val="24"/>
          <w:highlight w:val="none"/>
          <w:lang w:val="en-US" w:eastAsia="zh-CN" w:bidi="ar"/>
        </w:rPr>
      </w:pPr>
      <w:r>
        <w:rPr>
          <w:rFonts w:hint="eastAsia" w:ascii="仿宋" w:hAnsi="仿宋" w:eastAsia="仿宋" w:cs="仿宋"/>
          <w:b/>
          <w:bCs/>
          <w:color w:val="000000"/>
          <w:kern w:val="0"/>
          <w:sz w:val="24"/>
          <w:szCs w:val="24"/>
          <w:highlight w:val="none"/>
          <w:lang w:val="en-US" w:eastAsia="zh-CN" w:bidi="ar"/>
        </w:rPr>
        <w:t>三、服务时间、地点及验收方式</w:t>
      </w:r>
    </w:p>
    <w:p w14:paraId="1A7885F5">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 w:val="0"/>
          <w:bCs w:val="0"/>
          <w:color w:val="auto"/>
          <w:kern w:val="0"/>
          <w:sz w:val="24"/>
          <w:szCs w:val="24"/>
          <w:highlight w:val="none"/>
          <w:lang w:val="en-US" w:eastAsia="zh-CN" w:bidi="ar"/>
        </w:rPr>
      </w:pPr>
      <w:r>
        <w:rPr>
          <w:rFonts w:hint="eastAsia" w:ascii="仿宋" w:hAnsi="仿宋" w:eastAsia="仿宋" w:cs="仿宋"/>
          <w:b w:val="0"/>
          <w:bCs w:val="0"/>
          <w:color w:val="auto"/>
          <w:kern w:val="0"/>
          <w:sz w:val="24"/>
          <w:szCs w:val="24"/>
          <w:highlight w:val="none"/>
          <w:lang w:val="en-US" w:eastAsia="zh-CN" w:bidi="ar"/>
        </w:rPr>
        <w:t>1.服务时间：12个月（从入场之日开始计算），中标供应商完成本项目全部工作并通过西安市文物保护考古研究院组织的验收。</w:t>
      </w:r>
    </w:p>
    <w:p w14:paraId="71AA5F22">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 w:val="0"/>
          <w:bCs w:val="0"/>
          <w:color w:val="auto"/>
          <w:kern w:val="0"/>
          <w:sz w:val="24"/>
          <w:szCs w:val="24"/>
          <w:highlight w:val="none"/>
          <w:lang w:val="en-US" w:eastAsia="zh-CN" w:bidi="ar"/>
        </w:rPr>
      </w:pPr>
      <w:r>
        <w:rPr>
          <w:rFonts w:hint="eastAsia" w:ascii="仿宋" w:hAnsi="仿宋" w:eastAsia="仿宋" w:cs="仿宋"/>
          <w:b w:val="0"/>
          <w:bCs w:val="0"/>
          <w:color w:val="auto"/>
          <w:kern w:val="0"/>
          <w:sz w:val="24"/>
          <w:szCs w:val="24"/>
          <w:highlight w:val="none"/>
          <w:lang w:val="en-US" w:eastAsia="zh-CN" w:bidi="ar"/>
        </w:rPr>
        <w:t>2.服务地点：采购人指定地点。</w:t>
      </w:r>
    </w:p>
    <w:p w14:paraId="513F6FAB">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 w:val="0"/>
          <w:bCs w:val="0"/>
          <w:color w:val="auto"/>
          <w:kern w:val="0"/>
          <w:sz w:val="24"/>
          <w:szCs w:val="24"/>
          <w:highlight w:val="none"/>
          <w:lang w:val="en-US" w:eastAsia="zh-CN" w:bidi="ar"/>
        </w:rPr>
      </w:pPr>
      <w:r>
        <w:rPr>
          <w:rFonts w:hint="eastAsia" w:ascii="仿宋" w:hAnsi="仿宋" w:eastAsia="仿宋" w:cs="仿宋"/>
          <w:b w:val="0"/>
          <w:bCs w:val="0"/>
          <w:color w:val="auto"/>
          <w:kern w:val="0"/>
          <w:sz w:val="24"/>
          <w:szCs w:val="24"/>
          <w:highlight w:val="none"/>
          <w:lang w:val="en-US" w:eastAsia="zh-CN" w:bidi="ar"/>
        </w:rPr>
        <w:t>3.质量标准：符合《田野考古工作规程》以及采购人相关要求</w:t>
      </w:r>
    </w:p>
    <w:p w14:paraId="728EBF87">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b w:val="0"/>
          <w:bCs w:val="0"/>
          <w:color w:val="auto"/>
          <w:kern w:val="0"/>
          <w:sz w:val="24"/>
          <w:szCs w:val="24"/>
          <w:highlight w:val="none"/>
          <w:lang w:val="en-US" w:eastAsia="zh-CN" w:bidi="ar"/>
        </w:rPr>
      </w:pPr>
      <w:r>
        <w:rPr>
          <w:rFonts w:hint="eastAsia" w:ascii="仿宋" w:hAnsi="仿宋" w:eastAsia="仿宋" w:cs="仿宋"/>
          <w:b w:val="0"/>
          <w:bCs w:val="0"/>
          <w:color w:val="auto"/>
          <w:kern w:val="0"/>
          <w:sz w:val="24"/>
          <w:szCs w:val="24"/>
          <w:highlight w:val="none"/>
          <w:lang w:val="en-US" w:eastAsia="zh-CN" w:bidi="ar"/>
        </w:rPr>
        <w:t>4.验收标准：按照《中华人民共和国文物保护法》、《田野考古工作规程》及其他国家有关强制性和推荐性技术标准的要求进行验收。</w:t>
      </w:r>
    </w:p>
    <w:p w14:paraId="1641225F">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2" w:firstLineChars="200"/>
        <w:jc w:val="left"/>
        <w:textAlignment w:val="auto"/>
        <w:rPr>
          <w:rFonts w:hint="eastAsia" w:ascii="仿宋" w:hAnsi="仿宋" w:eastAsia="仿宋" w:cs="仿宋"/>
          <w:b/>
          <w:bCs/>
          <w:color w:val="000000"/>
          <w:kern w:val="0"/>
          <w:sz w:val="24"/>
          <w:szCs w:val="24"/>
          <w:highlight w:val="none"/>
          <w:lang w:val="en-US" w:eastAsia="zh-CN" w:bidi="ar"/>
        </w:rPr>
      </w:pPr>
      <w:r>
        <w:rPr>
          <w:rFonts w:hint="eastAsia" w:ascii="仿宋" w:hAnsi="仿宋" w:eastAsia="仿宋" w:cs="仿宋"/>
          <w:b/>
          <w:bCs/>
          <w:color w:val="000000"/>
          <w:kern w:val="0"/>
          <w:sz w:val="24"/>
          <w:szCs w:val="24"/>
          <w:highlight w:val="none"/>
          <w:lang w:val="en-US" w:eastAsia="zh-CN" w:bidi="ar"/>
        </w:rPr>
        <w:t>四、合同价款及付款方式</w:t>
      </w:r>
    </w:p>
    <w:p w14:paraId="5A630224">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2.1本合同价款人民币¥</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u w:val="none"/>
          <w:lang w:val="en-US" w:eastAsia="zh-CN" w:bidi="ar"/>
        </w:rPr>
        <w:t>元</w:t>
      </w:r>
      <w:r>
        <w:rPr>
          <w:rFonts w:hint="eastAsia" w:ascii="仿宋" w:hAnsi="仿宋" w:eastAsia="仿宋" w:cs="仿宋"/>
          <w:color w:val="000000"/>
          <w:kern w:val="0"/>
          <w:sz w:val="24"/>
          <w:szCs w:val="24"/>
          <w:highlight w:val="none"/>
          <w:lang w:val="en-US" w:eastAsia="zh-CN" w:bidi="ar"/>
        </w:rPr>
        <w:t xml:space="preserve"> ，大写：</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元整，该价款为含税价，包含制作费、人工费、税金等有关本项目的所有费用。</w:t>
      </w:r>
    </w:p>
    <w:p w14:paraId="11067066">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2.2乙方指定账户：</w:t>
      </w:r>
    </w:p>
    <w:p w14:paraId="37696576">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开户名称：</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 xml:space="preserve">                                 </w:t>
      </w:r>
    </w:p>
    <w:p w14:paraId="66A9BDBB">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开户银行：</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 xml:space="preserve">                                     </w:t>
      </w:r>
    </w:p>
    <w:p w14:paraId="1CA16C86">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开户账号：</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 xml:space="preserve">                                    </w:t>
      </w:r>
    </w:p>
    <w:p w14:paraId="241324B2">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2.3付款方式：</w:t>
      </w:r>
    </w:p>
    <w:p w14:paraId="21FFD076">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项目工作经费的拨付分两期。</w:t>
      </w:r>
    </w:p>
    <w:p w14:paraId="72C4F258">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1.合同签订生效后，采购人向供应商拨付第一期工作经费，为合同总价的80%。</w:t>
      </w:r>
    </w:p>
    <w:p w14:paraId="72B7A567">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2.供应商完成所有工作，通过采购人组织的结项验收且移交所有原始资料、文物以及全部成果资料后，采购人向供应商拨付第二期工作经费，为合同总价的20%。</w:t>
      </w:r>
    </w:p>
    <w:p w14:paraId="1719B7CF">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3.每次付款前，供应商须提前提供有效发票。</w:t>
      </w:r>
    </w:p>
    <w:p w14:paraId="3F01E93F">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4.支付方式：银行转账。</w:t>
      </w:r>
    </w:p>
    <w:p w14:paraId="7288107B">
      <w:pPr>
        <w:pStyle w:val="7"/>
        <w:pageBreakBefore w:val="0"/>
        <w:kinsoku/>
        <w:overflowPunct/>
        <w:topLinePunct w:val="0"/>
        <w:autoSpaceDE/>
        <w:autoSpaceDN/>
        <w:bidi w:val="0"/>
        <w:adjustRightInd w:val="0"/>
        <w:snapToGrid w:val="0"/>
        <w:spacing w:line="360" w:lineRule="auto"/>
        <w:ind w:left="0" w:leftChars="0" w:firstLine="482" w:firstLineChars="200"/>
        <w:rPr>
          <w:rFonts w:hint="eastAsia" w:ascii="仿宋" w:hAnsi="仿宋" w:eastAsia="仿宋" w:cs="仿宋"/>
          <w:b/>
          <w:bCs/>
          <w:color w:val="000000"/>
          <w:kern w:val="0"/>
          <w:sz w:val="24"/>
          <w:szCs w:val="24"/>
          <w:highlight w:val="none"/>
          <w:lang w:val="en-US" w:eastAsia="zh-CN" w:bidi="ar"/>
        </w:rPr>
      </w:pPr>
      <w:r>
        <w:rPr>
          <w:rFonts w:hint="eastAsia" w:ascii="仿宋" w:hAnsi="仿宋" w:eastAsia="仿宋" w:cs="仿宋"/>
          <w:b/>
          <w:bCs/>
          <w:color w:val="000000"/>
          <w:kern w:val="0"/>
          <w:sz w:val="24"/>
          <w:szCs w:val="24"/>
          <w:highlight w:val="none"/>
          <w:lang w:val="en-US" w:eastAsia="zh-CN" w:bidi="ar"/>
        </w:rPr>
        <w:t>四、版权归属</w:t>
      </w:r>
    </w:p>
    <w:p w14:paraId="0872117D">
      <w:pPr>
        <w:pStyle w:val="7"/>
        <w:pageBreakBefore w:val="0"/>
        <w:kinsoku/>
        <w:overflowPunct/>
        <w:topLinePunct w:val="0"/>
        <w:autoSpaceDE/>
        <w:autoSpaceDN/>
        <w:bidi w:val="0"/>
        <w:adjustRightInd w:val="0"/>
        <w:snapToGrid w:val="0"/>
        <w:spacing w:line="360" w:lineRule="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本项目最终版权归甲方所有。未经甲方书面同意，乙方不得擅自使用。</w:t>
      </w:r>
    </w:p>
    <w:p w14:paraId="3A0CC063">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2" w:firstLineChars="200"/>
        <w:jc w:val="left"/>
        <w:textAlignment w:val="auto"/>
        <w:rPr>
          <w:rFonts w:hint="eastAsia" w:ascii="仿宋" w:hAnsi="仿宋" w:eastAsia="仿宋" w:cs="仿宋"/>
          <w:sz w:val="24"/>
          <w:szCs w:val="24"/>
          <w:highlight w:val="none"/>
        </w:rPr>
      </w:pPr>
      <w:r>
        <w:rPr>
          <w:rFonts w:hint="eastAsia" w:ascii="仿宋" w:hAnsi="仿宋" w:eastAsia="仿宋" w:cs="仿宋"/>
          <w:b/>
          <w:bCs/>
          <w:color w:val="000000"/>
          <w:kern w:val="0"/>
          <w:sz w:val="24"/>
          <w:szCs w:val="24"/>
          <w:highlight w:val="none"/>
          <w:lang w:val="en-US" w:eastAsia="zh-CN" w:bidi="ar"/>
        </w:rPr>
        <w:t xml:space="preserve">五、双方的权利和义务 </w:t>
      </w:r>
    </w:p>
    <w:p w14:paraId="29D71141">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（一）甲方的权利和义务 </w:t>
      </w:r>
    </w:p>
    <w:p w14:paraId="13B1DE9D">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1.甲方有权对乙方提交内容的进行审查，并提出相应修改意见； </w:t>
      </w:r>
    </w:p>
    <w:p w14:paraId="616E233F">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2.甲方有权根据本合同所约定的内容及标准，在不影响乙方工作的前提下检查乙方提供的服务质量，如乙方提供的服务质量不符合本合同的约定，甲方有权要求乙方在指定时间内作出补充或修正； </w:t>
      </w:r>
    </w:p>
    <w:p w14:paraId="3F9CACF9">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3.甲方应依据本合同规定，按时足额向乙方支付合同价款；</w:t>
      </w:r>
    </w:p>
    <w:p w14:paraId="62A1D85D">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4.合同执行过程中，甲方如需变更项目计划，应提前以书面形式告知乙方； </w:t>
      </w:r>
    </w:p>
    <w:p w14:paraId="72FCF59E">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5.甲方应积极配合、协助乙方完成本合同约定事项。 </w:t>
      </w:r>
    </w:p>
    <w:p w14:paraId="2C71169A">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（二）乙方的权利和义务 </w:t>
      </w:r>
    </w:p>
    <w:p w14:paraId="52A44F15">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1.乙方必须按合同约定的服务内容及标准向甲方提供相应服务； </w:t>
      </w:r>
    </w:p>
    <w:p w14:paraId="6D532D00">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2.乙方对本合同委托范围内的技术服务的完整性以及内容负责；</w:t>
      </w:r>
    </w:p>
    <w:p w14:paraId="7E6D038E">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3.乙方应按照保密要求做好保密工作；</w:t>
      </w:r>
    </w:p>
    <w:p w14:paraId="35A63A26">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4.依据国家有关法律法规的规定进行相应技术工作； </w:t>
      </w:r>
    </w:p>
    <w:p w14:paraId="47D7B471">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4.乙方有权要求甲方按时足额支付合同费用； </w:t>
      </w:r>
    </w:p>
    <w:p w14:paraId="3E12F2A0">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5.乙方应确保本次项目安全、顺利完成； </w:t>
      </w:r>
    </w:p>
    <w:p w14:paraId="5BA8258B">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6.如因不可抗力，如恶劣气候或灾害、国家行为等导致服务内容不能如期完成的，乙方应及时通知甲方，由双方另行协商处理。 </w:t>
      </w:r>
    </w:p>
    <w:p w14:paraId="195DA6C6">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2" w:firstLineChars="200"/>
        <w:jc w:val="left"/>
        <w:textAlignment w:val="auto"/>
        <w:rPr>
          <w:rFonts w:hint="eastAsia" w:ascii="仿宋" w:hAnsi="仿宋" w:eastAsia="仿宋" w:cs="仿宋"/>
          <w:sz w:val="24"/>
          <w:szCs w:val="24"/>
          <w:highlight w:val="none"/>
        </w:rPr>
      </w:pPr>
      <w:r>
        <w:rPr>
          <w:rFonts w:hint="eastAsia" w:ascii="仿宋" w:hAnsi="仿宋" w:eastAsia="仿宋" w:cs="仿宋"/>
          <w:b/>
          <w:bCs/>
          <w:color w:val="000000"/>
          <w:kern w:val="0"/>
          <w:sz w:val="24"/>
          <w:szCs w:val="24"/>
          <w:highlight w:val="none"/>
          <w:lang w:val="en-US" w:eastAsia="zh-CN" w:bidi="ar"/>
        </w:rPr>
        <w:t xml:space="preserve">六、质量保证 </w:t>
      </w:r>
    </w:p>
    <w:p w14:paraId="487F6899">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乙方所供服务必须执行下列条款： </w:t>
      </w:r>
    </w:p>
    <w:p w14:paraId="50D3B18B">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（一）服务方案和方式科学、可行，人员配置合理，全面满足要求。 </w:t>
      </w:r>
    </w:p>
    <w:p w14:paraId="3EB286A3">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（二）符合国家有关服务规范要求，确保各项服务达到最佳效果。 </w:t>
      </w:r>
    </w:p>
    <w:p w14:paraId="25BEECC5">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（三）乙方提供的服务，若发生侵权而产生的一切后果，由乙方负责。甲方保留索赔权利。 </w:t>
      </w:r>
    </w:p>
    <w:p w14:paraId="7DAB5359">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2" w:firstLineChars="200"/>
        <w:jc w:val="left"/>
        <w:textAlignment w:val="auto"/>
        <w:rPr>
          <w:rFonts w:hint="eastAsia" w:ascii="仿宋" w:hAnsi="仿宋" w:eastAsia="仿宋" w:cs="仿宋"/>
          <w:sz w:val="24"/>
          <w:szCs w:val="24"/>
          <w:highlight w:val="none"/>
        </w:rPr>
      </w:pPr>
      <w:r>
        <w:rPr>
          <w:rFonts w:hint="eastAsia" w:ascii="仿宋" w:hAnsi="仿宋" w:eastAsia="仿宋" w:cs="仿宋"/>
          <w:b/>
          <w:bCs/>
          <w:color w:val="000000"/>
          <w:kern w:val="0"/>
          <w:sz w:val="24"/>
          <w:szCs w:val="24"/>
          <w:highlight w:val="none"/>
          <w:lang w:val="en-US" w:eastAsia="zh-CN" w:bidi="ar"/>
        </w:rPr>
        <w:t xml:space="preserve">七、验收 </w:t>
      </w:r>
    </w:p>
    <w:p w14:paraId="415C6EBE">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（一）项目最终验收达不到磋商文件要求和响应文件承诺及国家或行业标准，或在使用中发现采购人不能容忍的缺陷等，将视为验收不合格，供应商应在人要求的时间内无条件完善或赔付甲方损失。</w:t>
      </w:r>
    </w:p>
    <w:p w14:paraId="4F148551">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（二）若发现供应商有弄虚作假的及在项目实施阶段故意或随意夸大服务，本合同解除，供应商赔偿采购人相应的损失。</w:t>
      </w:r>
    </w:p>
    <w:p w14:paraId="445BD712">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（三）验收标准：按照磋商文件、响应文件等技术指标进行逐项验收。各项指标均应符合验收标准及要求。</w:t>
      </w:r>
    </w:p>
    <w:p w14:paraId="6C84A34E">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（四）验收合格后，填写验收单，双方签字生效。</w:t>
      </w:r>
    </w:p>
    <w:p w14:paraId="7853F508">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（五）验收依据：</w:t>
      </w:r>
    </w:p>
    <w:p w14:paraId="1F3154CE">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1.合同文本；</w:t>
      </w:r>
    </w:p>
    <w:p w14:paraId="7772E15B">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2.响应文件及磋商文件；</w:t>
      </w:r>
    </w:p>
    <w:p w14:paraId="08924673">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3.国家和行业制定的相应标准和规范。</w:t>
      </w:r>
    </w:p>
    <w:p w14:paraId="541EB054">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2" w:firstLineChars="200"/>
        <w:jc w:val="left"/>
        <w:textAlignment w:val="auto"/>
        <w:rPr>
          <w:rFonts w:hint="eastAsia" w:ascii="仿宋" w:hAnsi="仿宋" w:eastAsia="仿宋" w:cs="仿宋"/>
          <w:sz w:val="24"/>
          <w:szCs w:val="24"/>
          <w:highlight w:val="none"/>
          <w:lang w:val="en-US"/>
        </w:rPr>
      </w:pPr>
      <w:r>
        <w:rPr>
          <w:rFonts w:hint="eastAsia" w:ascii="仿宋" w:hAnsi="仿宋" w:eastAsia="仿宋" w:cs="仿宋"/>
          <w:b/>
          <w:bCs/>
          <w:color w:val="000000"/>
          <w:kern w:val="0"/>
          <w:sz w:val="24"/>
          <w:szCs w:val="24"/>
          <w:highlight w:val="none"/>
          <w:lang w:val="en-US" w:eastAsia="zh-CN" w:bidi="ar"/>
        </w:rPr>
        <w:t xml:space="preserve">八、违约责任 </w:t>
      </w:r>
    </w:p>
    <w:p w14:paraId="401E214B">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（一）按《中华人民共和国民法典》中的相关条款执行。 </w:t>
      </w:r>
    </w:p>
    <w:p w14:paraId="1DD229BB">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二）未按合同要求提供服务或服务质量不能满足合同要求，甲方应当将乙方违约的情况以及拟采取的措施以书面形式报政府采购监管部门，根据政府采购监管部门的处理意见，甲方有权依据《中华人民共和国民法典》有关条款及合同约定终止合同，并要求乙方承担违约责任。</w:t>
      </w:r>
    </w:p>
    <w:p w14:paraId="50BF006F">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同时，政府采购监管部门有权依据《政府采购法》及相关法律法规对乙方的违法行为进行相应的处罚。 </w:t>
      </w:r>
    </w:p>
    <w:p w14:paraId="14BB9133">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（三）在本合同履行过程中，双方因违约或造成对方经济、社会效益等损失的应当赔偿。  </w:t>
      </w:r>
    </w:p>
    <w:p w14:paraId="49A6CF2F">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（四）乙方提供的服务未达到采购需求，按照总价款</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 xml:space="preserve">%赔偿违约金，并按照合同的内容赔偿甲方损失。 </w:t>
      </w:r>
    </w:p>
    <w:p w14:paraId="03A6B7D4">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（五）未经甲方同意，乙方不得擅自将本合同服务转包第三方承担。 </w:t>
      </w:r>
    </w:p>
    <w:p w14:paraId="34B774E9">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2" w:firstLineChars="200"/>
        <w:jc w:val="left"/>
        <w:textAlignment w:val="auto"/>
        <w:rPr>
          <w:rFonts w:hint="eastAsia" w:ascii="仿宋" w:hAnsi="仿宋" w:eastAsia="仿宋" w:cs="仿宋"/>
          <w:sz w:val="24"/>
          <w:szCs w:val="24"/>
          <w:highlight w:val="none"/>
        </w:rPr>
      </w:pPr>
      <w:r>
        <w:rPr>
          <w:rFonts w:hint="eastAsia" w:ascii="仿宋" w:hAnsi="仿宋" w:eastAsia="仿宋" w:cs="仿宋"/>
          <w:b/>
          <w:bCs/>
          <w:color w:val="000000"/>
          <w:kern w:val="0"/>
          <w:sz w:val="24"/>
          <w:szCs w:val="24"/>
          <w:highlight w:val="none"/>
          <w:lang w:val="en-US" w:eastAsia="zh-CN" w:bidi="ar"/>
        </w:rPr>
        <w:t xml:space="preserve">九、保密条款 </w:t>
      </w:r>
    </w:p>
    <w:p w14:paraId="3A8FD6F1">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 </w:t>
      </w:r>
    </w:p>
    <w:p w14:paraId="78A55C51">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二）甲方有义务保护乙方的知识产权，未经乙方同意，不得将乙方交付的具有知识产权性质的成果文件、资料向第三方转让或用于本合同以外的项目。如发生以上情况，乙方有权索赔，但甲方依据相关法定职责对外公开的除外。 </w:t>
      </w:r>
    </w:p>
    <w:p w14:paraId="0E22B172">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（三）本条款为独立条款，本合同的无效、变更、解除和终止均不影响本条款的效力。 </w:t>
      </w:r>
    </w:p>
    <w:p w14:paraId="682C5C2B">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2" w:firstLineChars="200"/>
        <w:jc w:val="left"/>
        <w:textAlignment w:val="auto"/>
        <w:rPr>
          <w:rFonts w:hint="eastAsia" w:ascii="仿宋" w:hAnsi="仿宋" w:eastAsia="仿宋" w:cs="仿宋"/>
          <w:sz w:val="24"/>
          <w:szCs w:val="24"/>
          <w:highlight w:val="none"/>
        </w:rPr>
      </w:pPr>
      <w:r>
        <w:rPr>
          <w:rFonts w:hint="eastAsia" w:ascii="仿宋" w:hAnsi="仿宋" w:eastAsia="仿宋" w:cs="仿宋"/>
          <w:b/>
          <w:bCs/>
          <w:color w:val="000000"/>
          <w:kern w:val="0"/>
          <w:sz w:val="24"/>
          <w:szCs w:val="24"/>
          <w:highlight w:val="none"/>
          <w:lang w:val="en-US" w:eastAsia="zh-CN" w:bidi="ar"/>
        </w:rPr>
        <w:t xml:space="preserve">十、知识产权 </w:t>
      </w:r>
    </w:p>
    <w:p w14:paraId="0F18DB63">
      <w:pPr>
        <w:pStyle w:val="16"/>
        <w:pageBreakBefore w:val="0"/>
        <w:kinsoku/>
        <w:overflowPunct/>
        <w:topLinePunct w:val="0"/>
        <w:autoSpaceDE/>
        <w:autoSpaceDN/>
        <w:bidi w:val="0"/>
        <w:adjustRightInd w:val="0"/>
        <w:snapToGrid w:val="0"/>
        <w:spacing w:line="360" w:lineRule="auto"/>
        <w:ind w:firstLine="440"/>
        <w:rPr>
          <w:rFonts w:hint="eastAsia" w:ascii="仿宋" w:hAnsi="仿宋" w:eastAsia="仿宋" w:cs="仿宋"/>
          <w:sz w:val="24"/>
          <w:szCs w:val="24"/>
        </w:rPr>
      </w:pPr>
      <w:r>
        <w:rPr>
          <w:rFonts w:hint="eastAsia" w:ascii="仿宋" w:hAnsi="仿宋" w:eastAsia="仿宋" w:cs="仿宋"/>
          <w:sz w:val="24"/>
          <w:szCs w:val="24"/>
        </w:rPr>
        <w:t>1.采购人在中华人民共和国境内使用成交供应商提供的服务时免受第三方提出的侵犯其专利权或其它知识产权的起诉。如果第三方提出侵权指控，成交供应商应承担由此而引起的一切法律责任和费用。</w:t>
      </w:r>
    </w:p>
    <w:p w14:paraId="3E9463EB">
      <w:pPr>
        <w:pStyle w:val="16"/>
        <w:pageBreakBefore w:val="0"/>
        <w:kinsoku/>
        <w:overflowPunct/>
        <w:topLinePunct w:val="0"/>
        <w:autoSpaceDE/>
        <w:autoSpaceDN/>
        <w:bidi w:val="0"/>
        <w:adjustRightInd w:val="0"/>
        <w:snapToGrid w:val="0"/>
        <w:spacing w:line="360" w:lineRule="auto"/>
        <w:ind w:firstLine="440"/>
        <w:rPr>
          <w:rFonts w:hint="eastAsia" w:ascii="仿宋" w:hAnsi="仿宋" w:eastAsia="仿宋" w:cs="仿宋"/>
          <w:sz w:val="24"/>
          <w:szCs w:val="24"/>
        </w:rPr>
      </w:pPr>
      <w:r>
        <w:rPr>
          <w:rFonts w:hint="eastAsia" w:ascii="仿宋" w:hAnsi="仿宋" w:eastAsia="仿宋" w:cs="仿宋"/>
          <w:sz w:val="24"/>
          <w:szCs w:val="24"/>
        </w:rPr>
        <w:t>注：（若涉及软件开发等服务类项目知识产权的，知识产权归采购人所有）。</w:t>
      </w:r>
    </w:p>
    <w:p w14:paraId="7B745C47">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2" w:firstLineChars="200"/>
        <w:jc w:val="left"/>
        <w:textAlignment w:val="auto"/>
        <w:rPr>
          <w:rFonts w:hint="eastAsia" w:ascii="仿宋" w:hAnsi="仿宋" w:eastAsia="仿宋" w:cs="仿宋"/>
          <w:sz w:val="24"/>
          <w:szCs w:val="24"/>
          <w:highlight w:val="none"/>
        </w:rPr>
      </w:pPr>
      <w:r>
        <w:rPr>
          <w:rFonts w:hint="eastAsia" w:ascii="仿宋" w:hAnsi="仿宋" w:eastAsia="仿宋" w:cs="仿宋"/>
          <w:b/>
          <w:bCs/>
          <w:color w:val="000000"/>
          <w:kern w:val="0"/>
          <w:sz w:val="24"/>
          <w:szCs w:val="24"/>
          <w:highlight w:val="none"/>
          <w:lang w:val="en-US" w:eastAsia="zh-CN" w:bidi="ar"/>
        </w:rPr>
        <w:t xml:space="preserve">十一、不可抗力因素 </w:t>
      </w:r>
    </w:p>
    <w:p w14:paraId="65724A43">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出现下列情况导致本合同不能履行的，乙方可豁免违约责任：由于不可抗力（包括疫情、地震、台风、洪水、火灾、战争、罢工、政府禁令以及双方均不可预见、不能控制的事情或情况）导致本协议不能履行的；甲方过错导致自身及他方损失的。 </w:t>
      </w:r>
    </w:p>
    <w:p w14:paraId="704C15FC">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2" w:firstLineChars="200"/>
        <w:jc w:val="left"/>
        <w:textAlignment w:val="auto"/>
        <w:rPr>
          <w:rFonts w:hint="eastAsia" w:ascii="仿宋" w:hAnsi="仿宋" w:eastAsia="仿宋" w:cs="仿宋"/>
          <w:sz w:val="24"/>
          <w:szCs w:val="24"/>
          <w:highlight w:val="none"/>
        </w:rPr>
      </w:pPr>
      <w:r>
        <w:rPr>
          <w:rFonts w:hint="eastAsia" w:ascii="仿宋" w:hAnsi="仿宋" w:eastAsia="仿宋" w:cs="仿宋"/>
          <w:b/>
          <w:bCs/>
          <w:color w:val="000000"/>
          <w:kern w:val="0"/>
          <w:sz w:val="24"/>
          <w:szCs w:val="24"/>
          <w:highlight w:val="none"/>
          <w:lang w:val="en-US" w:eastAsia="zh-CN" w:bidi="ar"/>
        </w:rPr>
        <w:t xml:space="preserve">十二、争议解决 </w:t>
      </w:r>
    </w:p>
    <w:p w14:paraId="7839F663">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（一）本合同在履行过程中发生的争议，由甲、乙双方当事人协商解决，协商不成的按下列第 1 种方式解决： </w:t>
      </w:r>
    </w:p>
    <w:p w14:paraId="64A6F13A">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1、提交西安仲裁委员会仲裁； </w:t>
      </w:r>
    </w:p>
    <w:p w14:paraId="7CB98E11">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2、依法向甲方所在地人民法院起诉。 </w:t>
      </w:r>
    </w:p>
    <w:p w14:paraId="636D5160">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（二）本条款为独立条款，本合同的无效、变更、解除和终止均不影响本条款的效力。 </w:t>
      </w:r>
    </w:p>
    <w:p w14:paraId="36C4F482">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2" w:firstLineChars="200"/>
        <w:jc w:val="left"/>
        <w:textAlignment w:val="auto"/>
        <w:rPr>
          <w:rFonts w:hint="eastAsia" w:ascii="仿宋" w:hAnsi="仿宋" w:eastAsia="仿宋" w:cs="仿宋"/>
          <w:sz w:val="24"/>
          <w:szCs w:val="24"/>
          <w:highlight w:val="none"/>
        </w:rPr>
      </w:pPr>
      <w:r>
        <w:rPr>
          <w:rFonts w:hint="eastAsia" w:ascii="仿宋" w:hAnsi="仿宋" w:eastAsia="仿宋" w:cs="仿宋"/>
          <w:b/>
          <w:bCs/>
          <w:color w:val="000000"/>
          <w:kern w:val="0"/>
          <w:sz w:val="24"/>
          <w:szCs w:val="24"/>
          <w:highlight w:val="none"/>
          <w:lang w:val="en-US" w:eastAsia="zh-CN" w:bidi="ar"/>
        </w:rPr>
        <w:t xml:space="preserve">十三、合同变更 </w:t>
      </w:r>
    </w:p>
    <w:p w14:paraId="3F95C839">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在合同的执行期内，双方均不得随意变更或解除合同。如因项目需求情况发生变化，需要项目变更的，应双方协商后签订项目变更协议，双方签字盖章确认后生效（如双方变更事项不能达成一致的，仍按原合同履行，否则视为违约）。</w:t>
      </w:r>
    </w:p>
    <w:p w14:paraId="3181E1B2">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2" w:firstLineChars="200"/>
        <w:jc w:val="left"/>
        <w:textAlignment w:val="auto"/>
        <w:rPr>
          <w:rFonts w:hint="eastAsia" w:ascii="仿宋" w:hAnsi="仿宋" w:eastAsia="仿宋" w:cs="仿宋"/>
          <w:sz w:val="24"/>
          <w:szCs w:val="24"/>
          <w:highlight w:val="none"/>
        </w:rPr>
      </w:pPr>
      <w:r>
        <w:rPr>
          <w:rFonts w:hint="eastAsia" w:ascii="仿宋" w:hAnsi="仿宋" w:eastAsia="仿宋" w:cs="仿宋"/>
          <w:b/>
          <w:bCs/>
          <w:color w:val="000000"/>
          <w:kern w:val="0"/>
          <w:sz w:val="24"/>
          <w:szCs w:val="24"/>
          <w:highlight w:val="none"/>
          <w:lang w:val="en-US" w:eastAsia="zh-CN" w:bidi="ar"/>
        </w:rPr>
        <w:t xml:space="preserve">十四、合同生效 </w:t>
      </w:r>
    </w:p>
    <w:p w14:paraId="080FAA1B">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本合同一式 </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 xml:space="preserve">份，甲方持 </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份，乙方持</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 xml:space="preserve">份，本合同甲、乙双方签字盖章后生效，合同执行完毕后，自动失效（合同的服务承诺则长期有效）。 </w:t>
      </w:r>
    </w:p>
    <w:p w14:paraId="087672FA">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2" w:firstLineChars="200"/>
        <w:jc w:val="left"/>
        <w:textAlignment w:val="auto"/>
        <w:rPr>
          <w:rFonts w:hint="eastAsia" w:ascii="仿宋" w:hAnsi="仿宋" w:eastAsia="仿宋" w:cs="仿宋"/>
          <w:sz w:val="24"/>
          <w:szCs w:val="24"/>
          <w:highlight w:val="none"/>
        </w:rPr>
      </w:pPr>
      <w:r>
        <w:rPr>
          <w:rFonts w:hint="eastAsia" w:ascii="仿宋" w:hAnsi="仿宋" w:eastAsia="仿宋" w:cs="仿宋"/>
          <w:b/>
          <w:bCs/>
          <w:color w:val="000000"/>
          <w:kern w:val="0"/>
          <w:sz w:val="24"/>
          <w:szCs w:val="24"/>
          <w:highlight w:val="none"/>
          <w:lang w:val="en-US" w:eastAsia="zh-CN" w:bidi="ar"/>
        </w:rPr>
        <w:t xml:space="preserve">十五、其他事项 </w:t>
      </w:r>
    </w:p>
    <w:p w14:paraId="11B09CBC">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（一）西安市财政局政府采购管理处在合同的履行期间以及履行期后，可以随时检查项目的执行情况，对采购标准、采购内容进行调查核实，并对发现的问题进行处理。 </w:t>
      </w:r>
    </w:p>
    <w:p w14:paraId="055D2A55">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 xml:space="preserve">（二）采购文件、响应文件、澄清表（函）、成交通知书、合同附件均成为合同不可分割的部分。 </w:t>
      </w:r>
    </w:p>
    <w:p w14:paraId="08D7BED9">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（三）合同未尽事宜，由甲、乙双方协商确认后签订政府采购补充合同，与原合同具有同等法律效力。</w:t>
      </w:r>
    </w:p>
    <w:p w14:paraId="243D1978">
      <w:pPr>
        <w:pStyle w:val="7"/>
        <w:pageBreakBefore w:val="0"/>
        <w:kinsoku/>
        <w:overflowPunct/>
        <w:topLinePunct w:val="0"/>
        <w:autoSpaceDE/>
        <w:autoSpaceDN/>
        <w:bidi w:val="0"/>
        <w:adjustRightInd w:val="0"/>
        <w:snapToGrid w:val="0"/>
        <w:spacing w:line="360" w:lineRule="auto"/>
        <w:rPr>
          <w:rFonts w:hint="eastAsia" w:ascii="仿宋" w:hAnsi="仿宋" w:eastAsia="仿宋" w:cs="仿宋"/>
          <w:color w:val="000000"/>
          <w:kern w:val="0"/>
          <w:sz w:val="24"/>
          <w:szCs w:val="24"/>
          <w:highlight w:val="none"/>
          <w:lang w:val="en-US" w:eastAsia="zh-CN" w:bidi="ar"/>
        </w:rPr>
      </w:pPr>
    </w:p>
    <w:p w14:paraId="110BA2A3">
      <w:pPr>
        <w:pStyle w:val="7"/>
        <w:pageBreakBefore w:val="0"/>
        <w:kinsoku/>
        <w:overflowPunct/>
        <w:topLinePunct w:val="0"/>
        <w:autoSpaceDE/>
        <w:autoSpaceDN/>
        <w:bidi w:val="0"/>
        <w:adjustRightInd w:val="0"/>
        <w:snapToGrid w:val="0"/>
        <w:spacing w:line="360" w:lineRule="auto"/>
        <w:rPr>
          <w:rFonts w:hint="eastAsia" w:ascii="仿宋" w:hAnsi="仿宋" w:eastAsia="仿宋" w:cs="仿宋"/>
          <w:sz w:val="24"/>
          <w:szCs w:val="24"/>
          <w:highlight w:val="none"/>
          <w:lang w:val="en-US" w:eastAsia="zh-CN"/>
        </w:rPr>
      </w:pPr>
    </w:p>
    <w:tbl>
      <w:tblPr>
        <w:tblStyle w:val="18"/>
        <w:tblW w:w="8099" w:type="dxa"/>
        <w:jc w:val="center"/>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4048"/>
        <w:gridCol w:w="4051"/>
      </w:tblGrid>
      <w:tr w14:paraId="11B9BA3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996" w:hRule="atLeast"/>
          <w:jc w:val="center"/>
        </w:trPr>
        <w:tc>
          <w:tcPr>
            <w:tcW w:w="4048" w:type="dxa"/>
            <w:noWrap w:val="0"/>
            <w:vAlign w:val="top"/>
          </w:tcPr>
          <w:p w14:paraId="2BB353ED">
            <w:pPr>
              <w:pStyle w:val="17"/>
              <w:keepNext w:val="0"/>
              <w:keepLines w:val="0"/>
              <w:pageBreakBefore w:val="0"/>
              <w:kinsoku/>
              <w:wordWrap/>
              <w:overflowPunct/>
              <w:topLinePunct w:val="0"/>
              <w:autoSpaceDE/>
              <w:autoSpaceDN/>
              <w:bidi w:val="0"/>
              <w:adjustRightInd w:val="0"/>
              <w:snapToGrid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pacing w:val="-22"/>
                <w:sz w:val="24"/>
                <w:szCs w:val="24"/>
                <w:highlight w:val="none"/>
              </w:rPr>
              <w:t>甲方名称（盖章）</w:t>
            </w:r>
            <w:r>
              <w:rPr>
                <w:rFonts w:hint="eastAsia" w:ascii="仿宋" w:hAnsi="仿宋" w:eastAsia="仿宋" w:cs="仿宋"/>
                <w:spacing w:val="-22"/>
                <w:sz w:val="24"/>
                <w:szCs w:val="24"/>
                <w:highlight w:val="none"/>
                <w:lang w:eastAsia="zh-CN"/>
              </w:rPr>
              <w:t>：</w:t>
            </w:r>
          </w:p>
        </w:tc>
        <w:tc>
          <w:tcPr>
            <w:tcW w:w="4051" w:type="dxa"/>
            <w:noWrap w:val="0"/>
            <w:vAlign w:val="top"/>
          </w:tcPr>
          <w:p w14:paraId="2D8803E0">
            <w:pPr>
              <w:pStyle w:val="17"/>
              <w:keepNext w:val="0"/>
              <w:keepLines w:val="0"/>
              <w:pageBreakBefore w:val="0"/>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spacing w:val="-23"/>
                <w:sz w:val="24"/>
                <w:szCs w:val="24"/>
                <w:highlight w:val="none"/>
                <w:lang w:eastAsia="zh-CN"/>
              </w:rPr>
            </w:pPr>
            <w:r>
              <w:rPr>
                <w:rFonts w:hint="eastAsia" w:ascii="仿宋" w:hAnsi="仿宋" w:eastAsia="仿宋" w:cs="仿宋"/>
                <w:spacing w:val="-23"/>
                <w:sz w:val="24"/>
                <w:szCs w:val="24"/>
                <w:highlight w:val="none"/>
              </w:rPr>
              <w:t>乙方名称（盖章）</w:t>
            </w:r>
            <w:r>
              <w:rPr>
                <w:rFonts w:hint="eastAsia" w:ascii="仿宋" w:hAnsi="仿宋" w:eastAsia="仿宋" w:cs="仿宋"/>
                <w:spacing w:val="-23"/>
                <w:sz w:val="24"/>
                <w:szCs w:val="24"/>
                <w:highlight w:val="none"/>
                <w:lang w:eastAsia="zh-CN"/>
              </w:rPr>
              <w:t>：</w:t>
            </w:r>
          </w:p>
          <w:p w14:paraId="1016ACC9">
            <w:pPr>
              <w:pStyle w:val="17"/>
              <w:keepNext w:val="0"/>
              <w:keepLines w:val="0"/>
              <w:pageBreakBefore w:val="0"/>
              <w:kinsoku/>
              <w:wordWrap/>
              <w:overflowPunct/>
              <w:topLinePunct w:val="0"/>
              <w:autoSpaceDE/>
              <w:autoSpaceDN/>
              <w:bidi w:val="0"/>
              <w:adjustRightInd w:val="0"/>
              <w:snapToGrid w:val="0"/>
              <w:spacing w:line="360" w:lineRule="auto"/>
              <w:ind w:firstLine="388" w:firstLineChars="200"/>
              <w:jc w:val="both"/>
              <w:textAlignment w:val="auto"/>
              <w:rPr>
                <w:rFonts w:hint="eastAsia" w:ascii="仿宋" w:hAnsi="仿宋" w:eastAsia="仿宋" w:cs="仿宋"/>
                <w:spacing w:val="-23"/>
                <w:sz w:val="24"/>
                <w:szCs w:val="24"/>
                <w:highlight w:val="none"/>
                <w:lang w:val="en-US" w:eastAsia="zh-CN"/>
              </w:rPr>
            </w:pPr>
          </w:p>
        </w:tc>
      </w:tr>
      <w:tr w14:paraId="178BC9E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1142" w:hRule="atLeast"/>
          <w:jc w:val="center"/>
        </w:trPr>
        <w:tc>
          <w:tcPr>
            <w:tcW w:w="4048" w:type="dxa"/>
            <w:noWrap w:val="0"/>
            <w:vAlign w:val="top"/>
          </w:tcPr>
          <w:p w14:paraId="418BF8FC">
            <w:pPr>
              <w:pStyle w:val="17"/>
              <w:keepNext w:val="0"/>
              <w:keepLines w:val="0"/>
              <w:pageBreakBefore w:val="0"/>
              <w:kinsoku/>
              <w:wordWrap/>
              <w:overflowPunct/>
              <w:topLinePunct w:val="0"/>
              <w:autoSpaceDE/>
              <w:autoSpaceDN/>
              <w:bidi w:val="0"/>
              <w:adjustRightInd w:val="0"/>
              <w:snapToGrid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lang w:val="en-US" w:eastAsia="zh-CN"/>
              </w:rPr>
              <w:t>法定</w:t>
            </w:r>
            <w:r>
              <w:rPr>
                <w:rFonts w:hint="eastAsia" w:ascii="仿宋" w:hAnsi="仿宋" w:eastAsia="仿宋" w:cs="仿宋"/>
                <w:spacing w:val="-2"/>
                <w:sz w:val="24"/>
                <w:szCs w:val="24"/>
                <w:highlight w:val="none"/>
              </w:rPr>
              <w:t>代表人</w:t>
            </w:r>
            <w:r>
              <w:rPr>
                <w:rFonts w:hint="eastAsia" w:ascii="仿宋" w:hAnsi="仿宋" w:eastAsia="仿宋" w:cs="仿宋"/>
                <w:spacing w:val="-2"/>
                <w:sz w:val="24"/>
                <w:szCs w:val="24"/>
                <w:highlight w:val="none"/>
                <w:lang w:val="en-US" w:eastAsia="zh-CN"/>
              </w:rPr>
              <w:t>或授权代表</w:t>
            </w:r>
            <w:r>
              <w:rPr>
                <w:rFonts w:hint="eastAsia" w:ascii="仿宋" w:hAnsi="仿宋" w:eastAsia="仿宋" w:cs="仿宋"/>
                <w:spacing w:val="-2"/>
                <w:sz w:val="24"/>
                <w:szCs w:val="24"/>
                <w:highlight w:val="none"/>
              </w:rPr>
              <w:t>（签字</w:t>
            </w:r>
            <w:r>
              <w:rPr>
                <w:rFonts w:hint="eastAsia" w:ascii="仿宋" w:hAnsi="仿宋" w:eastAsia="仿宋" w:cs="仿宋"/>
                <w:spacing w:val="-2"/>
                <w:sz w:val="24"/>
                <w:szCs w:val="24"/>
                <w:highlight w:val="none"/>
                <w:lang w:val="en-US" w:eastAsia="zh-CN"/>
              </w:rPr>
              <w:t>或盖章</w:t>
            </w:r>
            <w:r>
              <w:rPr>
                <w:rFonts w:hint="eastAsia" w:ascii="仿宋" w:hAnsi="仿宋" w:eastAsia="仿宋" w:cs="仿宋"/>
                <w:spacing w:val="-33"/>
                <w:sz w:val="24"/>
                <w:szCs w:val="24"/>
                <w:highlight w:val="none"/>
              </w:rPr>
              <w:t>）：</w:t>
            </w:r>
          </w:p>
        </w:tc>
        <w:tc>
          <w:tcPr>
            <w:tcW w:w="4051" w:type="dxa"/>
            <w:noWrap w:val="0"/>
            <w:vAlign w:val="top"/>
          </w:tcPr>
          <w:p w14:paraId="416A0FFE">
            <w:pPr>
              <w:pStyle w:val="17"/>
              <w:keepNext w:val="0"/>
              <w:keepLines w:val="0"/>
              <w:pageBreakBefore w:val="0"/>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sz w:val="24"/>
                <w:szCs w:val="24"/>
                <w:highlight w:val="none"/>
              </w:rPr>
            </w:pPr>
            <w:r>
              <w:rPr>
                <w:rFonts w:hint="eastAsia" w:ascii="仿宋" w:hAnsi="仿宋" w:eastAsia="仿宋" w:cs="仿宋"/>
                <w:spacing w:val="-2"/>
                <w:sz w:val="24"/>
                <w:szCs w:val="24"/>
                <w:highlight w:val="none"/>
                <w:lang w:val="en-US" w:eastAsia="zh-CN"/>
              </w:rPr>
              <w:t>法定</w:t>
            </w:r>
            <w:r>
              <w:rPr>
                <w:rFonts w:hint="eastAsia" w:ascii="仿宋" w:hAnsi="仿宋" w:eastAsia="仿宋" w:cs="仿宋"/>
                <w:spacing w:val="-2"/>
                <w:sz w:val="24"/>
                <w:szCs w:val="24"/>
                <w:highlight w:val="none"/>
              </w:rPr>
              <w:t>代表人</w:t>
            </w:r>
            <w:r>
              <w:rPr>
                <w:rFonts w:hint="eastAsia" w:ascii="仿宋" w:hAnsi="仿宋" w:eastAsia="仿宋" w:cs="仿宋"/>
                <w:spacing w:val="-2"/>
                <w:sz w:val="24"/>
                <w:szCs w:val="24"/>
                <w:highlight w:val="none"/>
                <w:lang w:val="en-US" w:eastAsia="zh-CN"/>
              </w:rPr>
              <w:t>或授权代表</w:t>
            </w:r>
            <w:r>
              <w:rPr>
                <w:rFonts w:hint="eastAsia" w:ascii="仿宋" w:hAnsi="仿宋" w:eastAsia="仿宋" w:cs="仿宋"/>
                <w:spacing w:val="-2"/>
                <w:sz w:val="24"/>
                <w:szCs w:val="24"/>
                <w:highlight w:val="none"/>
              </w:rPr>
              <w:t>（签字</w:t>
            </w:r>
            <w:r>
              <w:rPr>
                <w:rFonts w:hint="eastAsia" w:ascii="仿宋" w:hAnsi="仿宋" w:eastAsia="仿宋" w:cs="仿宋"/>
                <w:spacing w:val="-2"/>
                <w:sz w:val="24"/>
                <w:szCs w:val="24"/>
                <w:highlight w:val="none"/>
                <w:lang w:val="en-US" w:eastAsia="zh-CN"/>
              </w:rPr>
              <w:t>或盖章</w:t>
            </w:r>
            <w:r>
              <w:rPr>
                <w:rFonts w:hint="eastAsia" w:ascii="仿宋" w:hAnsi="仿宋" w:eastAsia="仿宋" w:cs="仿宋"/>
                <w:spacing w:val="-33"/>
                <w:sz w:val="24"/>
                <w:szCs w:val="24"/>
                <w:highlight w:val="none"/>
              </w:rPr>
              <w:t>）：</w:t>
            </w:r>
          </w:p>
        </w:tc>
      </w:tr>
      <w:tr w14:paraId="0E0E668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1024" w:hRule="atLeast"/>
          <w:jc w:val="center"/>
        </w:trPr>
        <w:tc>
          <w:tcPr>
            <w:tcW w:w="4048" w:type="dxa"/>
            <w:noWrap w:val="0"/>
            <w:vAlign w:val="top"/>
          </w:tcPr>
          <w:p w14:paraId="082CF076">
            <w:pPr>
              <w:pStyle w:val="17"/>
              <w:keepNext w:val="0"/>
              <w:keepLines w:val="0"/>
              <w:pageBreakBefore w:val="0"/>
              <w:kinsoku/>
              <w:wordWrap/>
              <w:overflowPunct/>
              <w:topLinePunct w:val="0"/>
              <w:autoSpaceDE/>
              <w:autoSpaceDN/>
              <w:bidi w:val="0"/>
              <w:adjustRightInd w:val="0"/>
              <w:snapToGrid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pacing w:val="-13"/>
                <w:sz w:val="24"/>
                <w:szCs w:val="24"/>
                <w:highlight w:val="none"/>
                <w:lang w:val="en-US" w:eastAsia="zh-CN"/>
              </w:rPr>
              <w:t>联系</w:t>
            </w:r>
            <w:r>
              <w:rPr>
                <w:rFonts w:hint="eastAsia" w:ascii="仿宋" w:hAnsi="仿宋" w:eastAsia="仿宋" w:cs="仿宋"/>
                <w:spacing w:val="-13"/>
                <w:sz w:val="24"/>
                <w:szCs w:val="24"/>
                <w:highlight w:val="none"/>
              </w:rPr>
              <w:t>电话：</w:t>
            </w:r>
          </w:p>
        </w:tc>
        <w:tc>
          <w:tcPr>
            <w:tcW w:w="4051" w:type="dxa"/>
            <w:noWrap w:val="0"/>
            <w:vAlign w:val="top"/>
          </w:tcPr>
          <w:p w14:paraId="42FFA181">
            <w:pPr>
              <w:pStyle w:val="17"/>
              <w:keepNext w:val="0"/>
              <w:keepLines w:val="0"/>
              <w:pageBreakBefore w:val="0"/>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spacing w:val="-13"/>
                <w:sz w:val="24"/>
                <w:szCs w:val="24"/>
                <w:highlight w:val="none"/>
              </w:rPr>
            </w:pPr>
            <w:r>
              <w:rPr>
                <w:rFonts w:hint="eastAsia" w:ascii="仿宋" w:hAnsi="仿宋" w:eastAsia="仿宋" w:cs="仿宋"/>
                <w:spacing w:val="-13"/>
                <w:sz w:val="24"/>
                <w:szCs w:val="24"/>
                <w:highlight w:val="none"/>
                <w:lang w:val="en-US" w:eastAsia="zh-CN"/>
              </w:rPr>
              <w:t>联系</w:t>
            </w:r>
            <w:r>
              <w:rPr>
                <w:rFonts w:hint="eastAsia" w:ascii="仿宋" w:hAnsi="仿宋" w:eastAsia="仿宋" w:cs="仿宋"/>
                <w:spacing w:val="-13"/>
                <w:sz w:val="24"/>
                <w:szCs w:val="24"/>
                <w:highlight w:val="none"/>
              </w:rPr>
              <w:t>电话：</w:t>
            </w:r>
          </w:p>
          <w:p w14:paraId="2CDDD51C">
            <w:pPr>
              <w:pStyle w:val="17"/>
              <w:keepNext w:val="0"/>
              <w:keepLines w:val="0"/>
              <w:pageBreakBefore w:val="0"/>
              <w:kinsoku/>
              <w:wordWrap/>
              <w:overflowPunct/>
              <w:topLinePunct w:val="0"/>
              <w:autoSpaceDE/>
              <w:autoSpaceDN/>
              <w:bidi w:val="0"/>
              <w:adjustRightInd w:val="0"/>
              <w:snapToGrid w:val="0"/>
              <w:spacing w:line="360" w:lineRule="auto"/>
              <w:ind w:firstLine="428" w:firstLineChars="200"/>
              <w:jc w:val="both"/>
              <w:textAlignment w:val="auto"/>
              <w:rPr>
                <w:rFonts w:hint="eastAsia" w:ascii="仿宋" w:hAnsi="仿宋" w:eastAsia="仿宋" w:cs="仿宋"/>
                <w:spacing w:val="-13"/>
                <w:sz w:val="24"/>
                <w:szCs w:val="24"/>
                <w:highlight w:val="none"/>
              </w:rPr>
            </w:pPr>
          </w:p>
        </w:tc>
      </w:tr>
      <w:tr w14:paraId="06D321D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842" w:hRule="atLeast"/>
          <w:jc w:val="center"/>
        </w:trPr>
        <w:tc>
          <w:tcPr>
            <w:tcW w:w="4048" w:type="dxa"/>
            <w:noWrap w:val="0"/>
            <w:vAlign w:val="top"/>
          </w:tcPr>
          <w:p w14:paraId="67924C19">
            <w:pPr>
              <w:pStyle w:val="17"/>
              <w:keepNext w:val="0"/>
              <w:keepLines w:val="0"/>
              <w:pageBreakBefore w:val="0"/>
              <w:kinsoku/>
              <w:wordWrap/>
              <w:overflowPunct/>
              <w:topLinePunct w:val="0"/>
              <w:autoSpaceDE/>
              <w:autoSpaceDN/>
              <w:bidi w:val="0"/>
              <w:adjustRightInd w:val="0"/>
              <w:snapToGrid w:val="0"/>
              <w:spacing w:line="360" w:lineRule="auto"/>
              <w:textAlignment w:val="auto"/>
              <w:rPr>
                <w:rFonts w:hint="eastAsia" w:ascii="仿宋" w:hAnsi="仿宋" w:eastAsia="仿宋" w:cs="仿宋"/>
                <w:spacing w:val="-13"/>
                <w:sz w:val="24"/>
                <w:szCs w:val="24"/>
                <w:highlight w:val="none"/>
                <w:lang w:val="en-US" w:eastAsia="zh-CN"/>
              </w:rPr>
            </w:pPr>
            <w:r>
              <w:rPr>
                <w:rFonts w:hint="eastAsia" w:ascii="仿宋" w:hAnsi="仿宋" w:eastAsia="仿宋" w:cs="仿宋"/>
                <w:spacing w:val="-13"/>
                <w:sz w:val="24"/>
                <w:szCs w:val="24"/>
                <w:highlight w:val="none"/>
                <w:lang w:val="en-US" w:eastAsia="zh-CN"/>
              </w:rPr>
              <w:t>签订日期：  年  月  日</w:t>
            </w:r>
          </w:p>
        </w:tc>
        <w:tc>
          <w:tcPr>
            <w:tcW w:w="4051" w:type="dxa"/>
            <w:noWrap w:val="0"/>
            <w:vAlign w:val="top"/>
          </w:tcPr>
          <w:p w14:paraId="4AE45F4A">
            <w:pPr>
              <w:pStyle w:val="17"/>
              <w:keepNext w:val="0"/>
              <w:keepLines w:val="0"/>
              <w:pageBreakBefore w:val="0"/>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spacing w:val="-13"/>
                <w:sz w:val="24"/>
                <w:szCs w:val="24"/>
                <w:highlight w:val="none"/>
              </w:rPr>
            </w:pPr>
            <w:r>
              <w:rPr>
                <w:rFonts w:hint="eastAsia" w:ascii="仿宋" w:hAnsi="仿宋" w:eastAsia="仿宋" w:cs="仿宋"/>
                <w:spacing w:val="-13"/>
                <w:sz w:val="24"/>
                <w:szCs w:val="24"/>
                <w:highlight w:val="none"/>
                <w:lang w:val="en-US" w:eastAsia="zh-CN"/>
              </w:rPr>
              <w:t>签订日期：  年  月  日</w:t>
            </w:r>
          </w:p>
        </w:tc>
      </w:tr>
    </w:tbl>
    <w:p w14:paraId="5498317D">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rPr>
        <w:t>注：上述合同仅作为参考文本，合同签订时双方可根据项目的具体要求进行修订，实质性内容不得违背</w:t>
      </w:r>
      <w:r>
        <w:rPr>
          <w:rFonts w:hint="eastAsia" w:ascii="仿宋" w:hAnsi="仿宋" w:eastAsia="仿宋" w:cs="仿宋"/>
          <w:color w:val="000000"/>
          <w:sz w:val="24"/>
          <w:szCs w:val="24"/>
          <w:highlight w:val="none"/>
          <w:lang w:eastAsia="zh-CN"/>
        </w:rPr>
        <w:t>磋商文件</w:t>
      </w:r>
      <w:r>
        <w:rPr>
          <w:rFonts w:hint="eastAsia" w:ascii="仿宋" w:hAnsi="仿宋" w:eastAsia="仿宋" w:cs="仿宋"/>
          <w:color w:val="000000"/>
          <w:sz w:val="24"/>
          <w:szCs w:val="24"/>
          <w:highlight w:val="none"/>
        </w:rPr>
        <w:t>的条款</w:t>
      </w:r>
      <w:r>
        <w:rPr>
          <w:rFonts w:hint="eastAsia" w:ascii="仿宋" w:hAnsi="仿宋" w:eastAsia="仿宋" w:cs="仿宋"/>
          <w:color w:val="000000"/>
          <w:sz w:val="24"/>
          <w:szCs w:val="24"/>
          <w:highlight w:val="none"/>
          <w:lang w:eastAsia="zh-CN"/>
        </w:rPr>
        <w:t>。</w:t>
      </w:r>
    </w:p>
    <w:p w14:paraId="45ADE179">
      <w:pPr>
        <w:rPr>
          <w:rFonts w:hint="eastAsia"/>
          <w:lang w:val="zh-CN"/>
        </w:rPr>
      </w:pPr>
    </w:p>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panose1 w:val="020E0705020206020404"/>
    <w:charset w:val="00"/>
    <w:family w:val="swiss"/>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76F68A">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B1EB68">
                          <w:pPr>
                            <w:pStyle w:val="9"/>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AB1EB68">
                    <w:pPr>
                      <w:pStyle w:val="9"/>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E75756"/>
    <w:multiLevelType w:val="singleLevel"/>
    <w:tmpl w:val="CBE75756"/>
    <w:lvl w:ilvl="0" w:tentative="0">
      <w:start w:val="1"/>
      <w:numFmt w:val="chineseCounting"/>
      <w:suff w:val="nothing"/>
      <w:lvlText w:val="%1、"/>
      <w:lvlJc w:val="left"/>
      <w:rPr>
        <w:rFonts w:hint="eastAsia"/>
      </w:rPr>
    </w:lvl>
  </w:abstractNum>
  <w:abstractNum w:abstractNumId="1">
    <w:nsid w:val="00000007"/>
    <w:multiLevelType w:val="multilevel"/>
    <w:tmpl w:val="00000007"/>
    <w:lvl w:ilvl="0" w:tentative="0">
      <w:start w:val="1"/>
      <w:numFmt w:val="decimal"/>
      <w:lvlText w:val="%1"/>
      <w:lvlJc w:val="left"/>
      <w:pPr>
        <w:ind w:left="431" w:hanging="431"/>
      </w:pPr>
      <w:rPr>
        <w:rFonts w:hint="eastAsia"/>
      </w:rPr>
    </w:lvl>
    <w:lvl w:ilvl="1" w:tentative="0">
      <w:start w:val="1"/>
      <w:numFmt w:val="decimal"/>
      <w:lvlText w:val="%1.%2"/>
      <w:lvlJc w:val="left"/>
      <w:pPr>
        <w:ind w:left="431" w:hanging="431"/>
      </w:pPr>
      <w:rPr>
        <w:rFonts w:hint="eastAsia"/>
      </w:rPr>
    </w:lvl>
    <w:lvl w:ilvl="2" w:tentative="0">
      <w:start w:val="1"/>
      <w:numFmt w:val="decimal"/>
      <w:pStyle w:val="5"/>
      <w:lvlText w:val="%1.%2.%3"/>
      <w:lvlJc w:val="left"/>
      <w:pPr>
        <w:ind w:left="431" w:hanging="431"/>
      </w:pPr>
      <w:rPr>
        <w:rFonts w:hint="eastAsia"/>
      </w:rPr>
    </w:lvl>
    <w:lvl w:ilvl="3" w:tentative="0">
      <w:start w:val="1"/>
      <w:numFmt w:val="decimal"/>
      <w:lvlText w:val="%1.%2.%3.%4"/>
      <w:lvlJc w:val="left"/>
      <w:pPr>
        <w:ind w:left="431" w:hanging="431"/>
      </w:pPr>
      <w:rPr>
        <w:rFonts w:hint="eastAsia"/>
      </w:rPr>
    </w:lvl>
    <w:lvl w:ilvl="4" w:tentative="0">
      <w:start w:val="1"/>
      <w:numFmt w:val="decimal"/>
      <w:lvlText w:val="%1.%2.%3.%4.%5"/>
      <w:lvlJc w:val="left"/>
      <w:pPr>
        <w:ind w:left="6527" w:hanging="431"/>
      </w:pPr>
      <w:rPr>
        <w:rFonts w:hint="eastAsia"/>
      </w:rPr>
    </w:lvl>
    <w:lvl w:ilvl="5" w:tentative="0">
      <w:start w:val="1"/>
      <w:numFmt w:val="decimal"/>
      <w:lvlText w:val="%1.%2.%3.%4.%5.%6"/>
      <w:lvlJc w:val="left"/>
      <w:pPr>
        <w:ind w:left="431" w:hanging="431"/>
      </w:pPr>
      <w:rPr>
        <w:rFonts w:hint="eastAsia"/>
      </w:rPr>
    </w:lvl>
    <w:lvl w:ilvl="6" w:tentative="0">
      <w:start w:val="1"/>
      <w:numFmt w:val="decimal"/>
      <w:lvlText w:val="%1.%2.%3.%4.%5.%6.%7"/>
      <w:lvlJc w:val="left"/>
      <w:pPr>
        <w:ind w:left="431" w:hanging="431"/>
      </w:pPr>
      <w:rPr>
        <w:rFonts w:hint="eastAsia"/>
      </w:rPr>
    </w:lvl>
    <w:lvl w:ilvl="7" w:tentative="0">
      <w:start w:val="1"/>
      <w:numFmt w:val="decimal"/>
      <w:lvlText w:val="%1.%2.%3.%4.%5.%6.%7.%8"/>
      <w:lvlJc w:val="left"/>
      <w:pPr>
        <w:ind w:left="431" w:hanging="431"/>
      </w:pPr>
      <w:rPr>
        <w:rFonts w:hint="eastAsia"/>
      </w:rPr>
    </w:lvl>
    <w:lvl w:ilvl="8" w:tentative="0">
      <w:start w:val="1"/>
      <w:numFmt w:val="decimal"/>
      <w:lvlText w:val="%1.%2.%3.%4.%5.%6.%7.%8.%9"/>
      <w:lvlJc w:val="left"/>
      <w:pPr>
        <w:ind w:left="431" w:hanging="431"/>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3F3ED5"/>
    <w:rsid w:val="00E8708B"/>
    <w:rsid w:val="1CD63A5F"/>
    <w:rsid w:val="1DD138F7"/>
    <w:rsid w:val="1FF17CBA"/>
    <w:rsid w:val="2F455F1D"/>
    <w:rsid w:val="32B310BD"/>
    <w:rsid w:val="35C72C49"/>
    <w:rsid w:val="43EE0F7F"/>
    <w:rsid w:val="4D3F3ED5"/>
    <w:rsid w:val="5ED602A4"/>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4">
    <w:name w:val="heading 2"/>
    <w:basedOn w:val="1"/>
    <w:next w:val="1"/>
    <w:link w:val="14"/>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paragraph" w:styleId="5">
    <w:name w:val="heading 3"/>
    <w:basedOn w:val="1"/>
    <w:next w:val="1"/>
    <w:qFormat/>
    <w:uiPriority w:val="0"/>
    <w:pPr>
      <w:keepNext/>
      <w:keepLines/>
      <w:numPr>
        <w:ilvl w:val="2"/>
        <w:numId w:val="1"/>
      </w:numPr>
      <w:spacing w:before="260" w:after="260" w:line="416" w:lineRule="auto"/>
      <w:outlineLvl w:val="2"/>
    </w:pPr>
    <w:rPr>
      <w:rFonts w:ascii="Times New Roman" w:hAnsi="Times New Roman" w:eastAsia="宋体" w:cs="Times New Roman"/>
      <w:b/>
      <w:bCs/>
      <w:sz w:val="32"/>
      <w:szCs w:val="32"/>
    </w:rPr>
  </w:style>
  <w:style w:type="paragraph" w:styleId="6">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3">
    <w:name w:val="Default Paragraph Font"/>
    <w:semiHidden/>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7">
    <w:name w:val="Normal Indent"/>
    <w:basedOn w:val="1"/>
    <w:qFormat/>
    <w:uiPriority w:val="0"/>
    <w:pPr>
      <w:ind w:firstLine="420" w:firstLineChars="200"/>
    </w:pPr>
  </w:style>
  <w:style w:type="paragraph" w:styleId="8">
    <w:name w:val="toa heading"/>
    <w:basedOn w:val="1"/>
    <w:next w:val="1"/>
    <w:qFormat/>
    <w:uiPriority w:val="0"/>
    <w:pPr>
      <w:widowControl w:val="0"/>
      <w:kinsoku/>
      <w:autoSpaceDE/>
      <w:autoSpaceDN/>
      <w:adjustRightInd/>
      <w:snapToGrid/>
      <w:spacing w:line="240" w:lineRule="auto"/>
      <w:jc w:val="both"/>
      <w:textAlignment w:val="auto"/>
    </w:pPr>
    <w:rPr>
      <w:rFonts w:ascii="Arial" w:hAnsi="Arial" w:eastAsia="宋体" w:cs="Times New Roman"/>
      <w:snapToGrid/>
      <w:sz w:val="24"/>
      <w:szCs w:val="20"/>
      <w:lang w:eastAsia="zh-CN"/>
    </w:rPr>
  </w:style>
  <w:style w:type="paragraph" w:styleId="9">
    <w:name w:val="footer"/>
    <w:basedOn w:val="1"/>
    <w:qFormat/>
    <w:uiPriority w:val="0"/>
    <w:pPr>
      <w:tabs>
        <w:tab w:val="center" w:pos="4153"/>
        <w:tab w:val="right" w:pos="8306"/>
      </w:tabs>
      <w:snapToGrid w:val="0"/>
      <w:jc w:val="left"/>
    </w:pPr>
    <w:rPr>
      <w:sz w:val="18"/>
    </w:rPr>
  </w:style>
  <w:style w:type="paragraph" w:styleId="10">
    <w:name w:val="Normal (Web)"/>
    <w:basedOn w:val="1"/>
    <w:qFormat/>
    <w:uiPriority w:val="0"/>
    <w:rPr>
      <w:sz w:val="24"/>
    </w:rPr>
  </w:style>
  <w:style w:type="paragraph" w:styleId="11">
    <w:name w:val="Body Text First Indent"/>
    <w:basedOn w:val="2"/>
    <w:unhideWhenUsed/>
    <w:qFormat/>
    <w:uiPriority w:val="99"/>
    <w:pPr>
      <w:ind w:firstLine="420" w:firstLineChars="100"/>
    </w:pPr>
    <w:rPr>
      <w:szCs w:val="24"/>
    </w:rPr>
  </w:style>
  <w:style w:type="character" w:customStyle="1" w:styleId="14">
    <w:name w:val="标题 2 字符"/>
    <w:link w:val="4"/>
    <w:qFormat/>
    <w:uiPriority w:val="0"/>
    <w:rPr>
      <w:rFonts w:ascii="Arial" w:hAnsi="Arial"/>
      <w:b/>
      <w:kern w:val="0"/>
      <w:sz w:val="32"/>
      <w:lang w:val="zh-CN" w:bidi="zh-CN"/>
    </w:rPr>
  </w:style>
  <w:style w:type="paragraph" w:customStyle="1" w:styleId="15">
    <w:name w:val="Normal Indent1"/>
    <w:basedOn w:val="1"/>
    <w:autoRedefine/>
    <w:qFormat/>
    <w:uiPriority w:val="99"/>
    <w:pPr>
      <w:ind w:firstLine="880" w:firstLineChars="200"/>
    </w:pPr>
  </w:style>
  <w:style w:type="paragraph" w:customStyle="1" w:styleId="16">
    <w:name w:val="标书正文1"/>
    <w:basedOn w:val="1"/>
    <w:qFormat/>
    <w:uiPriority w:val="0"/>
    <w:pPr>
      <w:spacing w:line="360" w:lineRule="auto"/>
      <w:ind w:firstLine="480" w:firstLineChars="200"/>
    </w:pPr>
    <w:rPr>
      <w:rFonts w:ascii="Times New Roman" w:hAnsi="Times New Roman" w:eastAsia="宋体" w:cs="Times New Roman"/>
      <w:sz w:val="24"/>
    </w:rPr>
  </w:style>
  <w:style w:type="paragraph" w:customStyle="1" w:styleId="17">
    <w:name w:val="Table Text"/>
    <w:basedOn w:val="1"/>
    <w:autoRedefine/>
    <w:semiHidden/>
    <w:qFormat/>
    <w:uiPriority w:val="0"/>
    <w:rPr>
      <w:rFonts w:ascii="宋体" w:hAnsi="宋体" w:eastAsia="宋体" w:cs="宋体"/>
      <w:sz w:val="19"/>
      <w:szCs w:val="19"/>
      <w:lang w:val="en-US" w:eastAsia="en-US" w:bidi="ar-SA"/>
    </w:rPr>
  </w:style>
  <w:style w:type="table" w:customStyle="1" w:styleId="1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2025-09-19T03:40:00Z</dcterms:created>
  <dc:creator>陕西笃信招标有限公司</dc:creator>
  <cp:lastModifiedBy>陕西笃信招标有限公司</cp:lastModifiedBy>
  <dcterms:modified xsi:type="dcterms:W3CDTF">2025-09-19T03:43:43Z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98EABAB8B1124E3A8E405FA8784E04A5_13</vt:lpwstr>
  </property>
  <property fmtid="{D5CDD505-2E9C-101B-9397-08002B2CF9AE}" pid="4" name="KSOTemplateDocerSaveRecord">
    <vt:lpwstr>eyJoZGlkIjoiNzg2YzQ2Nzk4M2IwOWVlMWU4NjljZTZlNTRmMjFkNDkiLCJ1c2VySWQiOiI5MTQ3Njg1NjkifQ==</vt:lpwstr>
  </property>
</Properties>
</file>