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版本号：SXZCZB2025-ZCGK-082020251010002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西安市中小企业数字化转型发展一站式服务系统建设项目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SXZCZB2025-ZCGK-0820</w:t>
      </w:r>
      <w:r>
        <w:br/>
      </w:r>
      <w:r>
        <w:br/>
      </w:r>
      <w:r>
        <w:br/>
      </w:r>
    </w:p>
    <w:p>
      <w:pPr>
        <w:pStyle w:val="null3"/>
        <w:jc w:val="center"/>
        <w:outlineLvl w:val="2"/>
      </w:pPr>
      <w:r>
        <w:rPr>
          <w:rFonts w:ascii="仿宋_GB2312" w:hAnsi="仿宋_GB2312" w:cs="仿宋_GB2312" w:eastAsia="仿宋_GB2312"/>
          <w:sz w:val="28"/>
          <w:b/>
        </w:rPr>
        <w:t>西安市工业和信息化局（本级）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西安市工业和信息化局（本级）</w:t>
      </w:r>
      <w:r>
        <w:rPr>
          <w:rFonts w:ascii="仿宋_GB2312" w:hAnsi="仿宋_GB2312" w:cs="仿宋_GB2312" w:eastAsia="仿宋_GB2312"/>
        </w:rPr>
        <w:t>委托，拟对</w:t>
      </w:r>
      <w:r>
        <w:rPr>
          <w:rFonts w:ascii="仿宋_GB2312" w:hAnsi="仿宋_GB2312" w:cs="仿宋_GB2312" w:eastAsia="仿宋_GB2312"/>
        </w:rPr>
        <w:t>西安市中小企业数字化转型发展一站式服务系统建设项目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SXZCZB2025-ZCGK-0820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西安市中小企业数字化转型发展一站式服务系统建设项目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西安市中小企业数字化转型发展一站式服务系统建设项目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8、履约承诺：提供具有履行合同所必需的设备和专业技术能力的承诺函；</w:t>
      </w:r>
    </w:p>
    <w:p>
      <w:pPr>
        <w:pStyle w:val="null3"/>
      </w:pPr>
      <w:r>
        <w:rPr>
          <w:rFonts w:ascii="仿宋_GB2312" w:hAnsi="仿宋_GB2312" w:cs="仿宋_GB2312" w:eastAsia="仿宋_GB2312"/>
        </w:rPr>
        <w:t>9、非联合体承诺：本项目不接受联合体投标（需提供承诺书）。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8、履约承诺：提供具有履行合同所必需的设备和专业技术能力的承诺函；</w:t>
      </w:r>
    </w:p>
    <w:p>
      <w:pPr>
        <w:pStyle w:val="null3"/>
      </w:pPr>
      <w:r>
        <w:rPr>
          <w:rFonts w:ascii="仿宋_GB2312" w:hAnsi="仿宋_GB2312" w:cs="仿宋_GB2312" w:eastAsia="仿宋_GB2312"/>
        </w:rPr>
        <w:t>9、非联合体承诺：本项目不接受联合体投标（需提供承诺书）。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8、履约承诺：提供具有履行合同所必需的设备和专业技术能力的承诺函；</w:t>
      </w:r>
    </w:p>
    <w:p>
      <w:pPr>
        <w:pStyle w:val="null3"/>
      </w:pPr>
      <w:r>
        <w:rPr>
          <w:rFonts w:ascii="仿宋_GB2312" w:hAnsi="仿宋_GB2312" w:cs="仿宋_GB2312" w:eastAsia="仿宋_GB2312"/>
        </w:rPr>
        <w:t>9、非联合体承诺：本项目不接受联合体投标（需提供承诺书）。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3、财务状况报告：提供2024年度经审计的财务审计报告（成立时间至提交响应文件截止时间不足一年的可提供成立后任意时段的资产负债表）或开标时间前六个月内银行出具的资信证明；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8、履约承诺：提供具有履行合同所必需的设备和专业技术能力的承诺函；</w:t>
      </w:r>
    </w:p>
    <w:p>
      <w:pPr>
        <w:pStyle w:val="null3"/>
      </w:pPr>
      <w:r>
        <w:rPr>
          <w:rFonts w:ascii="仿宋_GB2312" w:hAnsi="仿宋_GB2312" w:cs="仿宋_GB2312" w:eastAsia="仿宋_GB2312"/>
        </w:rPr>
        <w:t>9、非联合体承诺：本项目不接受联合体投标（需提供承诺书）。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西安市工业和信息化局（本级）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凤城8路109号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15319409236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采购包1：2,211,670.00元</w:t>
            </w:r>
          </w:p>
          <w:p>
            <w:pPr>
              <w:pStyle w:val="null3"/>
            </w:pPr>
            <w:r>
              <w:rPr>
                <w:rFonts w:ascii="仿宋_GB2312" w:hAnsi="仿宋_GB2312" w:cs="仿宋_GB2312" w:eastAsia="仿宋_GB2312"/>
              </w:rPr>
              <w:t>采购包2：66,300.00元</w:t>
            </w:r>
          </w:p>
          <w:p>
            <w:pPr>
              <w:pStyle w:val="null3"/>
            </w:pPr>
            <w:r>
              <w:rPr>
                <w:rFonts w:ascii="仿宋_GB2312" w:hAnsi="仿宋_GB2312" w:cs="仿宋_GB2312" w:eastAsia="仿宋_GB2312"/>
              </w:rPr>
              <w:t>采购包3：59,249.00元</w:t>
            </w:r>
          </w:p>
          <w:p>
            <w:pPr>
              <w:pStyle w:val="null3"/>
            </w:pPr>
            <w:r>
              <w:rPr>
                <w:rFonts w:ascii="仿宋_GB2312" w:hAnsi="仿宋_GB2312" w:cs="仿宋_GB2312" w:eastAsia="仿宋_GB2312"/>
              </w:rPr>
              <w:t>采购包4：80,000.00元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 号）、《国家发展和改革委员会办公厅关于招标代理服务收费有关问题的通知》（发改办价 格〔2003〕857 号）及（发改办价格〔2011〕534 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西安市工业和信息化局（本级）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西安市工业和信息化局（本级）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西安市工业和信息化局（本级）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西安市中小企业数字化转型发展一站式服务系统建设项目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2,211,670.00</w:t>
      </w:r>
    </w:p>
    <w:p>
      <w:pPr>
        <w:pStyle w:val="null3"/>
      </w:pPr>
      <w:r>
        <w:rPr>
          <w:rFonts w:ascii="仿宋_GB2312" w:hAnsi="仿宋_GB2312" w:cs="仿宋_GB2312" w:eastAsia="仿宋_GB2312"/>
        </w:rPr>
        <w:t>采购包最高限价（元）: 2,211,670.00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西安市中小企业数字化转型发展一站式服务系统建设项目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2,211,670.00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66,300.00</w:t>
      </w:r>
    </w:p>
    <w:p>
      <w:pPr>
        <w:pStyle w:val="null3"/>
      </w:pPr>
      <w:r>
        <w:rPr>
          <w:rFonts w:ascii="仿宋_GB2312" w:hAnsi="仿宋_GB2312" w:cs="仿宋_GB2312" w:eastAsia="仿宋_GB2312"/>
        </w:rPr>
        <w:t>采购包最高限价（元）: 66,300.00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西安市中小企业数字化转型发展一站式服务系统建设项目监理服务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59,249.00</w:t>
      </w:r>
    </w:p>
    <w:p>
      <w:pPr>
        <w:pStyle w:val="null3"/>
      </w:pPr>
      <w:r>
        <w:rPr>
          <w:rFonts w:ascii="仿宋_GB2312" w:hAnsi="仿宋_GB2312" w:cs="仿宋_GB2312" w:eastAsia="仿宋_GB2312"/>
        </w:rPr>
        <w:t>采购包最高限价（元）: 59,249.00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西安市中小企业数字化转型发展一站式服务系统建设项目软件测评服务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59,249.00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西安市中小企业数字化转型发展一站式服务系统建设项目密码应用安全性评估服务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标的名称：西安市中小企业数字化转型发展一站式服务系统建设项目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210"/>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建设内容概述</w:t>
            </w:r>
          </w:p>
          <w:p>
            <w:pPr>
              <w:pStyle w:val="null3"/>
              <w:spacing w:before="60"/>
              <w:ind w:left="210"/>
            </w:pPr>
            <w:r>
              <w:rPr>
                <w:rFonts w:ascii="仿宋_GB2312" w:hAnsi="仿宋_GB2312" w:cs="仿宋_GB2312" w:eastAsia="仿宋_GB2312"/>
                <w:sz w:val="24"/>
                <w:color w:val="000000"/>
              </w:rPr>
              <w:t>西安市中小企业数字化转型发展一站式服务系统，遵循国家的数字化转型标准要求，联通国家平台，融入</w:t>
            </w:r>
            <w:r>
              <w:rPr>
                <w:rFonts w:ascii="仿宋_GB2312" w:hAnsi="仿宋_GB2312" w:cs="仿宋_GB2312" w:eastAsia="仿宋_GB2312"/>
                <w:sz w:val="24"/>
                <w:color w:val="000000"/>
              </w:rPr>
              <w:t>“一张网 ”平台，补充西安地方特色管理要求，支持试点工作全流程监管，聚焦 4+9 个细分行业链式发展评估。打造数字化产品资源池，为中小企业提供一揽子数字化产品和解决方案。支撑区县调度管理与系统 运营管理工作。</w:t>
            </w:r>
          </w:p>
          <w:p>
            <w:pPr>
              <w:pStyle w:val="null3"/>
              <w:spacing w:before="60"/>
              <w:ind w:left="210"/>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建设内容一览表</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487"/>
              <w:gridCol w:w="505"/>
              <w:gridCol w:w="1310"/>
            </w:tblGrid>
            <w:tr>
              <w:tc>
                <w:tcPr>
                  <w:tcW w:type="dxa" w:w="250"/>
                  <w:tcBorders>
                    <w:top w:val="singl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序号</w:t>
                  </w:r>
                </w:p>
              </w:tc>
              <w:tc>
                <w:tcPr>
                  <w:tcW w:type="dxa" w:w="487"/>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指标项</w:t>
                  </w:r>
                </w:p>
              </w:tc>
              <w:tc>
                <w:tcPr>
                  <w:tcW w:type="dxa" w:w="505"/>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内容</w:t>
                  </w:r>
                </w:p>
              </w:tc>
              <w:tc>
                <w:tcPr>
                  <w:tcW w:type="dxa" w:w="1310"/>
                  <w:tcBorders>
                    <w:top w:val="singl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要求</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w:t>
                  </w:r>
                </w:p>
              </w:tc>
              <w:tc>
                <w:tcPr>
                  <w:tcW w:type="dxa" w:w="487"/>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西安市中小企业数字化转型服务一站式门户</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首页</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面向政府、企业、服务商、系统运营商、专家委员会六类用户提供统一入口门户，与西安工信系统实现单点登录，实现全局搜索，支持检索政策</w:t>
                  </w:r>
                  <w:r>
                    <w:rPr>
                      <w:rFonts w:ascii="仿宋_GB2312" w:hAnsi="仿宋_GB2312" w:cs="仿宋_GB2312" w:eastAsia="仿宋_GB2312"/>
                      <w:sz w:val="24"/>
                      <w:color w:val="000000"/>
                    </w:rPr>
                    <w:t>/资讯/案例</w:t>
                  </w:r>
                  <w:r>
                    <w:rPr>
                      <w:rFonts w:ascii="仿宋_GB2312" w:hAnsi="仿宋_GB2312" w:cs="仿宋_GB2312" w:eastAsia="仿宋_GB2312"/>
                      <w:sz w:val="24"/>
                      <w:color w:val="000000"/>
                    </w:rPr>
                    <w:t>。提供信息群发功能。需</w:t>
                  </w:r>
                  <w:r>
                    <w:rPr>
                      <w:rFonts w:ascii="仿宋_GB2312" w:hAnsi="仿宋_GB2312" w:cs="仿宋_GB2312" w:eastAsia="仿宋_GB2312"/>
                      <w:sz w:val="24"/>
                      <w:color w:val="000000"/>
                    </w:rPr>
                    <w:t>为每类用户提供工作台，包含快捷功能入口、待办提醒、通知公告等组件。</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用户认证</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通过西安工信系统实现统一认证体系集成，实现用户身份核验，支持相关政府工作人员统一身份登录，企业用户采用手机号</w:t>
                  </w:r>
                  <w:r>
                    <w:rPr>
                      <w:rFonts w:ascii="仿宋_GB2312" w:hAnsi="仿宋_GB2312" w:cs="仿宋_GB2312" w:eastAsia="仿宋_GB2312"/>
                      <w:sz w:val="24"/>
                      <w:color w:val="000000"/>
                    </w:rPr>
                    <w:t>+短信验证码双因素认证，确保登录安全可追溯。</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个人中心</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提供用户基本信息管理、密码修改功能，集成待处理任务提醒。</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4</w:t>
                  </w:r>
                </w:p>
              </w:tc>
              <w:tc>
                <w:tcPr>
                  <w:tcW w:type="dxa" w:w="487"/>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数转专项服务</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公告公示</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支持市级主管部门在线发布政策通知、服务商征集公告、试点企业名单公示等信息，具备分级审核机制，支持富文本编辑和附件上传。</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5</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企业服务</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覆盖企业数字化转型全生命周期：</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支持试点企业在线提交认证申请、转型需求；提供选择服务商进行咨询诊断，诊断情况在线查看、诊断报告下载；实现数转合同在线提交、查看；</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支持项目立项申报、审核；实施阶段进度监控、预警、抽查，并提供可视化进度看板；验收环节在线申请；提供资金拨付申请。</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6</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数商服务</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支持服务商在线提交资质申报材料，维护产品解决方案库，跟踪服务企业项目实施进度，查看企业评价反馈，管理专业服务商合作资源。</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7</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评测服务</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集成国家中小企业数字化水平测评工具，支持试点企业在线完成自我测评并生成诊断报告。</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8</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咨询服务</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提供专家入库登记及审核，为企业提供咨询服务</w:t>
                  </w:r>
                  <w:r>
                    <w:rPr>
                      <w:rFonts w:ascii="仿宋_GB2312" w:hAnsi="仿宋_GB2312" w:cs="仿宋_GB2312" w:eastAsia="仿宋_GB2312"/>
                      <w:sz w:val="24"/>
                      <w:color w:val="000000"/>
                    </w:rPr>
                    <w:t>，具备任务推送功能。可针</w:t>
                  </w:r>
                  <w:r>
                    <w:rPr>
                      <w:rFonts w:ascii="仿宋_GB2312" w:hAnsi="仿宋_GB2312" w:cs="仿宋_GB2312" w:eastAsia="仿宋_GB2312"/>
                      <w:sz w:val="24"/>
                      <w:color w:val="000000"/>
                    </w:rPr>
                    <w:t>对企业提出的数转咨询问题进行解答回复，查看企业的满意度评价。</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9</w:t>
                  </w:r>
                </w:p>
              </w:tc>
              <w:tc>
                <w:tcPr>
                  <w:tcW w:type="dxa" w:w="487"/>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公共服务系统</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看样学样</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提供解决方案、标杆案例、服务商等资源的上架管理，通过整合</w:t>
                  </w:r>
                  <w:r>
                    <w:rPr>
                      <w:rFonts w:ascii="仿宋_GB2312" w:hAnsi="仿宋_GB2312" w:cs="仿宋_GB2312" w:eastAsia="仿宋_GB2312"/>
                      <w:sz w:val="24"/>
                      <w:color w:val="000000"/>
                    </w:rPr>
                    <w:t>“小快轻准”标准的解决方案、数字化转型标杆案例、优质服务商信息，以样板企业作为标杆和纽带带动其他行业内中小企业看样学样。</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10</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供需对接</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提供需求发布与供应信息发布双向通道，支持人才、技术、设备、场地等各类供需信息的发布，集成财务税务、法律法规、检验检测、人力资源、知识产权等第三方服务资源。</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11</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开放平台</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支持软件工具超市，支持上架优质的第三方软件工具、链主企业平台、区县工业园区管理系统、产业大脑等外部系统，实现服务资源跨平台调用。</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12</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企业培训</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培训课程管理能力支持视频课程等多种形式的在线学习内容发布与分类展示，实现在线学习、课程收藏和管理功能，实现培训活动管理功能包含线上培训报名、培训签到管理等全流程服务，提供培训资讯发布服务支持政策解读、培训通知等资讯的编辑、审核与发布功能。</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13</w:t>
                  </w:r>
                </w:p>
              </w:tc>
              <w:tc>
                <w:tcPr>
                  <w:tcW w:type="dxa" w:w="487"/>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数转全流程管理</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服务商遴选</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实现服务商征集通知发布、线上申报、市级主管部门资质审核全流程线上化。</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14</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企业认证管理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支持企业在线填报认证信息、主管部门进行认证信息审核。</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15</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项目管理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实现项目全流程线上闭环管理：立项申请及审核；实施阶段要求服务商按关键节点更新进度，并对进度进行抽查；支持对试点企业数转合同进行查询、备案确认；验收环节支持对试点企业的验收申请进行审核、组织验收、并对审核通过的试点企业数改项目验收做备案确认。</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16</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资金管理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支持资金管理办法发布、预算方案发布、拨付申请审批、拨付记录备案。</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17</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产业链链式转型评估</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汽车零部件及配件制造、先进交通装备及配件制造、集成电路及通信系统设备制造、先进结构与复合材料制造</w:t>
                  </w:r>
                  <w:r>
                    <w:rPr>
                      <w:rFonts w:ascii="仿宋_GB2312" w:hAnsi="仿宋_GB2312" w:cs="仿宋_GB2312" w:eastAsia="仿宋_GB2312"/>
                      <w:sz w:val="24"/>
                      <w:color w:val="000000"/>
                    </w:rPr>
                    <w:t>4大试点行业产业链标准制定，支持产业链图谱可视化、节点强弱分析。</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18</w:t>
                  </w:r>
                </w:p>
              </w:tc>
              <w:tc>
                <w:tcPr>
                  <w:tcW w:type="dxa" w:w="487"/>
                  <w:vMerge w:val="restart"/>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区县调度管理</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数转工作跟踪与反馈</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提供区县进度在线填报、超期自动预警，任务状态实时可查。</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19</w:t>
                  </w:r>
                </w:p>
              </w:tc>
              <w:tc>
                <w:tcPr>
                  <w:tcW w:type="dxa" w:w="487"/>
                  <w:vMerge/>
                  <w:tcBorders>
                    <w:top w:val="none" w:color="000000" w:sz="4"/>
                    <w:left w:val="none" w:color="000000" w:sz="4"/>
                    <w:bottom w:val="singl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数据分析看板</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动态展示区县任务完成率排名、企业覆盖率热力图、产业链改造进度等核心指标，支持穿透式数据钻取。</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20</w:t>
                  </w:r>
                </w:p>
              </w:tc>
              <w:tc>
                <w:tcPr>
                  <w:tcW w:type="dxa" w:w="487"/>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数据资源管理</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用户集成</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打通西安工信系统的用户体系，实现统一账号登录和信息共享。</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21</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数据采集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采集平台企业基本信息、数转信息统一归集入库，确保数据完整性。</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22</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数据处理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对原始数据进行去重、纠错、格式标准化等清洗操作，提升数据质量。</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23</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数据接口</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对接全国中小企业数字化转型服务平台、中国中小企业服务网等国家级平台，实现数据实时同步。</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24</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系统管理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提供用户账号创建、部门组织架构维护、角色权限分级配置功能，记录系统操作日志并留存审计痕迹。</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25</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数转数据库查询</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建设</w:t>
                  </w:r>
                  <w:r>
                    <w:rPr>
                      <w:rFonts w:ascii="仿宋_GB2312" w:hAnsi="仿宋_GB2312" w:cs="仿宋_GB2312" w:eastAsia="仿宋_GB2312"/>
                      <w:sz w:val="24"/>
                      <w:color w:val="000000"/>
                    </w:rPr>
                    <w:t>“试点企业库”、“一企一档库”</w:t>
                  </w:r>
                </w:p>
                <w:p>
                  <w:pPr>
                    <w:pStyle w:val="null3"/>
                    <w:spacing w:before="60"/>
                    <w:ind w:left="210"/>
                  </w:pPr>
                  <w:r>
                    <w:rPr>
                      <w:rFonts w:ascii="仿宋_GB2312" w:hAnsi="仿宋_GB2312" w:cs="仿宋_GB2312" w:eastAsia="仿宋_GB2312"/>
                      <w:sz w:val="24"/>
                      <w:color w:val="000000"/>
                    </w:rPr>
                    <w:t>“中小企业库”、“服务商库”、“小快轻准库”、“案例库”、“专家库”等专题库分类存储中小企业数字化转型核心数据。通过统一检索入口整合各专题库。</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26</w:t>
                  </w:r>
                </w:p>
              </w:tc>
              <w:tc>
                <w:tcPr>
                  <w:tcW w:type="dxa" w:w="487"/>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运营管理</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在线咨询</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支持数转政策解读、系统操作指导、申报问题解答，建立常见问题知识库。</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27</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运营资源管理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实现政策文件、服务事项的统一管理，包括资源发布、下架、排序调整等功</w:t>
                  </w:r>
                </w:p>
                <w:p>
                  <w:pPr>
                    <w:pStyle w:val="null3"/>
                    <w:spacing w:before="60"/>
                    <w:ind w:left="210"/>
                  </w:pPr>
                  <w:r>
                    <w:rPr>
                      <w:rFonts w:ascii="仿宋_GB2312" w:hAnsi="仿宋_GB2312" w:cs="仿宋_GB2312" w:eastAsia="仿宋_GB2312"/>
                      <w:sz w:val="24"/>
                      <w:color w:val="000000"/>
                    </w:rPr>
                    <w:t>能。</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28</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客户管理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归集企业和数商基本信息、数转记录等数据，按区域、服务类型进行分类。</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29</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服务过程管理</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全程跟踪服务进展，未完成的进行消息提醒；提供进度可视化展示，企业和</w:t>
                  </w:r>
                  <w:r>
                    <w:rPr>
                      <w:rFonts w:ascii="仿宋_GB2312" w:hAnsi="仿宋_GB2312" w:cs="仿宋_GB2312" w:eastAsia="仿宋_GB2312"/>
                      <w:sz w:val="24"/>
                      <w:color w:val="000000"/>
                    </w:rPr>
                    <w:t>数商可实时查看状态，超期自动发送消息通知。</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30</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服务评价</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在服务完成后，收集用户对服务效率、态度、结果的反馈。</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31</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可视化看板</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构建一个全面的数字化转型全流程管理可视化全景视图，实现对市级（包括县区级）数字化转型项目的全生命周期进行可视化展示。</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32</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运营分析</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构建可视化运营看板，对中小企业数字化转型咨询的响应情况、运营资源的分析与展示，还涵盖服务进程的进展分析，以及对企业和数据供应商对运营服务评价的分析和展示。</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33</w:t>
                  </w:r>
                </w:p>
              </w:tc>
              <w:tc>
                <w:tcPr>
                  <w:tcW w:type="dxa" w:w="487"/>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中小企业数字化转型分析模型</w:t>
                  </w: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中小企业数字化转型分析模型</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支持中小企业数字化转型业务中的数据管理与分析，如产业链企业匹配，为中小企业数字化转型中的决策提供可靠依据，支持数据模型管理、数据模型应用。</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34</w:t>
                  </w:r>
                </w:p>
              </w:tc>
              <w:tc>
                <w:tcPr>
                  <w:tcW w:type="dxa" w:w="487"/>
                  <w:vMerge w:val="restart"/>
                  <w:tcBorders>
                    <w:top w:val="none" w:color="000000" w:sz="4"/>
                    <w:left w:val="none" w:color="000000" w:sz="4"/>
                    <w:bottom w:val="non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数据资源建设</w:t>
                  </w:r>
                </w:p>
                <w:p>
                  <w:pPr>
                    <w:pStyle w:val="null3"/>
                    <w:spacing w:before="60"/>
                    <w:ind w:left="210"/>
                  </w:p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pPr>
                  <w:r>
                    <w:rPr>
                      <w:rFonts w:ascii="仿宋_GB2312" w:hAnsi="仿宋_GB2312" w:cs="仿宋_GB2312" w:eastAsia="仿宋_GB2312"/>
                      <w:sz w:val="24"/>
                      <w:color w:val="000000"/>
                    </w:rPr>
                    <w:t>专题库建设</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数转管理专题库建设、链式服务专题库建设、数转业务专题库、公共服务专题库建设。</w:t>
                  </w:r>
                </w:p>
              </w:tc>
            </w:tr>
            <w:tr>
              <w:tc>
                <w:tcPr>
                  <w:tcW w:type="dxa" w:w="25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35</w:t>
                  </w:r>
                </w:p>
              </w:tc>
              <w:tc>
                <w:tcPr>
                  <w:tcW w:type="dxa" w:w="487"/>
                  <w:vMerge/>
                  <w:tcBorders>
                    <w:top w:val="none" w:color="000000" w:sz="4"/>
                    <w:left w:val="none" w:color="000000" w:sz="4"/>
                    <w:bottom w:val="none" w:color="000000" w:sz="4"/>
                    <w:right w:val="single" w:color="000000" w:sz="4"/>
                  </w:tcBorders>
                </w:tcPr>
                <w:p/>
              </w:tc>
              <w:tc>
                <w:tcPr>
                  <w:tcW w:type="dxa" w:w="505"/>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主题库建设</w:t>
                  </w:r>
                </w:p>
              </w:tc>
              <w:tc>
                <w:tcPr>
                  <w:tcW w:type="dxa" w:w="1310"/>
                  <w:tcBorders>
                    <w:top w:val="none" w:color="000000" w:sz="4"/>
                    <w:left w:val="none" w:color="000000" w:sz="4"/>
                    <w:bottom w:val="single" w:color="000000" w:sz="4"/>
                    <w:right w:val="single" w:color="000000" w:sz="4"/>
                  </w:tcBorders>
                  <w:shd w:fill="FFFFFF"/>
                  <w:tcMar>
                    <w:top w:type="dxa" w:w="30"/>
                    <w:left w:type="dxa" w:w="60"/>
                    <w:bottom w:type="dxa" w:w="30"/>
                    <w:right w:type="dxa" w:w="60"/>
                  </w:tcMar>
                  <w:vAlign w:val="top"/>
                </w:tcPr>
                <w:p>
                  <w:pPr>
                    <w:pStyle w:val="null3"/>
                    <w:spacing w:before="60"/>
                    <w:ind w:left="210"/>
                  </w:pPr>
                  <w:r>
                    <w:rPr>
                      <w:rFonts w:ascii="仿宋_GB2312" w:hAnsi="仿宋_GB2312" w:cs="仿宋_GB2312" w:eastAsia="仿宋_GB2312"/>
                      <w:sz w:val="24"/>
                      <w:color w:val="000000"/>
                    </w:rPr>
                    <w:t>试点企业库、服务商库、解决方案库、一企一档库等主题库建设</w:t>
                  </w:r>
                </w:p>
              </w:tc>
            </w:tr>
          </w:tbl>
          <w:p>
            <w:pPr>
              <w:pStyle w:val="null3"/>
              <w:spacing w:before="60"/>
              <w:ind w:left="210"/>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总体思路</w:t>
            </w:r>
          </w:p>
          <w:p>
            <w:pPr>
              <w:pStyle w:val="null3"/>
              <w:spacing w:before="60"/>
              <w:ind w:left="210"/>
            </w:pPr>
            <w:r>
              <w:rPr>
                <w:rFonts w:ascii="仿宋_GB2312" w:hAnsi="仿宋_GB2312" w:cs="仿宋_GB2312" w:eastAsia="仿宋_GB2312"/>
                <w:sz w:val="24"/>
                <w:color w:val="000000"/>
              </w:rPr>
              <w:t>2.1 总体建设思路</w:t>
            </w:r>
          </w:p>
          <w:p>
            <w:pPr>
              <w:pStyle w:val="null3"/>
              <w:spacing w:before="60"/>
              <w:ind w:left="210"/>
            </w:pPr>
            <w:r>
              <w:rPr>
                <w:rFonts w:ascii="仿宋_GB2312" w:hAnsi="仿宋_GB2312" w:cs="仿宋_GB2312" w:eastAsia="仿宋_GB2312"/>
                <w:sz w:val="24"/>
                <w:color w:val="000000"/>
              </w:rPr>
              <w:t>西安市中小企业数字化转型发展一站式服务系统建设采用</w:t>
            </w:r>
            <w:r>
              <w:rPr>
                <w:rFonts w:ascii="仿宋_GB2312" w:hAnsi="仿宋_GB2312" w:cs="仿宋_GB2312" w:eastAsia="仿宋_GB2312"/>
                <w:sz w:val="24"/>
                <w:color w:val="000000"/>
              </w:rPr>
              <w:t>“ 1+1+2+3 ”的功能架构设计，即 1 个统一门户：面向政府主管部门、中小企业、服务商、评测机构、专家委员会、系统运营方六类用户提供统一入口的一站式服务门户系统；1个中心：数转数据管理中心；2 大服务：数转专项服务、公共服务系统；3 大管理： 数转全流程管理、区县调度管理、运营管理。</w:t>
            </w:r>
          </w:p>
          <w:p>
            <w:pPr>
              <w:pStyle w:val="null3"/>
              <w:spacing w:before="60"/>
              <w:ind w:left="210"/>
            </w:pPr>
            <w:r>
              <w:rPr>
                <w:rFonts w:ascii="仿宋_GB2312" w:hAnsi="仿宋_GB2312" w:cs="仿宋_GB2312" w:eastAsia="仿宋_GB2312"/>
                <w:sz w:val="24"/>
                <w:color w:val="000000"/>
              </w:rPr>
              <w:t>1.一个统一门户</w:t>
            </w:r>
          </w:p>
          <w:p>
            <w:pPr>
              <w:pStyle w:val="null3"/>
              <w:spacing w:before="60"/>
              <w:ind w:left="210"/>
            </w:pPr>
            <w:r>
              <w:rPr>
                <w:rFonts w:ascii="仿宋_GB2312" w:hAnsi="仿宋_GB2312" w:cs="仿宋_GB2312" w:eastAsia="仿宋_GB2312"/>
                <w:sz w:val="24"/>
                <w:color w:val="000000"/>
              </w:rPr>
              <w:t>一站式服务门户：西安市中小企业数字化转型发展一站式服务系统依托大数</w:t>
            </w:r>
            <w:r>
              <w:rPr>
                <w:rFonts w:ascii="仿宋_GB2312" w:hAnsi="仿宋_GB2312" w:cs="仿宋_GB2312" w:eastAsia="仿宋_GB2312"/>
                <w:sz w:val="24"/>
                <w:color w:val="000000"/>
              </w:rPr>
              <w:t>据管理中心，以建、管、运一体化为特色，为市级、局级、区县等各级监管部门提供完整的数字化试点全流程管理和数字化转型政策宣贯渠道，实现数字化转型</w:t>
            </w:r>
            <w:r>
              <w:rPr>
                <w:rFonts w:ascii="仿宋_GB2312" w:hAnsi="仿宋_GB2312" w:cs="仿宋_GB2312" w:eastAsia="仿宋_GB2312"/>
                <w:sz w:val="24"/>
                <w:color w:val="000000"/>
              </w:rPr>
              <w:t>成效管理，助力试点工作高质量发展，推动更多本地中小企业实施数字化转型。</w:t>
            </w:r>
            <w:r>
              <w:rPr>
                <w:rFonts w:ascii="仿宋_GB2312" w:hAnsi="仿宋_GB2312" w:cs="仿宋_GB2312" w:eastAsia="仿宋_GB2312"/>
                <w:sz w:val="24"/>
                <w:color w:val="000000"/>
              </w:rPr>
              <w:t>为中小企业提供包括数字化诊断咨询、企业公共服务、数字化转型解决方案、数字化转型项目实施的全流程服务体系，帮助企业基于工业互联网平台工具，进行科学、准确、迅速的决策，实现有效的数字化转型。为数字化服务商，提供供应商遴选、产品遴选入库、解决方案遴选入库、动态管理、绩效评价管理等，集中管理服务商产品资源及能力，显著提升企业转型效率及合作紧密度，为数字化转型提供坚实支撑。为政府、企业、服务商、系统运营商、公共服务提供商全面打造惠企服务、精准服务、整体协同、透明高效的一体化、智能化、数字化的中小企业服务生态。</w:t>
            </w:r>
          </w:p>
          <w:p>
            <w:pPr>
              <w:pStyle w:val="null3"/>
              <w:spacing w:before="60"/>
              <w:ind w:left="210"/>
            </w:pPr>
            <w:r>
              <w:rPr>
                <w:rFonts w:ascii="仿宋_GB2312" w:hAnsi="仿宋_GB2312" w:cs="仿宋_GB2312" w:eastAsia="仿宋_GB2312"/>
                <w:sz w:val="24"/>
                <w:color w:val="000000"/>
              </w:rPr>
              <w:t>2.一个数转数据中心</w:t>
            </w:r>
          </w:p>
          <w:p>
            <w:pPr>
              <w:pStyle w:val="null3"/>
              <w:spacing w:before="60"/>
              <w:ind w:left="210"/>
            </w:pPr>
            <w:r>
              <w:rPr>
                <w:rFonts w:ascii="仿宋_GB2312" w:hAnsi="仿宋_GB2312" w:cs="仿宋_GB2312" w:eastAsia="仿宋_GB2312"/>
                <w:sz w:val="24"/>
                <w:color w:val="000000"/>
              </w:rPr>
              <w:t>数转数据管理中心：建设西安市中小企业公共服务数据中心管理系统，构建</w:t>
            </w:r>
            <w:r>
              <w:rPr>
                <w:rFonts w:ascii="仿宋_GB2312" w:hAnsi="仿宋_GB2312" w:cs="仿宋_GB2312" w:eastAsia="仿宋_GB2312"/>
                <w:sz w:val="24"/>
                <w:color w:val="000000"/>
              </w:rPr>
              <w:t>中小企业公共服务管理云平台，依托大数据技术，构建一套可持续</w:t>
            </w:r>
            <w:r>
              <w:rPr>
                <w:rFonts w:ascii="仿宋_GB2312" w:hAnsi="仿宋_GB2312" w:cs="仿宋_GB2312" w:eastAsia="仿宋_GB2312"/>
                <w:sz w:val="24"/>
                <w:color w:val="000000"/>
              </w:rPr>
              <w:t>“让数据用起 来的 ”机制，以数据驱动跨地区、跨部门、跨层级的数据共享和业务协同，主要建设包含以下四个方面。一是数据交换系统，实现与国家平台、中国中小企业服务网对接及各部门、区县的数据交换，报送试点相关数据资料，同步多类信息并对接地方业务平台；二是数据管理系统，围绕数据各环节全程管理，用平台化工具统一管理数据、提升质量，提供数据管理能力；三是中小企业数字化转型分析模型，涵盖链式发展评估辅助决策类相关模型建设；四是中小企业数据资源库建 设，包括数据管理专题库、链式服务专题库两大专题库，以及数字化服务商库、</w:t>
            </w:r>
          </w:p>
          <w:p>
            <w:pPr>
              <w:pStyle w:val="null3"/>
              <w:spacing w:before="60"/>
              <w:ind w:left="210"/>
            </w:pPr>
            <w:r>
              <w:rPr>
                <w:rFonts w:ascii="仿宋_GB2312" w:hAnsi="仿宋_GB2312" w:cs="仿宋_GB2312" w:eastAsia="仿宋_GB2312"/>
                <w:sz w:val="24"/>
                <w:color w:val="000000"/>
              </w:rPr>
              <w:t>“小快轻准 ”数字化产品和解决方案库、试点企业库、“一企一档 ”库、绩效管理库、需求与场景库、供需适配库、数转试点项目库、案例库、专家库、资金库、中小企业库主题库建设，为平台持续服务提供有效数据支撑，以提升中小企业相关数据管理与应用水平，助力其数字化转型等工作。</w:t>
            </w:r>
          </w:p>
          <w:p>
            <w:pPr>
              <w:pStyle w:val="null3"/>
              <w:spacing w:before="60"/>
              <w:ind w:left="210"/>
            </w:pPr>
            <w:r>
              <w:rPr>
                <w:rFonts w:ascii="仿宋_GB2312" w:hAnsi="仿宋_GB2312" w:cs="仿宋_GB2312" w:eastAsia="仿宋_GB2312"/>
                <w:sz w:val="24"/>
                <w:color w:val="000000"/>
              </w:rPr>
              <w:t>3.两大服务</w:t>
            </w:r>
          </w:p>
          <w:p>
            <w:pPr>
              <w:pStyle w:val="null3"/>
              <w:spacing w:before="60"/>
              <w:ind w:left="210"/>
            </w:pPr>
            <w:r>
              <w:rPr>
                <w:rFonts w:ascii="仿宋_GB2312" w:hAnsi="仿宋_GB2312" w:cs="仿宋_GB2312" w:eastAsia="仿宋_GB2312"/>
                <w:sz w:val="24"/>
                <w:color w:val="000000"/>
              </w:rPr>
              <w:t>数转专项服务：为中小企业提供数字化诊断、供需对接、解决方案及项目实施的全流程服务，涵盖认证、立项、咨询至资金等关键环节，助力重点行业数字</w:t>
            </w:r>
            <w:r>
              <w:rPr>
                <w:rFonts w:ascii="仿宋_GB2312" w:hAnsi="仿宋_GB2312" w:cs="仿宋_GB2312" w:eastAsia="仿宋_GB2312"/>
                <w:sz w:val="24"/>
                <w:color w:val="000000"/>
              </w:rPr>
              <w:t>化转型。</w:t>
            </w:r>
          </w:p>
          <w:p>
            <w:pPr>
              <w:pStyle w:val="null3"/>
              <w:spacing w:before="60"/>
              <w:ind w:left="210"/>
            </w:pPr>
            <w:r>
              <w:rPr>
                <w:rFonts w:ascii="仿宋_GB2312" w:hAnsi="仿宋_GB2312" w:cs="仿宋_GB2312" w:eastAsia="仿宋_GB2312"/>
                <w:sz w:val="24"/>
                <w:color w:val="000000"/>
              </w:rPr>
              <w:t>公共服务系统：为西安市中小企业提供一站式、全方位、综合性的服务。面向企业用户，用户可以通过该系统全面了解以及掌握产业发展状况、产品市场供求等信息；基于系统汇聚、实现供需对接与资源整合。</w:t>
            </w:r>
          </w:p>
          <w:p>
            <w:pPr>
              <w:pStyle w:val="null3"/>
              <w:spacing w:before="60"/>
              <w:ind w:left="210"/>
            </w:pPr>
            <w:r>
              <w:rPr>
                <w:rFonts w:ascii="仿宋_GB2312" w:hAnsi="仿宋_GB2312" w:cs="仿宋_GB2312" w:eastAsia="仿宋_GB2312"/>
                <w:sz w:val="24"/>
                <w:color w:val="000000"/>
              </w:rPr>
              <w:t>4.三个管理支撑</w:t>
            </w:r>
          </w:p>
          <w:p>
            <w:pPr>
              <w:pStyle w:val="null3"/>
              <w:spacing w:before="60"/>
              <w:ind w:left="210"/>
            </w:pPr>
            <w:r>
              <w:rPr>
                <w:rFonts w:ascii="仿宋_GB2312" w:hAnsi="仿宋_GB2312" w:cs="仿宋_GB2312" w:eastAsia="仿宋_GB2312"/>
                <w:sz w:val="24"/>
                <w:color w:val="000000"/>
              </w:rPr>
              <w:t>数转全流程管理：为政府提供数字化试点管理工具与推广渠道，实现本地化</w:t>
            </w:r>
            <w:r>
              <w:rPr>
                <w:rFonts w:ascii="仿宋_GB2312" w:hAnsi="仿宋_GB2312" w:cs="仿宋_GB2312" w:eastAsia="仿宋_GB2312"/>
                <w:sz w:val="24"/>
                <w:color w:val="000000"/>
              </w:rPr>
              <w:t>部署并增加特色功能，涵盖企业与服务商遴选、项目库建设及验收等，以全面推</w:t>
            </w:r>
            <w:r>
              <w:rPr>
                <w:rFonts w:ascii="仿宋_GB2312" w:hAnsi="仿宋_GB2312" w:cs="仿宋_GB2312" w:eastAsia="仿宋_GB2312"/>
                <w:sz w:val="24"/>
                <w:color w:val="000000"/>
              </w:rPr>
              <w:t>动工业数字化水平提升。</w:t>
            </w:r>
          </w:p>
          <w:p>
            <w:pPr>
              <w:pStyle w:val="null3"/>
              <w:spacing w:before="60"/>
              <w:ind w:left="210"/>
            </w:pPr>
            <w:r>
              <w:rPr>
                <w:rFonts w:ascii="仿宋_GB2312" w:hAnsi="仿宋_GB2312" w:cs="仿宋_GB2312" w:eastAsia="仿宋_GB2312"/>
                <w:sz w:val="24"/>
                <w:color w:val="000000"/>
              </w:rPr>
              <w:t>区县调度管理：针对区县数字化转型任务，构建了一套全面的工作任务调度</w:t>
            </w:r>
            <w:r>
              <w:rPr>
                <w:rFonts w:ascii="仿宋_GB2312" w:hAnsi="仿宋_GB2312" w:cs="仿宋_GB2312" w:eastAsia="仿宋_GB2312"/>
                <w:sz w:val="24"/>
                <w:color w:val="000000"/>
              </w:rPr>
              <w:t>管理解决方案，该方案通过支持任务计划的制定、任务的下发与状态管理、任务通知等关键业务节点，实现了对区县数转任务的有效监测与管理，以及数转指标</w:t>
            </w:r>
            <w:r>
              <w:rPr>
                <w:rFonts w:ascii="仿宋_GB2312" w:hAnsi="仿宋_GB2312" w:cs="仿宋_GB2312" w:eastAsia="仿宋_GB2312"/>
                <w:sz w:val="24"/>
                <w:color w:val="000000"/>
              </w:rPr>
              <w:t>和进度的跟踪反馈与预警，从而大幅提升了数转工作的执行效率和任务进度管理</w:t>
            </w:r>
            <w:r>
              <w:rPr>
                <w:rFonts w:ascii="仿宋_GB2312" w:hAnsi="仿宋_GB2312" w:cs="仿宋_GB2312" w:eastAsia="仿宋_GB2312"/>
                <w:sz w:val="24"/>
                <w:color w:val="000000"/>
              </w:rPr>
              <w:t>水平。</w:t>
            </w:r>
          </w:p>
          <w:p>
            <w:pPr>
              <w:pStyle w:val="null3"/>
              <w:spacing w:before="60"/>
              <w:ind w:left="210"/>
            </w:pPr>
            <w:r>
              <w:rPr>
                <w:rFonts w:ascii="仿宋_GB2312" w:hAnsi="仿宋_GB2312" w:cs="仿宋_GB2312" w:eastAsia="仿宋_GB2312"/>
                <w:sz w:val="24"/>
                <w:color w:val="000000"/>
              </w:rPr>
              <w:t>运营管理：建立了科学智能的运营管理系统，涵盖在线咨询、商机管理、客户管理、运营资源管理、服务过程管理、服务评价及运营分析等关键场景，以此支撑平台技术运维、数据内容运维和业务运营三大方面，形成了公益性服务、市场化运作与</w:t>
            </w:r>
            <w:r>
              <w:rPr>
                <w:rFonts w:ascii="仿宋_GB2312" w:hAnsi="仿宋_GB2312" w:cs="仿宋_GB2312" w:eastAsia="仿宋_GB2312"/>
                <w:sz w:val="24"/>
                <w:color w:val="000000"/>
              </w:rPr>
              <w:t>SaaS 平台相结合的中小企业数字化转型服务载体运营机制。</w:t>
            </w:r>
          </w:p>
          <w:p>
            <w:pPr>
              <w:pStyle w:val="null3"/>
              <w:spacing w:before="60"/>
              <w:ind w:left="210"/>
            </w:pPr>
            <w:r>
              <w:rPr>
                <w:rFonts w:ascii="仿宋_GB2312" w:hAnsi="仿宋_GB2312" w:cs="仿宋_GB2312" w:eastAsia="仿宋_GB2312"/>
                <w:sz w:val="24"/>
                <w:color w:val="000000"/>
              </w:rPr>
              <w:t>2.2 建设原则</w:t>
            </w:r>
          </w:p>
          <w:p>
            <w:pPr>
              <w:pStyle w:val="null3"/>
              <w:spacing w:before="60"/>
              <w:ind w:left="210"/>
            </w:pPr>
            <w:r>
              <w:rPr>
                <w:rFonts w:ascii="仿宋_GB2312" w:hAnsi="仿宋_GB2312" w:cs="仿宋_GB2312" w:eastAsia="仿宋_GB2312"/>
                <w:sz w:val="24"/>
                <w:color w:val="000000"/>
              </w:rPr>
              <w:t>2.2.1 需求导向原则</w:t>
            </w:r>
          </w:p>
          <w:p>
            <w:pPr>
              <w:pStyle w:val="null3"/>
              <w:spacing w:before="60"/>
              <w:ind w:left="210"/>
            </w:pPr>
            <w:r>
              <w:rPr>
                <w:rFonts w:ascii="仿宋_GB2312" w:hAnsi="仿宋_GB2312" w:cs="仿宋_GB2312" w:eastAsia="仿宋_GB2312"/>
                <w:sz w:val="24"/>
                <w:color w:val="000000"/>
              </w:rPr>
              <w:t>需求导向是项目建设的根本原则，必须首先深入了解和准确把握用户需求、</w:t>
            </w:r>
            <w:r>
              <w:rPr>
                <w:rFonts w:ascii="仿宋_GB2312" w:hAnsi="仿宋_GB2312" w:cs="仿宋_GB2312" w:eastAsia="仿宋_GB2312"/>
                <w:sz w:val="24"/>
                <w:color w:val="000000"/>
              </w:rPr>
              <w:t>市场需求或社会需求，通过调研、访谈、数据分析等手段，收集并分析用户的真实需求和期望，确保项目能够真正解决用户面临的问题，满足他们的实际需求。只有以需求为导向，才能确保项目的实用性和可持续性，避免资源浪费和无效投入。同时，建立用户反馈机制，及时收集用户在使用系统过程中的意见和建议。</w:t>
            </w:r>
            <w:r>
              <w:rPr>
                <w:rFonts w:ascii="仿宋_GB2312" w:hAnsi="仿宋_GB2312" w:cs="仿宋_GB2312" w:eastAsia="仿宋_GB2312"/>
                <w:sz w:val="24"/>
                <w:color w:val="000000"/>
              </w:rPr>
              <w:t>通过在线客服、用户论坛、问卷调查等方式，与用户保持密切沟通，了解用户的需求变化和使用体验，对用户反馈问题及时进行处理和回复。</w:t>
            </w:r>
          </w:p>
          <w:p>
            <w:pPr>
              <w:pStyle w:val="null3"/>
              <w:spacing w:before="60"/>
              <w:ind w:left="210"/>
            </w:pPr>
            <w:r>
              <w:rPr>
                <w:rFonts w:ascii="仿宋_GB2312" w:hAnsi="仿宋_GB2312" w:cs="仿宋_GB2312" w:eastAsia="仿宋_GB2312"/>
                <w:sz w:val="24"/>
                <w:color w:val="000000"/>
              </w:rPr>
              <w:t>2.2.2 规划引领原则</w:t>
            </w:r>
          </w:p>
          <w:p>
            <w:pPr>
              <w:pStyle w:val="null3"/>
              <w:spacing w:before="60"/>
              <w:ind w:left="210"/>
            </w:pPr>
            <w:r>
              <w:rPr>
                <w:rFonts w:ascii="仿宋_GB2312" w:hAnsi="仿宋_GB2312" w:cs="仿宋_GB2312" w:eastAsia="仿宋_GB2312"/>
                <w:sz w:val="24"/>
                <w:color w:val="000000"/>
              </w:rPr>
              <w:t>规划引领是指在明确需求的基础上，充分考虑数字经济产业的多样性、复杂</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性以及未来发展趋势，确保系统的架构、功能和服务能够满足数字经济运行管理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的长期需求，制定全面、细致且可行的项目规划，以确保项目能够按照既定的方向和路径有序进行。规划引领不仅为项目提供了明确的指导方针，还有助于团队在项目实施过程中保持清晰的思路和目标，从而有效应对可能出现的挑战和变化。</w:t>
            </w:r>
          </w:p>
          <w:p>
            <w:pPr>
              <w:pStyle w:val="null3"/>
              <w:spacing w:before="60"/>
              <w:ind w:left="210"/>
            </w:pPr>
            <w:r>
              <w:rPr>
                <w:rFonts w:ascii="仿宋_GB2312" w:hAnsi="仿宋_GB2312" w:cs="仿宋_GB2312" w:eastAsia="仿宋_GB2312"/>
                <w:sz w:val="24"/>
                <w:color w:val="000000"/>
              </w:rPr>
              <w:t>2.3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系统总体架构</w:t>
            </w:r>
          </w:p>
          <w:p>
            <w:pPr>
              <w:pStyle w:val="null3"/>
              <w:spacing w:before="60"/>
              <w:ind w:left="210"/>
            </w:pPr>
            <w:r>
              <w:rPr>
                <w:rFonts w:ascii="仿宋_GB2312" w:hAnsi="仿宋_GB2312" w:cs="仿宋_GB2312" w:eastAsia="仿宋_GB2312"/>
                <w:sz w:val="24"/>
                <w:color w:val="000000"/>
              </w:rPr>
              <w:t>遵循</w:t>
            </w:r>
            <w:r>
              <w:rPr>
                <w:rFonts w:ascii="仿宋_GB2312" w:hAnsi="仿宋_GB2312" w:cs="仿宋_GB2312" w:eastAsia="仿宋_GB2312"/>
                <w:sz w:val="24"/>
                <w:color w:val="000000"/>
              </w:rPr>
              <w:t>“统一标准、统一建设、统一管理 ”的理念，选用先进的技术架构以及  科学的运维模式，以业务导向、集约建设、安全可靠为基本原则，以用户为中心， 以服务为宗旨，充分整合政府信息资源，建立“六横三纵 ”（其中“六横 ”包括  基础设施层、数据资源层、支撑层、应用层、展示层、用户层，“三纵 ”分别是标准规范体系、信息安全体系、运维保障体系，为系统的规范、安全、稳定运行保驾护航）的总体架构。</w:t>
            </w:r>
          </w:p>
          <w:p>
            <w:pPr>
              <w:pStyle w:val="null3"/>
              <w:spacing w:before="60"/>
              <w:ind w:left="210"/>
            </w:pPr>
            <w:r>
              <w:rPr>
                <w:rFonts w:ascii="仿宋_GB2312" w:hAnsi="仿宋_GB2312" w:cs="仿宋_GB2312" w:eastAsia="仿宋_GB2312"/>
                <w:sz w:val="24"/>
                <w:color w:val="000000"/>
              </w:rPr>
              <w:t>1.用户层：覆盖政府部门、中小企业、服务商、专家、运营商用户。</w:t>
            </w:r>
          </w:p>
          <w:p>
            <w:pPr>
              <w:pStyle w:val="null3"/>
              <w:spacing w:before="60"/>
              <w:ind w:left="210"/>
            </w:pPr>
            <w:r>
              <w:rPr>
                <w:rFonts w:ascii="仿宋_GB2312" w:hAnsi="仿宋_GB2312" w:cs="仿宋_GB2312" w:eastAsia="仿宋_GB2312"/>
                <w:sz w:val="24"/>
                <w:color w:val="000000"/>
              </w:rPr>
              <w:t>2.应用层：由数转服务、数转全流程管理、运营管理、区县调度管理四个应用组成。</w:t>
            </w:r>
          </w:p>
          <w:p>
            <w:pPr>
              <w:pStyle w:val="null3"/>
              <w:spacing w:before="60"/>
              <w:ind w:left="210"/>
            </w:pPr>
            <w:r>
              <w:rPr>
                <w:rFonts w:ascii="仿宋_GB2312" w:hAnsi="仿宋_GB2312" w:cs="仿宋_GB2312" w:eastAsia="仿宋_GB2312"/>
                <w:sz w:val="24"/>
                <w:color w:val="000000"/>
              </w:rPr>
              <w:t>数转专项服务：为中小企业提供数字化诊断、供需对接、解决方案及项目实施的全流程服务，涵盖认证、立项、咨询至资金等关键环节，助力重点行业数字</w:t>
            </w:r>
            <w:r>
              <w:rPr>
                <w:rFonts w:ascii="仿宋_GB2312" w:hAnsi="仿宋_GB2312" w:cs="仿宋_GB2312" w:eastAsia="仿宋_GB2312"/>
                <w:sz w:val="24"/>
                <w:color w:val="000000"/>
              </w:rPr>
              <w:t>化转型。包括公告公示、企业服务、数商服务、评测服务、咨询服务。</w:t>
            </w:r>
          </w:p>
          <w:p>
            <w:pPr>
              <w:pStyle w:val="null3"/>
              <w:spacing w:before="60"/>
              <w:ind w:left="210"/>
            </w:pPr>
            <w:r>
              <w:rPr>
                <w:rFonts w:ascii="仿宋_GB2312" w:hAnsi="仿宋_GB2312" w:cs="仿宋_GB2312" w:eastAsia="仿宋_GB2312"/>
                <w:sz w:val="24"/>
                <w:color w:val="000000"/>
              </w:rPr>
              <w:t>公共服务系统：为西安市中小企业提供一站式、全方位、综合性的服务。面向企业用户，用户可以通过该系统全面了解以及掌握产业发展状况、产品市场供</w:t>
            </w:r>
            <w:r>
              <w:rPr>
                <w:rFonts w:ascii="仿宋_GB2312" w:hAnsi="仿宋_GB2312" w:cs="仿宋_GB2312" w:eastAsia="仿宋_GB2312"/>
                <w:sz w:val="24"/>
                <w:color w:val="000000"/>
              </w:rPr>
              <w:t>求等信息；基于系统汇聚、实现供需对接与资源整合。</w:t>
            </w:r>
          </w:p>
          <w:p>
            <w:pPr>
              <w:pStyle w:val="null3"/>
              <w:spacing w:before="60"/>
              <w:ind w:left="210"/>
            </w:pPr>
            <w:r>
              <w:rPr>
                <w:rFonts w:ascii="仿宋_GB2312" w:hAnsi="仿宋_GB2312" w:cs="仿宋_GB2312" w:eastAsia="仿宋_GB2312"/>
                <w:sz w:val="24"/>
                <w:color w:val="000000"/>
              </w:rPr>
              <w:t>数转全流程管理：为政府提供数字化试点管理工具与推广渠道，实现本地化</w:t>
            </w:r>
            <w:r>
              <w:rPr>
                <w:rFonts w:ascii="仿宋_GB2312" w:hAnsi="仿宋_GB2312" w:cs="仿宋_GB2312" w:eastAsia="仿宋_GB2312"/>
                <w:sz w:val="24"/>
                <w:color w:val="000000"/>
              </w:rPr>
              <w:t>部署并增加特色功能，涵盖企业与服务商遴选、项目库建设及验收等，以全面推动工业数字化水平提升。包括数字化服务商遴选、企业认证管理、项目管理、资金管理、绩效管理、产业链链式转型专项服务。</w:t>
            </w:r>
          </w:p>
          <w:p>
            <w:pPr>
              <w:pStyle w:val="null3"/>
              <w:spacing w:before="60"/>
              <w:ind w:left="210"/>
            </w:pPr>
            <w:r>
              <w:rPr>
                <w:rFonts w:ascii="仿宋_GB2312" w:hAnsi="仿宋_GB2312" w:cs="仿宋_GB2312" w:eastAsia="仿宋_GB2312"/>
                <w:sz w:val="24"/>
                <w:color w:val="000000"/>
              </w:rPr>
              <w:t>区县调度管理：与区县各级协同调度，形成市区联动的机制，共同推动中小企业的数字化转型。包含区县数转工作管理、区县数转工作台、数转工作跟踪与反馈、数转数据分析看板、区县调度管理。</w:t>
            </w:r>
          </w:p>
          <w:p>
            <w:pPr>
              <w:pStyle w:val="null3"/>
              <w:spacing w:before="60"/>
              <w:ind w:left="210"/>
            </w:pPr>
            <w:r>
              <w:rPr>
                <w:rFonts w:ascii="仿宋_GB2312" w:hAnsi="仿宋_GB2312" w:cs="仿宋_GB2312" w:eastAsia="仿宋_GB2312"/>
                <w:sz w:val="24"/>
                <w:color w:val="000000"/>
              </w:rPr>
              <w:t>运营管理：建立全面的安全防护体系和科学智能的公共服务与运营管理系统，</w:t>
            </w:r>
            <w:r>
              <w:rPr>
                <w:rFonts w:ascii="仿宋_GB2312" w:hAnsi="仿宋_GB2312" w:cs="仿宋_GB2312" w:eastAsia="仿宋_GB2312"/>
                <w:sz w:val="24"/>
                <w:color w:val="000000"/>
              </w:rPr>
              <w:t>包括在线咨询、商机管理，客户管理，运营资源管理，服务过程管理，服务评价、</w:t>
            </w:r>
            <w:r>
              <w:rPr>
                <w:rFonts w:ascii="仿宋_GB2312" w:hAnsi="仿宋_GB2312" w:cs="仿宋_GB2312" w:eastAsia="仿宋_GB2312"/>
                <w:sz w:val="24"/>
                <w:color w:val="000000"/>
              </w:rPr>
              <w:t>运营分析功能。实现系统技术运维、数据内容运维、业务运营三大支持，确保系统在技术安全、数据服务、业务服务和系统运营的有效保障。</w:t>
            </w:r>
          </w:p>
          <w:p>
            <w:pPr>
              <w:pStyle w:val="null3"/>
              <w:spacing w:before="60"/>
              <w:ind w:left="210"/>
            </w:pPr>
            <w:r>
              <w:rPr>
                <w:rFonts w:ascii="仿宋_GB2312" w:hAnsi="仿宋_GB2312" w:cs="仿宋_GB2312" w:eastAsia="仿宋_GB2312"/>
                <w:sz w:val="24"/>
                <w:color w:val="000000"/>
              </w:rPr>
              <w:t>3.支撑层：本项目公共支撑能力，包括密码资源平台、统一地址应用与服务 平台和数据共享交换平台。同时，建设中小企业数字化转型分析模型，数据处理类关联相关算法实现。</w:t>
            </w:r>
          </w:p>
          <w:p>
            <w:pPr>
              <w:pStyle w:val="null3"/>
              <w:spacing w:before="60"/>
              <w:ind w:left="210"/>
            </w:pPr>
            <w:r>
              <w:rPr>
                <w:rFonts w:ascii="仿宋_GB2312" w:hAnsi="仿宋_GB2312" w:cs="仿宋_GB2312" w:eastAsia="仿宋_GB2312"/>
                <w:sz w:val="24"/>
                <w:color w:val="000000"/>
              </w:rPr>
              <w:t>4.数据层：数据库是实现数字经济相关资源信息汇聚、分析、应用及共享的 重要组成部分。本项目充分复用数转管理数据相关能力，包括数据汇聚、数据更新、数据异常处理等能力。同时，建设数据管理主题库和专题库等数据资源库建设及数据治理。</w:t>
            </w:r>
          </w:p>
          <w:p>
            <w:pPr>
              <w:pStyle w:val="null3"/>
              <w:spacing w:before="60"/>
              <w:ind w:left="210"/>
            </w:pPr>
            <w:r>
              <w:rPr>
                <w:rFonts w:ascii="仿宋_GB2312" w:hAnsi="仿宋_GB2312" w:cs="仿宋_GB2312" w:eastAsia="仿宋_GB2312"/>
                <w:sz w:val="24"/>
                <w:color w:val="000000"/>
              </w:rPr>
              <w:t>5.基础设施层：包括计算资源、存储资源和网络资源等基础设施。</w:t>
            </w:r>
          </w:p>
          <w:p>
            <w:pPr>
              <w:pStyle w:val="null3"/>
              <w:spacing w:before="60"/>
              <w:ind w:left="210"/>
            </w:pPr>
            <w:r>
              <w:rPr>
                <w:rFonts w:ascii="仿宋_GB2312" w:hAnsi="仿宋_GB2312" w:cs="仿宋_GB2312" w:eastAsia="仿宋_GB2312"/>
                <w:sz w:val="24"/>
                <w:color w:val="000000"/>
              </w:rPr>
              <w:t>三、</w:t>
            </w:r>
            <w:r>
              <w:rPr>
                <w:rFonts w:ascii="仿宋_GB2312" w:hAnsi="仿宋_GB2312" w:cs="仿宋_GB2312" w:eastAsia="仿宋_GB2312"/>
                <w:sz w:val="24"/>
                <w:color w:val="000000"/>
              </w:rPr>
              <w:t>设计目标与原则</w:t>
            </w:r>
          </w:p>
          <w:p>
            <w:pPr>
              <w:pStyle w:val="null3"/>
              <w:spacing w:before="60"/>
              <w:ind w:left="210"/>
            </w:pPr>
            <w:r>
              <w:rPr>
                <w:rFonts w:ascii="仿宋_GB2312" w:hAnsi="仿宋_GB2312" w:cs="仿宋_GB2312" w:eastAsia="仿宋_GB2312"/>
                <w:sz w:val="24"/>
                <w:color w:val="000000"/>
              </w:rPr>
              <w:t>1.  核心目标</w:t>
            </w:r>
          </w:p>
          <w:p>
            <w:pPr>
              <w:pStyle w:val="null3"/>
              <w:spacing w:before="60"/>
              <w:ind w:left="210"/>
            </w:pPr>
            <w:r>
              <w:rPr>
                <w:rFonts w:ascii="仿宋_GB2312" w:hAnsi="仿宋_GB2312" w:cs="仿宋_GB2312" w:eastAsia="仿宋_GB2312"/>
                <w:sz w:val="24"/>
                <w:color w:val="000000"/>
              </w:rPr>
              <w:t>安全隔离：实现外网（面向公众）与内网（内部办公）的物理</w:t>
            </w:r>
            <w:r>
              <w:rPr>
                <w:rFonts w:ascii="仿宋_GB2312" w:hAnsi="仿宋_GB2312" w:cs="仿宋_GB2312" w:eastAsia="仿宋_GB2312"/>
                <w:sz w:val="24"/>
                <w:color w:val="000000"/>
              </w:rPr>
              <w:t>/ 逻辑隔离，防止数据泄露与越权访问；</w:t>
            </w:r>
          </w:p>
          <w:p>
            <w:pPr>
              <w:pStyle w:val="null3"/>
              <w:spacing w:before="60"/>
              <w:ind w:left="210"/>
            </w:pPr>
            <w:r>
              <w:rPr>
                <w:rFonts w:ascii="仿宋_GB2312" w:hAnsi="仿宋_GB2312" w:cs="仿宋_GB2312" w:eastAsia="仿宋_GB2312"/>
                <w:sz w:val="24"/>
                <w:color w:val="000000"/>
              </w:rPr>
              <w:t>业务协同：在安全可控前提下，支持内外网业务流程的无缝衔接（如外网申请、内网审批）；</w:t>
            </w:r>
          </w:p>
          <w:p>
            <w:pPr>
              <w:pStyle w:val="null3"/>
              <w:spacing w:before="60"/>
              <w:ind w:left="210"/>
            </w:pPr>
            <w:r>
              <w:rPr>
                <w:rFonts w:ascii="仿宋_GB2312" w:hAnsi="仿宋_GB2312" w:cs="仿宋_GB2312" w:eastAsia="仿宋_GB2312"/>
                <w:sz w:val="24"/>
                <w:color w:val="000000"/>
              </w:rPr>
              <w:t>用户体验统一：通过统一身份认证、界面风格与操作逻辑，确保不同网络环境下的服务一致性。</w:t>
            </w:r>
          </w:p>
          <w:p>
            <w:pPr>
              <w:pStyle w:val="null3"/>
              <w:spacing w:before="60"/>
              <w:ind w:left="210"/>
            </w:pPr>
            <w:r>
              <w:rPr>
                <w:rFonts w:ascii="仿宋_GB2312" w:hAnsi="仿宋_GB2312" w:cs="仿宋_GB2312" w:eastAsia="仿宋_GB2312"/>
                <w:sz w:val="24"/>
                <w:color w:val="000000"/>
              </w:rPr>
              <w:t>2.  设计原则</w:t>
            </w:r>
          </w:p>
          <w:p>
            <w:pPr>
              <w:pStyle w:val="null3"/>
              <w:spacing w:before="60"/>
              <w:ind w:left="210"/>
            </w:pPr>
            <w:r>
              <w:rPr>
                <w:rFonts w:ascii="仿宋_GB2312" w:hAnsi="仿宋_GB2312" w:cs="仿宋_GB2312" w:eastAsia="仿宋_GB2312"/>
                <w:sz w:val="24"/>
                <w:color w:val="000000"/>
              </w:rPr>
              <w:t>分层防护：遵循等保</w:t>
            </w:r>
            <w:r>
              <w:rPr>
                <w:rFonts w:ascii="仿宋_GB2312" w:hAnsi="仿宋_GB2312" w:cs="仿宋_GB2312" w:eastAsia="仿宋_GB2312"/>
                <w:sz w:val="24"/>
                <w:color w:val="000000"/>
              </w:rPr>
              <w:t>2.0 三级（外网）/ 四级（内网）要求，构建多层安全屏障；</w:t>
            </w:r>
          </w:p>
          <w:p>
            <w:pPr>
              <w:pStyle w:val="null3"/>
              <w:spacing w:before="60"/>
              <w:ind w:left="210"/>
            </w:pPr>
            <w:r>
              <w:rPr>
                <w:rFonts w:ascii="仿宋_GB2312" w:hAnsi="仿宋_GB2312" w:cs="仿宋_GB2312" w:eastAsia="仿宋_GB2312"/>
                <w:sz w:val="24"/>
                <w:color w:val="000000"/>
              </w:rPr>
              <w:t>数据最小化：内网向外网跨网交互仅传输必要信息，敏感数据需脱敏或加密；</w:t>
            </w:r>
          </w:p>
          <w:p>
            <w:pPr>
              <w:pStyle w:val="null3"/>
              <w:spacing w:before="60"/>
              <w:ind w:left="210"/>
            </w:pPr>
            <w:r>
              <w:rPr>
                <w:rFonts w:ascii="仿宋_GB2312" w:hAnsi="仿宋_GB2312" w:cs="仿宋_GB2312" w:eastAsia="仿宋_GB2312"/>
                <w:sz w:val="24"/>
                <w:color w:val="000000"/>
              </w:rPr>
              <w:t>国密合规：身份认证、数据传输等环节使用</w:t>
            </w:r>
            <w:r>
              <w:rPr>
                <w:rFonts w:ascii="仿宋_GB2312" w:hAnsi="仿宋_GB2312" w:cs="仿宋_GB2312" w:eastAsia="仿宋_GB2312"/>
                <w:sz w:val="24"/>
                <w:color w:val="000000"/>
              </w:rPr>
              <w:t>SM2/SM4等国密算法，符合《 GM/T 0054》标准。</w:t>
            </w:r>
          </w:p>
          <w:p>
            <w:pPr>
              <w:pStyle w:val="null3"/>
              <w:spacing w:before="60"/>
              <w:ind w:left="210"/>
            </w:pPr>
            <w:r>
              <w:rPr>
                <w:rFonts w:ascii="仿宋_GB2312" w:hAnsi="仿宋_GB2312" w:cs="仿宋_GB2312" w:eastAsia="仿宋_GB2312"/>
                <w:sz w:val="24"/>
                <w:color w:val="000000"/>
              </w:rPr>
              <w:t>二、内外网分化的逻辑架构</w:t>
            </w:r>
          </w:p>
          <w:p>
            <w:pPr>
              <w:pStyle w:val="null3"/>
              <w:spacing w:before="60"/>
              <w:ind w:left="210"/>
            </w:pPr>
            <w:r>
              <w:rPr>
                <w:rFonts w:ascii="仿宋_GB2312" w:hAnsi="仿宋_GB2312" w:cs="仿宋_GB2312" w:eastAsia="仿宋_GB2312"/>
                <w:sz w:val="24"/>
                <w:color w:val="000000"/>
              </w:rPr>
              <w:t>1.   内外网门户功能对比</w:t>
            </w:r>
          </w:p>
          <w:tbl>
            <w:tblPr>
              <w:tblInd w:type="dxa" w:w="105"/>
              <w:tblBorders>
                <w:top w:val="none" w:color="000000" w:sz="4"/>
                <w:left w:val="none" w:color="000000" w:sz="4"/>
                <w:bottom w:val="none" w:color="000000" w:sz="4"/>
                <w:right w:val="none" w:color="000000" w:sz="4"/>
                <w:insideH w:val="none"/>
                <w:insideV w:val="none"/>
              </w:tblBorders>
            </w:tblPr>
            <w:tblGrid>
              <w:gridCol w:w="851"/>
              <w:gridCol w:w="841"/>
              <w:gridCol w:w="861"/>
            </w:tblGrid>
            <w:tr>
              <w:tc>
                <w:tcPr>
                  <w:tcW w:type="dxa" w:w="8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维度</w:t>
                  </w:r>
                </w:p>
              </w:tc>
              <w:tc>
                <w:tcPr>
                  <w:tcW w:type="dxa" w:w="8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外网用户</w:t>
                  </w:r>
                </w:p>
              </w:tc>
              <w:tc>
                <w:tcPr>
                  <w:tcW w:type="dxa" w:w="8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内网门户</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用户群体</w:t>
                  </w:r>
                </w:p>
              </w:tc>
              <w:tc>
                <w:tcPr>
                  <w:tcW w:type="dxa" w:w="8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公众、企业、非涉密政务人员</w:t>
                  </w:r>
                </w:p>
              </w:tc>
              <w:tc>
                <w:tcPr>
                  <w:tcW w:type="dxa" w:w="8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公务员</w:t>
                  </w:r>
                  <w:r>
                    <w:rPr>
                      <w:rFonts w:ascii="仿宋_GB2312" w:hAnsi="仿宋_GB2312" w:cs="仿宋_GB2312" w:eastAsia="仿宋_GB2312"/>
                      <w:sz w:val="24"/>
                      <w:color w:val="000000"/>
                    </w:rPr>
                    <w:t>、涉密岗位人员</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核心功能</w:t>
                  </w:r>
                </w:p>
              </w:tc>
              <w:tc>
                <w:tcPr>
                  <w:tcW w:type="dxa" w:w="8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服务申请、信息公开查询、互动交流</w:t>
                  </w:r>
                </w:p>
              </w:tc>
              <w:tc>
                <w:tcPr>
                  <w:tcW w:type="dxa" w:w="8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rFonts w:ascii="仿宋_GB2312" w:hAnsi="仿宋_GB2312" w:cs="仿宋_GB2312" w:eastAsia="仿宋_GB2312"/>
                      <w:sz w:val="24"/>
                      <w:color w:val="000000"/>
                    </w:rPr>
                    <w:t>内部审批</w:t>
                  </w:r>
                  <w:r>
                    <w:rPr>
                      <w:rFonts w:ascii="仿宋_GB2312" w:hAnsi="仿宋_GB2312" w:cs="仿宋_GB2312" w:eastAsia="仿宋_GB2312"/>
                      <w:sz w:val="24"/>
                      <w:color w:val="000000"/>
                    </w:rPr>
                    <w:t>、涉密文件处理</w:t>
                  </w:r>
                  <w:r>
                    <w:rPr>
                      <w:rFonts w:ascii="仿宋_GB2312" w:hAnsi="仿宋_GB2312" w:cs="仿宋_GB2312" w:eastAsia="仿宋_GB2312"/>
                      <w:sz w:val="24"/>
                      <w:color w:val="000000"/>
                    </w:rPr>
                    <w:t>、决策支持</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数据范围</w:t>
                  </w:r>
                </w:p>
              </w:tc>
              <w:tc>
                <w:tcPr>
                  <w:tcW w:type="dxa" w:w="8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公开数据、脱敏申请数据</w:t>
                  </w:r>
                  <w:r>
                    <w:rPr>
                      <w:rFonts w:ascii="仿宋_GB2312" w:hAnsi="仿宋_GB2312" w:cs="仿宋_GB2312" w:eastAsia="仿宋_GB2312"/>
                      <w:sz w:val="24"/>
                      <w:color w:val="000000"/>
                    </w:rPr>
                    <w:t>、自</w:t>
                  </w:r>
                  <w:r>
                    <w:rPr>
                      <w:rFonts w:ascii="仿宋_GB2312" w:hAnsi="仿宋_GB2312" w:cs="仿宋_GB2312" w:eastAsia="仿宋_GB2312"/>
                      <w:sz w:val="24"/>
                      <w:color w:val="000000"/>
                    </w:rPr>
                    <w:t>身办理业务相关信息查看</w:t>
                  </w:r>
                </w:p>
              </w:tc>
              <w:tc>
                <w:tcPr>
                  <w:tcW w:type="dxa" w:w="8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rFonts w:ascii="仿宋_GB2312" w:hAnsi="仿宋_GB2312" w:cs="仿宋_GB2312" w:eastAsia="仿宋_GB2312"/>
                      <w:sz w:val="24"/>
                      <w:color w:val="000000"/>
                    </w:rPr>
                    <w:t>涉密数据</w:t>
                  </w:r>
                  <w:r>
                    <w:rPr>
                      <w:rFonts w:ascii="仿宋_GB2312" w:hAnsi="仿宋_GB2312" w:cs="仿宋_GB2312" w:eastAsia="仿宋_GB2312"/>
                      <w:sz w:val="24"/>
                      <w:color w:val="000000"/>
                    </w:rPr>
                    <w:t>、</w:t>
                  </w:r>
                  <w:r>
                    <w:rPr>
                      <w:rFonts w:ascii="仿宋_GB2312" w:hAnsi="仿宋_GB2312" w:cs="仿宋_GB2312" w:eastAsia="仿宋_GB2312"/>
                      <w:sz w:val="24"/>
                      <w:color w:val="000000"/>
                    </w:rPr>
                    <w:t>内部工作数据</w:t>
                  </w:r>
                </w:p>
              </w:tc>
            </w:tr>
            <w:tr>
              <w:tc>
                <w:tcPr>
                  <w:tcW w:type="dxa" w:w="8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访问方式</w:t>
                  </w:r>
                </w:p>
              </w:tc>
              <w:tc>
                <w:tcPr>
                  <w:tcW w:type="dxa" w:w="8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10"/>
                  </w:pPr>
                  <w:r>
                    <w:rPr>
                      <w:rFonts w:ascii="仿宋_GB2312" w:hAnsi="仿宋_GB2312" w:cs="仿宋_GB2312" w:eastAsia="仿宋_GB2312"/>
                      <w:sz w:val="24"/>
                      <w:color w:val="000000"/>
                    </w:rPr>
                    <w:t>互联网</w:t>
                  </w:r>
                  <w:r>
                    <w:rPr>
                      <w:rFonts w:ascii="仿宋_GB2312" w:hAnsi="仿宋_GB2312" w:cs="仿宋_GB2312" w:eastAsia="仿宋_GB2312"/>
                      <w:sz w:val="24"/>
                      <w:color w:val="000000"/>
                    </w:rPr>
                    <w:t>+身份认证</w:t>
                  </w:r>
                </w:p>
              </w:tc>
              <w:tc>
                <w:tcPr>
                  <w:tcW w:type="dxa" w:w="8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rFonts w:ascii="仿宋_GB2312" w:hAnsi="仿宋_GB2312" w:cs="仿宋_GB2312" w:eastAsia="仿宋_GB2312"/>
                      <w:sz w:val="24"/>
                      <w:color w:val="000000"/>
                    </w:rPr>
                    <w:t>政务外网</w:t>
                  </w:r>
                  <w:r>
                    <w:rPr>
                      <w:rFonts w:ascii="仿宋_GB2312" w:hAnsi="仿宋_GB2312" w:cs="仿宋_GB2312" w:eastAsia="仿宋_GB2312"/>
                      <w:sz w:val="24"/>
                      <w:color w:val="000000"/>
                    </w:rPr>
                    <w:t>+双因素认证</w:t>
                  </w:r>
                </w:p>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USB-Key +口令）</w:t>
                  </w:r>
                </w:p>
              </w:tc>
            </w:tr>
          </w:tbl>
          <w:p>
            <w:pPr>
              <w:pStyle w:val="null3"/>
              <w:spacing w:before="60"/>
              <w:ind w:left="210"/>
            </w:pPr>
            <w:r>
              <w:rPr>
                <w:rFonts w:ascii="仿宋_GB2312" w:hAnsi="仿宋_GB2312" w:cs="仿宋_GB2312" w:eastAsia="仿宋_GB2312"/>
                <w:sz w:val="24"/>
                <w:color w:val="000000"/>
              </w:rPr>
              <w:t>三、关键技术实现</w:t>
            </w:r>
          </w:p>
          <w:p>
            <w:pPr>
              <w:pStyle w:val="null3"/>
              <w:spacing w:before="60"/>
              <w:ind w:left="210"/>
            </w:pPr>
            <w:r>
              <w:rPr>
                <w:rFonts w:ascii="仿宋_GB2312" w:hAnsi="仿宋_GB2312" w:cs="仿宋_GB2312" w:eastAsia="仿宋_GB2312"/>
                <w:sz w:val="24"/>
                <w:color w:val="000000"/>
              </w:rPr>
              <w:t>1.  身份认证体系分化</w:t>
            </w:r>
          </w:p>
          <w:p>
            <w:pPr>
              <w:pStyle w:val="null3"/>
              <w:spacing w:before="60"/>
              <w:ind w:left="210"/>
            </w:pPr>
            <w:r>
              <w:rPr>
                <w:rFonts w:ascii="仿宋_GB2312" w:hAnsi="仿宋_GB2312" w:cs="仿宋_GB2312" w:eastAsia="仿宋_GB2312"/>
                <w:sz w:val="24"/>
                <w:color w:val="000000"/>
              </w:rPr>
              <w:t>外网认证流程：</w:t>
            </w:r>
          </w:p>
          <w:p>
            <w:pPr>
              <w:pStyle w:val="null3"/>
              <w:spacing w:before="60"/>
              <w:ind w:left="210"/>
            </w:pPr>
            <w:r>
              <w:rPr>
                <w:rFonts w:ascii="仿宋_GB2312" w:hAnsi="仿宋_GB2312" w:cs="仿宋_GB2312" w:eastAsia="仿宋_GB2312"/>
                <w:sz w:val="24"/>
                <w:color w:val="000000"/>
              </w:rPr>
              <w:t>用户通过国家政务服务平台统一认证入口，经身份证</w:t>
            </w:r>
            <w:r>
              <w:rPr>
                <w:rFonts w:ascii="仿宋_GB2312" w:hAnsi="仿宋_GB2312" w:cs="仿宋_GB2312" w:eastAsia="仿宋_GB2312"/>
                <w:sz w:val="24"/>
                <w:color w:val="000000"/>
              </w:rPr>
              <w:t>+ 人脸识别完成实名 认证；</w:t>
            </w:r>
          </w:p>
          <w:p>
            <w:pPr>
              <w:pStyle w:val="null3"/>
              <w:spacing w:before="60"/>
              <w:ind w:left="210"/>
            </w:pPr>
            <w:r>
              <w:rPr>
                <w:rFonts w:ascii="仿宋_GB2312" w:hAnsi="仿宋_GB2312" w:cs="仿宋_GB2312" w:eastAsia="仿宋_GB2312"/>
                <w:sz w:val="24"/>
                <w:color w:val="000000"/>
              </w:rPr>
              <w:t>系统颁发基于</w:t>
            </w:r>
            <w:r>
              <w:rPr>
                <w:rFonts w:ascii="仿宋_GB2312" w:hAnsi="仿宋_GB2312" w:cs="仿宋_GB2312" w:eastAsia="仿宋_GB2312"/>
                <w:sz w:val="24"/>
                <w:color w:val="000000"/>
              </w:rPr>
              <w:t>SM2算法的数字证书，登录时通过SM2 签名验签实现身份 鉴别，确保不可抵赖性。</w:t>
            </w:r>
          </w:p>
          <w:p>
            <w:pPr>
              <w:pStyle w:val="null3"/>
              <w:spacing w:before="60"/>
              <w:ind w:left="210"/>
            </w:pPr>
            <w:r>
              <w:rPr>
                <w:rFonts w:ascii="仿宋_GB2312" w:hAnsi="仿宋_GB2312" w:cs="仿宋_GB2312" w:eastAsia="仿宋_GB2312"/>
                <w:sz w:val="24"/>
                <w:color w:val="000000"/>
              </w:rPr>
              <w:t>内网认证强化：</w:t>
            </w:r>
          </w:p>
          <w:p>
            <w:pPr>
              <w:pStyle w:val="null3"/>
              <w:spacing w:before="60"/>
              <w:ind w:left="210"/>
            </w:pPr>
            <w:r>
              <w:rPr>
                <w:rFonts w:ascii="仿宋_GB2312" w:hAnsi="仿宋_GB2312" w:cs="仿宋_GB2312" w:eastAsia="仿宋_GB2312"/>
                <w:sz w:val="24"/>
                <w:color w:val="000000"/>
              </w:rPr>
              <w:t>采用</w:t>
            </w:r>
            <w:r>
              <w:rPr>
                <w:rFonts w:ascii="仿宋_GB2312" w:hAnsi="仿宋_GB2312" w:cs="仿宋_GB2312" w:eastAsia="仿宋_GB2312"/>
                <w:sz w:val="24"/>
                <w:color w:val="000000"/>
              </w:rPr>
              <w:t>“智能卡（含 SM2私钥）+ 动态口令（SM4-OTP）+ 指纹”三因素认证；</w:t>
            </w:r>
          </w:p>
          <w:p>
            <w:pPr>
              <w:pStyle w:val="null3"/>
              <w:spacing w:before="60"/>
              <w:ind w:left="210"/>
            </w:pPr>
            <w:r>
              <w:rPr>
                <w:rFonts w:ascii="仿宋_GB2312" w:hAnsi="仿宋_GB2312" w:cs="仿宋_GB2312" w:eastAsia="仿宋_GB2312"/>
                <w:sz w:val="24"/>
                <w:color w:val="000000"/>
              </w:rPr>
              <w:t>身份信息与终端</w:t>
            </w:r>
            <w:r>
              <w:rPr>
                <w:rFonts w:ascii="仿宋_GB2312" w:hAnsi="仿宋_GB2312" w:cs="仿宋_GB2312" w:eastAsia="仿宋_GB2312"/>
                <w:sz w:val="24"/>
                <w:color w:val="000000"/>
              </w:rPr>
              <w:t>MAC 地址、IP 地址绑定，禁止非授权设备接入。</w:t>
            </w:r>
          </w:p>
          <w:p>
            <w:pPr>
              <w:pStyle w:val="null3"/>
              <w:spacing w:before="60"/>
              <w:ind w:left="210"/>
            </w:pPr>
            <w:r>
              <w:rPr>
                <w:rFonts w:ascii="仿宋_GB2312" w:hAnsi="仿宋_GB2312" w:cs="仿宋_GB2312" w:eastAsia="仿宋_GB2312"/>
                <w:sz w:val="24"/>
                <w:color w:val="000000"/>
              </w:rPr>
              <w:t>2.  数据跨网交换机制</w:t>
            </w:r>
          </w:p>
          <w:p>
            <w:pPr>
              <w:pStyle w:val="null3"/>
              <w:spacing w:before="60"/>
              <w:ind w:left="210"/>
            </w:pPr>
            <w:r>
              <w:rPr>
                <w:rFonts w:ascii="仿宋_GB2312" w:hAnsi="仿宋_GB2312" w:cs="仿宋_GB2312" w:eastAsia="仿宋_GB2312"/>
                <w:sz w:val="24"/>
                <w:color w:val="000000"/>
              </w:rPr>
              <w:t>单向传输通道：</w:t>
            </w:r>
          </w:p>
          <w:p>
            <w:pPr>
              <w:pStyle w:val="null3"/>
              <w:spacing w:before="60"/>
              <w:ind w:left="210"/>
            </w:pPr>
            <w:r>
              <w:rPr>
                <w:rFonts w:ascii="仿宋_GB2312" w:hAnsi="仿宋_GB2312" w:cs="仿宋_GB2312" w:eastAsia="仿宋_GB2312"/>
                <w:sz w:val="24"/>
                <w:color w:val="000000"/>
              </w:rPr>
              <w:t>外网</w:t>
            </w:r>
            <w:r>
              <w:rPr>
                <w:rFonts w:ascii="仿宋_GB2312" w:hAnsi="仿宋_GB2312" w:cs="仿宋_GB2312" w:eastAsia="仿宋_GB2312"/>
                <w:sz w:val="24"/>
                <w:color w:val="000000"/>
              </w:rPr>
              <w:t>→ 内网：通过正向网闸传输，数据经格式校验、病毒扫描、敏感词过滤 （如去除 JavaScript  代码）；</w:t>
            </w:r>
          </w:p>
          <w:p>
            <w:pPr>
              <w:pStyle w:val="null3"/>
              <w:spacing w:before="60"/>
              <w:ind w:left="210"/>
            </w:pPr>
            <w:r>
              <w:rPr>
                <w:rFonts w:ascii="仿宋_GB2312" w:hAnsi="仿宋_GB2312" w:cs="仿宋_GB2312" w:eastAsia="仿宋_GB2312"/>
                <w:sz w:val="24"/>
                <w:color w:val="000000"/>
              </w:rPr>
              <w:t>内网</w:t>
            </w:r>
            <w:r>
              <w:rPr>
                <w:rFonts w:ascii="仿宋_GB2312" w:hAnsi="仿宋_GB2312" w:cs="仿宋_GB2312" w:eastAsia="仿宋_GB2312"/>
                <w:sz w:val="24"/>
                <w:color w:val="000000"/>
              </w:rPr>
              <w:t>→外网：通过反向网闸传输，仅允许静态文件（如 PDF）导出，需经保 密审查并添加数字水印（SM3  哈希校验防篡改）。</w:t>
            </w:r>
          </w:p>
          <w:p>
            <w:pPr>
              <w:pStyle w:val="null3"/>
              <w:spacing w:before="60"/>
              <w:ind w:left="210"/>
            </w:pPr>
            <w:r>
              <w:rPr>
                <w:rFonts w:ascii="仿宋_GB2312" w:hAnsi="仿宋_GB2312" w:cs="仿宋_GB2312" w:eastAsia="仿宋_GB2312"/>
                <w:sz w:val="24"/>
                <w:color w:val="000000"/>
              </w:rPr>
              <w:t>国密加密传输：</w:t>
            </w:r>
          </w:p>
          <w:p>
            <w:pPr>
              <w:pStyle w:val="null3"/>
              <w:spacing w:before="60"/>
              <w:ind w:left="210"/>
            </w:pPr>
            <w:r>
              <w:rPr>
                <w:rFonts w:ascii="仿宋_GB2312" w:hAnsi="仿宋_GB2312" w:cs="仿宋_GB2312" w:eastAsia="仿宋_GB2312"/>
                <w:sz w:val="24"/>
                <w:color w:val="000000"/>
              </w:rPr>
              <w:t>跨网数据使用</w:t>
            </w:r>
            <w:r>
              <w:rPr>
                <w:rFonts w:ascii="仿宋_GB2312" w:hAnsi="仿宋_GB2312" w:cs="仿宋_GB2312" w:eastAsia="仿宋_GB2312"/>
                <w:sz w:val="24"/>
                <w:color w:val="000000"/>
              </w:rPr>
              <w:t>SM4  算法加密，密钥由 KMS（密钥管理系统）统一管理， 每次交换后动态更新；敏感字段（如身份证号）按《信息安全技术 个人信息去标识化指南》进行脱 敏（如 “ 110101********1234”）。</w:t>
            </w:r>
          </w:p>
          <w:p>
            <w:pPr>
              <w:pStyle w:val="null3"/>
              <w:spacing w:before="60"/>
              <w:ind w:left="210"/>
            </w:pPr>
            <w:r>
              <w:rPr>
                <w:rFonts w:ascii="仿宋_GB2312" w:hAnsi="仿宋_GB2312" w:cs="仿宋_GB2312" w:eastAsia="仿宋_GB2312"/>
                <w:sz w:val="24"/>
                <w:color w:val="000000"/>
              </w:rPr>
              <w:t>四、安全防护体系</w:t>
            </w:r>
          </w:p>
          <w:p>
            <w:pPr>
              <w:pStyle w:val="null3"/>
              <w:spacing w:before="60"/>
              <w:ind w:left="210"/>
            </w:pPr>
            <w:r>
              <w:rPr>
                <w:rFonts w:ascii="仿宋_GB2312" w:hAnsi="仿宋_GB2312" w:cs="仿宋_GB2312" w:eastAsia="仿宋_GB2312"/>
                <w:sz w:val="24"/>
                <w:color w:val="000000"/>
              </w:rPr>
              <w:t>1.  网络边界安全</w:t>
            </w:r>
          </w:p>
          <w:p>
            <w:pPr>
              <w:pStyle w:val="null3"/>
              <w:spacing w:before="60"/>
              <w:ind w:left="210"/>
            </w:pPr>
            <w:r>
              <w:rPr>
                <w:rFonts w:ascii="仿宋_GB2312" w:hAnsi="仿宋_GB2312" w:cs="仿宋_GB2312" w:eastAsia="仿宋_GB2312"/>
                <w:sz w:val="24"/>
                <w:color w:val="000000"/>
              </w:rPr>
              <w:t>隔离设备部署（利用现有安全基础设施）：</w:t>
            </w:r>
          </w:p>
          <w:p>
            <w:pPr>
              <w:pStyle w:val="null3"/>
              <w:spacing w:before="60"/>
              <w:ind w:left="210"/>
            </w:pPr>
            <w:r>
              <w:rPr>
                <w:rFonts w:ascii="仿宋_GB2312" w:hAnsi="仿宋_GB2312" w:cs="仿宋_GB2312" w:eastAsia="仿宋_GB2312"/>
                <w:sz w:val="24"/>
                <w:color w:val="000000"/>
              </w:rPr>
              <w:t>内外网间部署国密认证的安全隔离与信息交换系统（如</w:t>
            </w:r>
            <w:r>
              <w:rPr>
                <w:rFonts w:ascii="仿宋_GB2312" w:hAnsi="仿宋_GB2312" w:cs="仿宋_GB2312" w:eastAsia="仿宋_GB2312"/>
                <w:sz w:val="24"/>
                <w:color w:val="000000"/>
              </w:rPr>
              <w:t>GM/T 0028 三级认 证网闸），阻断 TCP/IP  协议直接交互；</w:t>
            </w:r>
          </w:p>
          <w:p>
            <w:pPr>
              <w:pStyle w:val="null3"/>
              <w:spacing w:before="60"/>
              <w:ind w:left="210"/>
            </w:pPr>
            <w:r>
              <w:rPr>
                <w:rFonts w:ascii="仿宋_GB2312" w:hAnsi="仿宋_GB2312" w:cs="仿宋_GB2312" w:eastAsia="仿宋_GB2312"/>
                <w:sz w:val="24"/>
                <w:color w:val="000000"/>
              </w:rPr>
              <w:t>外网边界部署</w:t>
            </w:r>
            <w:r>
              <w:rPr>
                <w:rFonts w:ascii="仿宋_GB2312" w:hAnsi="仿宋_GB2312" w:cs="仿宋_GB2312" w:eastAsia="仿宋_GB2312"/>
                <w:sz w:val="24"/>
                <w:color w:val="000000"/>
              </w:rPr>
              <w:t>WAF 、抗 DDoS  设备，内网边界增设入侵检测系统（IDS） 与终端准入控制（802. 1X）。</w:t>
            </w:r>
          </w:p>
          <w:p>
            <w:pPr>
              <w:pStyle w:val="null3"/>
              <w:spacing w:before="60"/>
              <w:ind w:left="210"/>
            </w:pPr>
            <w:r>
              <w:rPr>
                <w:rFonts w:ascii="仿宋_GB2312" w:hAnsi="仿宋_GB2312" w:cs="仿宋_GB2312" w:eastAsia="仿宋_GB2312"/>
                <w:sz w:val="24"/>
                <w:color w:val="000000"/>
              </w:rPr>
              <w:t>接入控制策略（利用现有安全基础设施）：</w:t>
            </w:r>
          </w:p>
          <w:p>
            <w:pPr>
              <w:pStyle w:val="null3"/>
              <w:spacing w:before="60"/>
              <w:ind w:left="210"/>
            </w:pPr>
            <w:r>
              <w:rPr>
                <w:rFonts w:ascii="仿宋_GB2312" w:hAnsi="仿宋_GB2312" w:cs="仿宋_GB2312" w:eastAsia="仿宋_GB2312"/>
                <w:sz w:val="24"/>
                <w:color w:val="000000"/>
              </w:rPr>
              <w:t>外网移动终端访问需通过国密</w:t>
            </w:r>
            <w:r>
              <w:rPr>
                <w:rFonts w:ascii="仿宋_GB2312" w:hAnsi="仿宋_GB2312" w:cs="仿宋_GB2312" w:eastAsia="仿宋_GB2312"/>
                <w:sz w:val="24"/>
                <w:color w:val="000000"/>
              </w:rPr>
              <w:t>VPN（支持 SM2+SM4），内网终端禁止使用无线网卡；</w:t>
            </w:r>
          </w:p>
          <w:p>
            <w:pPr>
              <w:pStyle w:val="null3"/>
              <w:spacing w:before="60"/>
              <w:ind w:left="210"/>
            </w:pPr>
            <w:r>
              <w:rPr>
                <w:rFonts w:ascii="仿宋_GB2312" w:hAnsi="仿宋_GB2312" w:cs="仿宋_GB2312" w:eastAsia="仿宋_GB2312"/>
                <w:sz w:val="24"/>
                <w:color w:val="000000"/>
              </w:rPr>
              <w:t>临时接入设备需经安全检测（如病毒扫描），并限制访问权限。</w:t>
            </w:r>
          </w:p>
          <w:p>
            <w:pPr>
              <w:pStyle w:val="null3"/>
              <w:spacing w:before="60"/>
              <w:ind w:left="210"/>
            </w:pPr>
            <w:r>
              <w:rPr>
                <w:rFonts w:ascii="仿宋_GB2312" w:hAnsi="仿宋_GB2312" w:cs="仿宋_GB2312" w:eastAsia="仿宋_GB2312"/>
                <w:sz w:val="24"/>
                <w:color w:val="000000"/>
              </w:rPr>
              <w:t>2.  数据安全与审计</w:t>
            </w:r>
          </w:p>
          <w:p>
            <w:pPr>
              <w:pStyle w:val="null3"/>
              <w:spacing w:before="60"/>
              <w:ind w:left="210"/>
            </w:pPr>
            <w:r>
              <w:rPr>
                <w:rFonts w:ascii="仿宋_GB2312" w:hAnsi="仿宋_GB2312" w:cs="仿宋_GB2312" w:eastAsia="仿宋_GB2312"/>
                <w:sz w:val="24"/>
                <w:color w:val="000000"/>
              </w:rPr>
              <w:t>数据分类分级：</w:t>
            </w:r>
          </w:p>
          <w:p>
            <w:pPr>
              <w:pStyle w:val="null3"/>
              <w:spacing w:before="60"/>
              <w:ind w:left="210"/>
            </w:pPr>
            <w:r>
              <w:rPr>
                <w:rFonts w:ascii="仿宋_GB2312" w:hAnsi="仿宋_GB2312" w:cs="仿宋_GB2312" w:eastAsia="仿宋_GB2312"/>
                <w:sz w:val="24"/>
                <w:color w:val="000000"/>
              </w:rPr>
              <w:t>按《政务信息资源目录编制指南》将数据划分为</w:t>
            </w:r>
            <w:r>
              <w:rPr>
                <w:rFonts w:ascii="仿宋_GB2312" w:hAnsi="仿宋_GB2312" w:cs="仿宋_GB2312" w:eastAsia="仿宋_GB2312"/>
                <w:sz w:val="24"/>
                <w:color w:val="000000"/>
              </w:rPr>
              <w:t>“公开、内部、秘密、机密” 四级，内外网分别存储对应级别数据；</w:t>
            </w:r>
          </w:p>
          <w:p>
            <w:pPr>
              <w:pStyle w:val="null3"/>
              <w:spacing w:before="60"/>
              <w:ind w:left="210"/>
            </w:pPr>
            <w:r>
              <w:rPr>
                <w:rFonts w:ascii="仿宋_GB2312" w:hAnsi="仿宋_GB2312" w:cs="仿宋_GB2312" w:eastAsia="仿宋_GB2312"/>
                <w:sz w:val="24"/>
                <w:color w:val="000000"/>
              </w:rPr>
              <w:t>涉密数据禁止出现在外网，内部数据跨网共享需经部门负责人审批。</w:t>
            </w:r>
          </w:p>
          <w:p>
            <w:pPr>
              <w:pStyle w:val="null3"/>
              <w:spacing w:before="60"/>
              <w:ind w:left="210"/>
            </w:pPr>
            <w:r>
              <w:rPr>
                <w:rFonts w:ascii="仿宋_GB2312" w:hAnsi="仿宋_GB2312" w:cs="仿宋_GB2312" w:eastAsia="仿宋_GB2312"/>
                <w:sz w:val="24"/>
                <w:color w:val="000000"/>
              </w:rPr>
              <w:t>全链路审计追踪：</w:t>
            </w:r>
          </w:p>
          <w:p>
            <w:pPr>
              <w:pStyle w:val="null3"/>
              <w:spacing w:before="60"/>
              <w:ind w:left="210"/>
            </w:pPr>
            <w:r>
              <w:rPr>
                <w:rFonts w:ascii="仿宋_GB2312" w:hAnsi="仿宋_GB2312" w:cs="仿宋_GB2312" w:eastAsia="仿宋_GB2312"/>
                <w:sz w:val="24"/>
                <w:color w:val="000000"/>
              </w:rPr>
              <w:t>部署日志审计系统，记录内外网门户的用户操作、数据交换、系统异常等日志，保存周期</w:t>
            </w:r>
            <w:r>
              <w:rPr>
                <w:rFonts w:ascii="仿宋_GB2312" w:hAnsi="仿宋_GB2312" w:cs="仿宋_GB2312" w:eastAsia="仿宋_GB2312"/>
                <w:sz w:val="24"/>
                <w:color w:val="000000"/>
              </w:rPr>
              <w:t>≥6 个月；</w:t>
            </w:r>
          </w:p>
          <w:p>
            <w:pPr>
              <w:pStyle w:val="null3"/>
              <w:spacing w:before="60"/>
              <w:ind w:left="210"/>
            </w:pPr>
            <w:r>
              <w:rPr>
                <w:rFonts w:ascii="仿宋_GB2312" w:hAnsi="仿宋_GB2312" w:cs="仿宋_GB2312" w:eastAsia="仿宋_GB2312"/>
                <w:sz w:val="24"/>
                <w:color w:val="000000"/>
              </w:rPr>
              <w:t>关键操作（如跨网数据导出）需双人复核</w:t>
            </w:r>
            <w:r>
              <w:rPr>
                <w:rFonts w:ascii="仿宋_GB2312" w:hAnsi="仿宋_GB2312" w:cs="仿宋_GB2312" w:eastAsia="仿宋_GB2312"/>
                <w:sz w:val="24"/>
                <w:color w:val="000000"/>
              </w:rPr>
              <w:t>，</w:t>
            </w:r>
            <w:r>
              <w:rPr>
                <w:rFonts w:ascii="仿宋_GB2312" w:hAnsi="仿宋_GB2312" w:cs="仿宋_GB2312" w:eastAsia="仿宋_GB2312"/>
                <w:sz w:val="24"/>
                <w:color w:val="000000"/>
              </w:rPr>
              <w:t>审计日志通过</w:t>
            </w:r>
            <w:r>
              <w:rPr>
                <w:rFonts w:ascii="仿宋_GB2312" w:hAnsi="仿宋_GB2312" w:cs="仿宋_GB2312" w:eastAsia="仿宋_GB2312"/>
                <w:sz w:val="24"/>
                <w:color w:val="000000"/>
              </w:rPr>
              <w:t>SM3 哈希值确保不可篡改。</w:t>
            </w:r>
          </w:p>
          <w:p>
            <w:pPr>
              <w:pStyle w:val="null3"/>
              <w:spacing w:before="60"/>
              <w:ind w:left="210"/>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标准规范</w:t>
            </w:r>
          </w:p>
          <w:p>
            <w:pPr>
              <w:pStyle w:val="null3"/>
              <w:spacing w:before="60"/>
              <w:ind w:left="210"/>
            </w:pPr>
            <w:r>
              <w:rPr>
                <w:rFonts w:ascii="仿宋_GB2312" w:hAnsi="仿宋_GB2312" w:cs="仿宋_GB2312" w:eastAsia="仿宋_GB2312"/>
                <w:sz w:val="24"/>
                <w:color w:val="000000"/>
              </w:rPr>
              <w:t>《信息安全技术信息系统密码应用测评要求》（</w:t>
            </w:r>
            <w:r>
              <w:rPr>
                <w:rFonts w:ascii="仿宋_GB2312" w:hAnsi="仿宋_GB2312" w:cs="仿宋_GB2312" w:eastAsia="仿宋_GB2312"/>
                <w:sz w:val="24"/>
                <w:color w:val="000000"/>
              </w:rPr>
              <w:t>GB/T 43206-2023）；</w:t>
            </w:r>
          </w:p>
          <w:p>
            <w:pPr>
              <w:pStyle w:val="null3"/>
              <w:spacing w:before="60"/>
              <w:ind w:left="210"/>
            </w:pPr>
            <w:r>
              <w:rPr>
                <w:rFonts w:ascii="仿宋_GB2312" w:hAnsi="仿宋_GB2312" w:cs="仿宋_GB2312" w:eastAsia="仿宋_GB2312"/>
                <w:sz w:val="24"/>
                <w:color w:val="000000"/>
              </w:rPr>
              <w:t>《信息系统密码应用基本要求》（</w:t>
            </w:r>
            <w:r>
              <w:rPr>
                <w:rFonts w:ascii="仿宋_GB2312" w:hAnsi="仿宋_GB2312" w:cs="仿宋_GB2312" w:eastAsia="仿宋_GB2312"/>
                <w:sz w:val="24"/>
                <w:color w:val="000000"/>
              </w:rPr>
              <w:t>GB/T 39786-2021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《信息技术大数据技术参考模型》（</w:t>
            </w:r>
            <w:r>
              <w:rPr>
                <w:rFonts w:ascii="仿宋_GB2312" w:hAnsi="仿宋_GB2312" w:cs="仿宋_GB2312" w:eastAsia="仿宋_GB2312"/>
                <w:sz w:val="24"/>
                <w:color w:val="000000"/>
              </w:rPr>
              <w:t>GB/T 35589-2017）；</w:t>
            </w:r>
          </w:p>
          <w:p>
            <w:pPr>
              <w:pStyle w:val="null3"/>
              <w:spacing w:before="60"/>
              <w:ind w:left="210"/>
            </w:pPr>
            <w:r>
              <w:rPr>
                <w:rFonts w:ascii="仿宋_GB2312" w:hAnsi="仿宋_GB2312" w:cs="仿宋_GB2312" w:eastAsia="仿宋_GB2312"/>
                <w:sz w:val="24"/>
                <w:color w:val="000000"/>
              </w:rPr>
              <w:t>《系统与软件工程系统与软件质量要求和评价》（</w:t>
            </w:r>
            <w:r>
              <w:rPr>
                <w:rFonts w:ascii="仿宋_GB2312" w:hAnsi="仿宋_GB2312" w:cs="仿宋_GB2312" w:eastAsia="仿宋_GB2312"/>
                <w:sz w:val="24"/>
                <w:color w:val="000000"/>
              </w:rPr>
              <w:t>GB/T 25000-2016）</w:t>
            </w:r>
          </w:p>
          <w:p>
            <w:pPr>
              <w:pStyle w:val="null3"/>
              <w:spacing w:before="60"/>
              <w:ind w:left="210"/>
            </w:pPr>
            <w:r>
              <w:rPr>
                <w:rFonts w:ascii="仿宋_GB2312" w:hAnsi="仿宋_GB2312" w:cs="仿宋_GB2312" w:eastAsia="仿宋_GB2312"/>
                <w:sz w:val="24"/>
                <w:color w:val="000000"/>
              </w:rPr>
              <w:t>《信息安全技术网络安全等级保护定级指南》（</w:t>
            </w:r>
            <w:r>
              <w:rPr>
                <w:rFonts w:ascii="仿宋_GB2312" w:hAnsi="仿宋_GB2312" w:cs="仿宋_GB2312" w:eastAsia="仿宋_GB2312"/>
                <w:sz w:val="24"/>
                <w:color w:val="000000"/>
              </w:rPr>
              <w:t>GB/T22240-2020）；</w:t>
            </w:r>
          </w:p>
          <w:p>
            <w:pPr>
              <w:pStyle w:val="null3"/>
              <w:spacing w:before="60"/>
              <w:ind w:left="210"/>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政务信息共享</w:t>
            </w:r>
            <w:r>
              <w:rPr>
                <w:rFonts w:ascii="仿宋_GB2312" w:hAnsi="仿宋_GB2312" w:cs="仿宋_GB2312" w:eastAsia="仿宋_GB2312"/>
                <w:sz w:val="24"/>
                <w:color w:val="000000"/>
              </w:rPr>
              <w:t>数据安全技术要求》</w:t>
            </w:r>
            <w:r>
              <w:rPr>
                <w:rFonts w:ascii="仿宋_GB2312" w:hAnsi="仿宋_GB2312" w:cs="仿宋_GB2312" w:eastAsia="仿宋_GB2312"/>
                <w:sz w:val="24"/>
                <w:color w:val="000000"/>
              </w:rPr>
              <w:t>(GB/T39477-2020)；</w:t>
            </w:r>
          </w:p>
          <w:p>
            <w:pPr>
              <w:pStyle w:val="null3"/>
              <w:spacing w:before="60"/>
              <w:ind w:left="210"/>
            </w:pPr>
            <w:r>
              <w:rPr>
                <w:rFonts w:ascii="仿宋_GB2312" w:hAnsi="仿宋_GB2312" w:cs="仿宋_GB2312" w:eastAsia="仿宋_GB2312"/>
                <w:sz w:val="24"/>
                <w:color w:val="000000"/>
              </w:rPr>
              <w:t>《电子政务数据资源开放数据管理规范》（</w:t>
            </w:r>
            <w:r>
              <w:rPr>
                <w:rFonts w:ascii="仿宋_GB2312" w:hAnsi="仿宋_GB2312" w:cs="仿宋_GB2312" w:eastAsia="仿宋_GB2312"/>
                <w:sz w:val="24"/>
                <w:color w:val="000000"/>
              </w:rPr>
              <w:t>DB44/T 2111-2018）；</w:t>
            </w:r>
          </w:p>
          <w:p>
            <w:pPr>
              <w:pStyle w:val="null3"/>
              <w:spacing w:before="60"/>
              <w:ind w:left="210"/>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证书认证系统密码及其相关安全技术规范》</w:t>
            </w:r>
            <w:r>
              <w:rPr>
                <w:rFonts w:ascii="仿宋_GB2312" w:hAnsi="仿宋_GB2312" w:cs="仿宋_GB2312" w:eastAsia="仿宋_GB2312"/>
                <w:sz w:val="24"/>
                <w:color w:val="000000"/>
              </w:rPr>
              <w:t>（</w:t>
            </w:r>
            <w:r>
              <w:rPr>
                <w:rFonts w:ascii="仿宋_GB2312" w:hAnsi="仿宋_GB2312" w:cs="仿宋_GB2312" w:eastAsia="仿宋_GB2312"/>
                <w:sz w:val="24"/>
                <w:color w:val="000000"/>
              </w:rPr>
              <w:t>GB/T 25056-2018）；</w:t>
            </w:r>
          </w:p>
          <w:p>
            <w:pPr>
              <w:pStyle w:val="null3"/>
              <w:spacing w:before="60"/>
              <w:ind w:left="210"/>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数据库管理系统安全技术要求》（</w:t>
            </w:r>
            <w:r>
              <w:rPr>
                <w:rFonts w:ascii="仿宋_GB2312" w:hAnsi="仿宋_GB2312" w:cs="仿宋_GB2312" w:eastAsia="仿宋_GB2312"/>
                <w:sz w:val="24"/>
                <w:color w:val="000000"/>
              </w:rPr>
              <w:t>GB/T20273-2019）；</w:t>
            </w:r>
          </w:p>
          <w:p>
            <w:pPr>
              <w:pStyle w:val="null3"/>
              <w:spacing w:before="60"/>
              <w:ind w:left="210"/>
            </w:pPr>
            <w:r>
              <w:rPr>
                <w:rFonts w:ascii="仿宋_GB2312" w:hAnsi="仿宋_GB2312" w:cs="仿宋_GB2312" w:eastAsia="仿宋_GB2312"/>
                <w:sz w:val="24"/>
                <w:color w:val="000000"/>
              </w:rPr>
              <w:t>《电子政务标准化指南第</w:t>
            </w:r>
            <w:r>
              <w:rPr>
                <w:rFonts w:ascii="仿宋_GB2312" w:hAnsi="仿宋_GB2312" w:cs="仿宋_GB2312" w:eastAsia="仿宋_GB2312"/>
                <w:sz w:val="24"/>
                <w:color w:val="000000"/>
              </w:rPr>
              <w:t>1 部分：总则》（GB/T 30850. 1-2014）；</w:t>
            </w:r>
          </w:p>
          <w:p>
            <w:pPr>
              <w:pStyle w:val="null3"/>
              <w:spacing w:before="60"/>
              <w:ind w:left="210"/>
            </w:pPr>
            <w:r>
              <w:rPr>
                <w:rFonts w:ascii="仿宋_GB2312" w:hAnsi="仿宋_GB2312" w:cs="仿宋_GB2312" w:eastAsia="仿宋_GB2312"/>
                <w:sz w:val="24"/>
                <w:color w:val="000000"/>
              </w:rPr>
              <w:t>《电子政务标准化指南第</w:t>
            </w:r>
            <w:r>
              <w:rPr>
                <w:rFonts w:ascii="仿宋_GB2312" w:hAnsi="仿宋_GB2312" w:cs="仿宋_GB2312" w:eastAsia="仿宋_GB2312"/>
                <w:sz w:val="24"/>
                <w:color w:val="000000"/>
              </w:rPr>
              <w:t>4 部分：信息共享》（GB/T 30850.4-2017）；</w:t>
            </w:r>
          </w:p>
          <w:p>
            <w:pPr>
              <w:pStyle w:val="null3"/>
              <w:spacing w:before="60"/>
              <w:ind w:left="210"/>
            </w:pPr>
            <w:r>
              <w:rPr>
                <w:rFonts w:ascii="仿宋_GB2312" w:hAnsi="仿宋_GB2312" w:cs="仿宋_GB2312" w:eastAsia="仿宋_GB2312"/>
                <w:sz w:val="24"/>
                <w:color w:val="000000"/>
              </w:rPr>
              <w:t>《电子政务标准化指南第</w:t>
            </w:r>
            <w:r>
              <w:rPr>
                <w:rFonts w:ascii="仿宋_GB2312" w:hAnsi="仿宋_GB2312" w:cs="仿宋_GB2312" w:eastAsia="仿宋_GB2312"/>
                <w:sz w:val="24"/>
                <w:color w:val="000000"/>
              </w:rPr>
              <w:t>5 部分：支撑技术》（GB/T 30850.5-2014）；</w:t>
            </w:r>
          </w:p>
          <w:p>
            <w:pPr>
              <w:pStyle w:val="null3"/>
              <w:spacing w:before="60"/>
              <w:ind w:left="210"/>
            </w:pPr>
            <w:r>
              <w:rPr>
                <w:rFonts w:ascii="仿宋_GB2312" w:hAnsi="仿宋_GB2312" w:cs="仿宋_GB2312" w:eastAsia="仿宋_GB2312"/>
                <w:sz w:val="24"/>
                <w:color w:val="000000"/>
              </w:rPr>
              <w:t>《信息安全技术</w:t>
            </w:r>
            <w:r>
              <w:rPr>
                <w:rFonts w:ascii="仿宋_GB2312" w:hAnsi="仿宋_GB2312" w:cs="仿宋_GB2312" w:eastAsia="仿宋_GB2312"/>
                <w:sz w:val="24"/>
                <w:color w:val="000000"/>
              </w:rPr>
              <w:t>操作系统安全技术要求》（</w:t>
            </w:r>
            <w:r>
              <w:rPr>
                <w:rFonts w:ascii="仿宋_GB2312" w:hAnsi="仿宋_GB2312" w:cs="仿宋_GB2312" w:eastAsia="仿宋_GB2312"/>
                <w:sz w:val="24"/>
                <w:color w:val="000000"/>
              </w:rPr>
              <w:t>GB/T20272-2019）；</w:t>
            </w:r>
          </w:p>
          <w:p>
            <w:pPr>
              <w:pStyle w:val="null3"/>
              <w:spacing w:before="60"/>
              <w:ind w:left="210"/>
            </w:pPr>
            <w:r>
              <w:rPr>
                <w:rFonts w:ascii="仿宋_GB2312" w:hAnsi="仿宋_GB2312" w:cs="仿宋_GB2312" w:eastAsia="仿宋_GB2312"/>
                <w:sz w:val="24"/>
                <w:color w:val="000000"/>
              </w:rPr>
              <w:t>《信息安全技术电子文件密码应用指南》</w:t>
            </w:r>
            <w:r>
              <w:rPr>
                <w:rFonts w:ascii="仿宋_GB2312" w:hAnsi="仿宋_GB2312" w:cs="仿宋_GB2312" w:eastAsia="仿宋_GB2312"/>
                <w:sz w:val="24"/>
                <w:color w:val="000000"/>
              </w:rPr>
              <w:t>(GB/T38556-2020)；</w:t>
            </w:r>
          </w:p>
          <w:p>
            <w:pPr>
              <w:pStyle w:val="null3"/>
              <w:spacing w:before="60"/>
              <w:ind w:left="210"/>
            </w:pPr>
            <w:r>
              <w:rPr>
                <w:rFonts w:ascii="仿宋_GB2312" w:hAnsi="仿宋_GB2312" w:cs="仿宋_GB2312" w:eastAsia="仿宋_GB2312"/>
                <w:sz w:val="24"/>
                <w:color w:val="000000"/>
              </w:rPr>
              <w:t>《计算机软件质量保证计划规范》（</w:t>
            </w:r>
            <w:r>
              <w:rPr>
                <w:rFonts w:ascii="仿宋_GB2312" w:hAnsi="仿宋_GB2312" w:cs="仿宋_GB2312" w:eastAsia="仿宋_GB2312"/>
                <w:sz w:val="24"/>
                <w:color w:val="000000"/>
              </w:rPr>
              <w:t>GB/T 12504-90）；</w:t>
            </w:r>
          </w:p>
          <w:p>
            <w:pPr>
              <w:pStyle w:val="null3"/>
              <w:spacing w:before="60"/>
              <w:ind w:left="210"/>
            </w:pPr>
            <w:r>
              <w:rPr>
                <w:rFonts w:ascii="仿宋_GB2312" w:hAnsi="仿宋_GB2312" w:cs="仿宋_GB2312" w:eastAsia="仿宋_GB2312"/>
                <w:sz w:val="24"/>
                <w:color w:val="000000"/>
              </w:rPr>
              <w:t>《信息技术安全技术信息技术安全性评估准则》（</w:t>
            </w:r>
            <w:r>
              <w:rPr>
                <w:rFonts w:ascii="仿宋_GB2312" w:hAnsi="仿宋_GB2312" w:cs="仿宋_GB2312" w:eastAsia="仿宋_GB2312"/>
                <w:sz w:val="24"/>
                <w:color w:val="000000"/>
              </w:rPr>
              <w:t>GB/T 18336-2001）；</w:t>
            </w:r>
          </w:p>
          <w:p>
            <w:pPr>
              <w:pStyle w:val="null3"/>
              <w:spacing w:before="60"/>
              <w:ind w:left="210"/>
            </w:pPr>
            <w:r>
              <w:rPr>
                <w:rFonts w:ascii="仿宋_GB2312" w:hAnsi="仿宋_GB2312" w:cs="仿宋_GB2312" w:eastAsia="仿宋_GB2312"/>
                <w:sz w:val="24"/>
                <w:color w:val="000000"/>
              </w:rPr>
              <w:t>《信息技术开放系统互联高层安全模型》（</w:t>
            </w:r>
            <w:r>
              <w:rPr>
                <w:rFonts w:ascii="仿宋_GB2312" w:hAnsi="仿宋_GB2312" w:cs="仿宋_GB2312" w:eastAsia="仿宋_GB2312"/>
                <w:sz w:val="24"/>
                <w:color w:val="000000"/>
              </w:rPr>
              <w:t>GB/T 17965-2000）；</w:t>
            </w:r>
          </w:p>
          <w:p>
            <w:pPr>
              <w:pStyle w:val="null3"/>
              <w:spacing w:before="60"/>
              <w:ind w:left="210"/>
            </w:pPr>
            <w:r>
              <w:rPr>
                <w:rFonts w:ascii="仿宋_GB2312" w:hAnsi="仿宋_GB2312" w:cs="仿宋_GB2312" w:eastAsia="仿宋_GB2312"/>
                <w:sz w:val="24"/>
                <w:color w:val="000000"/>
              </w:rPr>
              <w:t>《信息技术开放系统互联基本参考模型》（</w:t>
            </w:r>
            <w:r>
              <w:rPr>
                <w:rFonts w:ascii="仿宋_GB2312" w:hAnsi="仿宋_GB2312" w:cs="仿宋_GB2312" w:eastAsia="仿宋_GB2312"/>
                <w:sz w:val="24"/>
                <w:color w:val="000000"/>
              </w:rPr>
              <w:t>GB/T 9387）；</w:t>
            </w:r>
          </w:p>
          <w:p>
            <w:pPr>
              <w:pStyle w:val="null3"/>
              <w:spacing w:before="60"/>
              <w:ind w:left="210"/>
            </w:pPr>
            <w:r>
              <w:rPr>
                <w:rFonts w:ascii="仿宋_GB2312" w:hAnsi="仿宋_GB2312" w:cs="仿宋_GB2312" w:eastAsia="仿宋_GB2312"/>
                <w:sz w:val="24"/>
                <w:color w:val="000000"/>
              </w:rPr>
              <w:t>《信息技术开放系统互联应用层结构》（</w:t>
            </w:r>
            <w:r>
              <w:rPr>
                <w:rFonts w:ascii="仿宋_GB2312" w:hAnsi="仿宋_GB2312" w:cs="仿宋_GB2312" w:eastAsia="仿宋_GB2312"/>
                <w:sz w:val="24"/>
                <w:color w:val="000000"/>
              </w:rPr>
              <w:t>GB/T 17176-1997）；</w:t>
            </w:r>
          </w:p>
          <w:p>
            <w:pPr>
              <w:pStyle w:val="null3"/>
              <w:spacing w:before="60"/>
              <w:ind w:left="210"/>
            </w:pPr>
            <w:r>
              <w:rPr>
                <w:rFonts w:ascii="仿宋_GB2312" w:hAnsi="仿宋_GB2312" w:cs="仿宋_GB2312" w:eastAsia="仿宋_GB2312"/>
                <w:sz w:val="24"/>
                <w:color w:val="000000"/>
              </w:rPr>
              <w:t>《信息技术开放系统互联开放系统安全框架》（</w:t>
            </w:r>
            <w:r>
              <w:rPr>
                <w:rFonts w:ascii="仿宋_GB2312" w:hAnsi="仿宋_GB2312" w:cs="仿宋_GB2312" w:eastAsia="仿宋_GB2312"/>
                <w:sz w:val="24"/>
                <w:color w:val="000000"/>
              </w:rPr>
              <w:t>GB/T 18794）；</w:t>
            </w:r>
          </w:p>
          <w:p>
            <w:pPr>
              <w:pStyle w:val="null3"/>
              <w:spacing w:before="60"/>
              <w:ind w:left="210"/>
            </w:pPr>
            <w:r>
              <w:rPr>
                <w:rFonts w:ascii="仿宋_GB2312" w:hAnsi="仿宋_GB2312" w:cs="仿宋_GB2312" w:eastAsia="仿宋_GB2312"/>
                <w:sz w:val="24"/>
                <w:color w:val="000000"/>
              </w:rPr>
              <w:t>《信息技术开放系统互联通用高层安全》（</w:t>
            </w:r>
            <w:r>
              <w:rPr>
                <w:rFonts w:ascii="仿宋_GB2312" w:hAnsi="仿宋_GB2312" w:cs="仿宋_GB2312" w:eastAsia="仿宋_GB2312"/>
                <w:sz w:val="24"/>
                <w:color w:val="000000"/>
              </w:rPr>
              <w:t>GB/T 18237）；</w:t>
            </w:r>
          </w:p>
          <w:p>
            <w:pPr>
              <w:pStyle w:val="null3"/>
              <w:spacing w:before="60"/>
              <w:ind w:left="210"/>
            </w:pPr>
            <w:r>
              <w:rPr>
                <w:rFonts w:ascii="仿宋_GB2312" w:hAnsi="仿宋_GB2312" w:cs="仿宋_GB2312" w:eastAsia="仿宋_GB2312"/>
                <w:sz w:val="24"/>
                <w:color w:val="000000"/>
              </w:rPr>
              <w:t>《计算机软件开发规范》（</w:t>
            </w:r>
            <w:r>
              <w:rPr>
                <w:rFonts w:ascii="仿宋_GB2312" w:hAnsi="仿宋_GB2312" w:cs="仿宋_GB2312" w:eastAsia="仿宋_GB2312"/>
                <w:sz w:val="24"/>
                <w:color w:val="000000"/>
              </w:rPr>
              <w:t>GB 8566-1995）；</w:t>
            </w:r>
          </w:p>
          <w:p>
            <w:pPr>
              <w:pStyle w:val="null3"/>
              <w:spacing w:before="60"/>
              <w:ind w:left="210"/>
            </w:pPr>
            <w:r>
              <w:rPr>
                <w:rFonts w:ascii="仿宋_GB2312" w:hAnsi="仿宋_GB2312" w:cs="仿宋_GB2312" w:eastAsia="仿宋_GB2312"/>
                <w:sz w:val="24"/>
                <w:color w:val="000000"/>
              </w:rPr>
              <w:t>《计算机软件文档编制规范》（</w:t>
            </w:r>
            <w:r>
              <w:rPr>
                <w:rFonts w:ascii="仿宋_GB2312" w:hAnsi="仿宋_GB2312" w:cs="仿宋_GB2312" w:eastAsia="仿宋_GB2312"/>
                <w:sz w:val="24"/>
                <w:color w:val="000000"/>
              </w:rPr>
              <w:t>GB/T 8567-2006）；</w:t>
            </w:r>
          </w:p>
          <w:p>
            <w:pPr>
              <w:pStyle w:val="null3"/>
              <w:spacing w:before="60"/>
              <w:ind w:left="210"/>
            </w:pPr>
            <w:r>
              <w:rPr>
                <w:rFonts w:ascii="仿宋_GB2312" w:hAnsi="仿宋_GB2312" w:cs="仿宋_GB2312" w:eastAsia="仿宋_GB2312"/>
                <w:sz w:val="24"/>
                <w:color w:val="000000"/>
              </w:rPr>
              <w:t>《计算机软件需求规格说明规范》（</w:t>
            </w:r>
            <w:r>
              <w:rPr>
                <w:rFonts w:ascii="仿宋_GB2312" w:hAnsi="仿宋_GB2312" w:cs="仿宋_GB2312" w:eastAsia="仿宋_GB2312"/>
                <w:sz w:val="24"/>
                <w:color w:val="000000"/>
              </w:rPr>
              <w:t>GB/T 9385-2008）；</w:t>
            </w:r>
          </w:p>
          <w:p>
            <w:pPr>
              <w:pStyle w:val="null3"/>
              <w:spacing w:before="60"/>
              <w:ind w:left="210"/>
            </w:pPr>
            <w:r>
              <w:rPr>
                <w:rFonts w:ascii="仿宋_GB2312" w:hAnsi="仿宋_GB2312" w:cs="仿宋_GB2312" w:eastAsia="仿宋_GB2312"/>
                <w:sz w:val="24"/>
                <w:color w:val="000000"/>
              </w:rPr>
              <w:t>《计算机软件测试文件编制规范》（</w:t>
            </w:r>
            <w:r>
              <w:rPr>
                <w:rFonts w:ascii="仿宋_GB2312" w:hAnsi="仿宋_GB2312" w:cs="仿宋_GB2312" w:eastAsia="仿宋_GB2312"/>
                <w:sz w:val="24"/>
                <w:color w:val="000000"/>
              </w:rPr>
              <w:t>GB/T 9386-2008）；</w:t>
            </w:r>
          </w:p>
          <w:p>
            <w:pPr>
              <w:pStyle w:val="null3"/>
              <w:spacing w:before="60"/>
              <w:ind w:left="210"/>
            </w:pPr>
            <w:r>
              <w:rPr>
                <w:rFonts w:ascii="仿宋_GB2312" w:hAnsi="仿宋_GB2312" w:cs="仿宋_GB2312" w:eastAsia="仿宋_GB2312"/>
                <w:sz w:val="24"/>
                <w:color w:val="000000"/>
              </w:rPr>
              <w:t>《计算机软件可靠性和可维护性管理》（</w:t>
            </w:r>
            <w:r>
              <w:rPr>
                <w:rFonts w:ascii="仿宋_GB2312" w:hAnsi="仿宋_GB2312" w:cs="仿宋_GB2312" w:eastAsia="仿宋_GB2312"/>
                <w:sz w:val="24"/>
                <w:color w:val="000000"/>
              </w:rPr>
              <w:t>GB/T 14394-2008）；</w:t>
            </w:r>
          </w:p>
          <w:p>
            <w:pPr>
              <w:pStyle w:val="null3"/>
              <w:spacing w:before="60"/>
              <w:ind w:left="210"/>
            </w:pPr>
            <w:r>
              <w:rPr>
                <w:rFonts w:ascii="仿宋_GB2312" w:hAnsi="仿宋_GB2312" w:cs="仿宋_GB2312" w:eastAsia="仿宋_GB2312"/>
                <w:sz w:val="24"/>
                <w:color w:val="000000"/>
              </w:rPr>
              <w:t>《计算机软件测试规范》（</w:t>
            </w:r>
            <w:r>
              <w:rPr>
                <w:rFonts w:ascii="仿宋_GB2312" w:hAnsi="仿宋_GB2312" w:cs="仿宋_GB2312" w:eastAsia="仿宋_GB2312"/>
                <w:sz w:val="24"/>
                <w:color w:val="000000"/>
              </w:rPr>
              <w:t>GB/T 15532-2008）；</w:t>
            </w:r>
          </w:p>
          <w:p>
            <w:pPr>
              <w:pStyle w:val="null3"/>
              <w:spacing w:before="60"/>
              <w:ind w:left="210"/>
            </w:pPr>
            <w:r>
              <w:rPr>
                <w:rFonts w:ascii="仿宋_GB2312" w:hAnsi="仿宋_GB2312" w:cs="仿宋_GB2312" w:eastAsia="仿宋_GB2312"/>
                <w:sz w:val="24"/>
                <w:color w:val="000000"/>
              </w:rPr>
              <w:t>《信息技术</w:t>
            </w:r>
            <w:r>
              <w:rPr>
                <w:rFonts w:ascii="仿宋_GB2312" w:hAnsi="仿宋_GB2312" w:cs="仿宋_GB2312" w:eastAsia="仿宋_GB2312"/>
                <w:sz w:val="24"/>
                <w:color w:val="000000"/>
              </w:rPr>
              <w:t>软件生存周期过程》（</w:t>
            </w:r>
            <w:r>
              <w:rPr>
                <w:rFonts w:ascii="仿宋_GB2312" w:hAnsi="仿宋_GB2312" w:cs="仿宋_GB2312" w:eastAsia="仿宋_GB2312"/>
                <w:sz w:val="24"/>
                <w:color w:val="000000"/>
              </w:rPr>
              <w:t>GB/T 8566-2007）；</w:t>
            </w:r>
          </w:p>
          <w:p>
            <w:pPr>
              <w:pStyle w:val="null3"/>
              <w:spacing w:before="60"/>
              <w:ind w:left="210"/>
            </w:pPr>
            <w:r>
              <w:rPr>
                <w:rFonts w:ascii="仿宋_GB2312" w:hAnsi="仿宋_GB2312" w:cs="仿宋_GB2312" w:eastAsia="仿宋_GB2312"/>
                <w:sz w:val="24"/>
                <w:color w:val="000000"/>
              </w:rPr>
              <w:t>五、服务技术要求</w:t>
            </w:r>
          </w:p>
          <w:p>
            <w:pPr>
              <w:pStyle w:val="null3"/>
              <w:spacing w:before="60"/>
              <w:ind w:left="210"/>
            </w:pPr>
            <w:r>
              <w:rPr>
                <w:rFonts w:ascii="仿宋_GB2312" w:hAnsi="仿宋_GB2312" w:cs="仿宋_GB2312" w:eastAsia="仿宋_GB2312"/>
                <w:sz w:val="24"/>
                <w:color w:val="000000"/>
              </w:rPr>
              <w:t>总体技术要求</w:t>
            </w:r>
          </w:p>
          <w:p>
            <w:pPr>
              <w:pStyle w:val="null3"/>
              <w:spacing w:before="60"/>
              <w:ind w:left="210"/>
            </w:pPr>
            <w:r>
              <w:rPr>
                <w:rFonts w:ascii="仿宋_GB2312" w:hAnsi="仿宋_GB2312" w:cs="仿宋_GB2312" w:eastAsia="仿宋_GB2312"/>
                <w:sz w:val="24"/>
                <w:color w:val="000000"/>
              </w:rPr>
              <w:t>本项目建设应遵循国家以及本项目相关的总体技术要求，包括但不限于以下内容。</w:t>
            </w:r>
          </w:p>
          <w:p>
            <w:pPr>
              <w:pStyle w:val="null3"/>
              <w:spacing w:before="60"/>
              <w:ind w:left="210"/>
            </w:pPr>
            <w:r>
              <w:rPr>
                <w:rFonts w:ascii="仿宋_GB2312" w:hAnsi="仿宋_GB2312" w:cs="仿宋_GB2312" w:eastAsia="仿宋_GB2312"/>
                <w:sz w:val="24"/>
                <w:color w:val="000000"/>
              </w:rPr>
              <w:t>1.方案要从根本上保障整个平台架构的优良，从系统架构上保证整个系统的先进性、实用性、开放性、可扩展性、安全性、隔离性、可靠性、可维护性。</w:t>
            </w:r>
          </w:p>
          <w:p>
            <w:pPr>
              <w:pStyle w:val="null3"/>
              <w:spacing w:before="60"/>
              <w:ind w:left="210"/>
            </w:pPr>
            <w:r>
              <w:rPr>
                <w:rFonts w:ascii="仿宋_GB2312" w:hAnsi="仿宋_GB2312" w:cs="仿宋_GB2312" w:eastAsia="仿宋_GB2312"/>
                <w:sz w:val="24"/>
                <w:color w:val="000000"/>
              </w:rPr>
              <w:t>2.详细描述所采用的技术路线和系统架构（逻辑架构、功能架构、技术架构及部署架构），以及满足用户需求所采用的模块、相关软件包和实施、开发、集成技术。</w:t>
            </w:r>
          </w:p>
          <w:p>
            <w:pPr>
              <w:pStyle w:val="null3"/>
              <w:spacing w:before="60"/>
              <w:ind w:left="210"/>
            </w:pPr>
            <w:r>
              <w:rPr>
                <w:rFonts w:ascii="仿宋_GB2312" w:hAnsi="仿宋_GB2312" w:cs="仿宋_GB2312" w:eastAsia="仿宋_GB2312"/>
                <w:sz w:val="24"/>
                <w:color w:val="000000"/>
              </w:rPr>
              <w:t>3.系统支持主流的中间件、关系型数据库、服务器等，兼容常见的浏览器等各个版本的桌面软件。</w:t>
            </w:r>
          </w:p>
          <w:p>
            <w:pPr>
              <w:pStyle w:val="null3"/>
              <w:spacing w:before="60"/>
              <w:ind w:left="210"/>
            </w:pPr>
            <w:r>
              <w:rPr>
                <w:rFonts w:ascii="仿宋_GB2312" w:hAnsi="仿宋_GB2312" w:cs="仿宋_GB2312" w:eastAsia="仿宋_GB2312"/>
                <w:sz w:val="24"/>
                <w:color w:val="000000"/>
              </w:rPr>
              <w:t>4.国产化要求，本平台需按照国产化开发要求，建设所采用的基础开发平台需具备国产化服务器、操作系统、处理器的兼容性。</w:t>
            </w:r>
          </w:p>
          <w:p>
            <w:pPr>
              <w:pStyle w:val="null3"/>
              <w:spacing w:before="60"/>
              <w:ind w:left="210"/>
            </w:pPr>
            <w:r>
              <w:rPr>
                <w:rFonts w:ascii="仿宋_GB2312" w:hAnsi="仿宋_GB2312" w:cs="仿宋_GB2312" w:eastAsia="仿宋_GB2312"/>
                <w:sz w:val="24"/>
                <w:color w:val="000000"/>
              </w:rPr>
              <w:t>系统安全性要求</w:t>
            </w:r>
          </w:p>
          <w:p>
            <w:pPr>
              <w:pStyle w:val="null3"/>
              <w:spacing w:before="60"/>
              <w:ind w:left="210"/>
            </w:pPr>
            <w:r>
              <w:rPr>
                <w:rFonts w:ascii="仿宋_GB2312" w:hAnsi="仿宋_GB2312" w:cs="仿宋_GB2312" w:eastAsia="仿宋_GB2312"/>
                <w:sz w:val="24"/>
                <w:color w:val="000000"/>
              </w:rPr>
              <w:t>系统部署在西安市政务云平台，设计需依据西安市政务云平台的相关能力和要求，确保系统能够充分利用西安市政务云平台的资源和服务，提高系统的稳定性和安全性。</w:t>
            </w:r>
          </w:p>
          <w:p>
            <w:pPr>
              <w:pStyle w:val="null3"/>
              <w:spacing w:before="60"/>
              <w:ind w:left="210"/>
            </w:pPr>
            <w:r>
              <w:rPr>
                <w:rFonts w:ascii="仿宋_GB2312" w:hAnsi="仿宋_GB2312" w:cs="仿宋_GB2312" w:eastAsia="仿宋_GB2312"/>
                <w:sz w:val="24"/>
                <w:color w:val="000000"/>
              </w:rPr>
              <w:t>1.系统建设要遵循《中华人民共和国网络安全法》等信息化安全相关标准规范，明确信息安全责任，严格管理。</w:t>
            </w:r>
          </w:p>
          <w:p>
            <w:pPr>
              <w:pStyle w:val="null3"/>
              <w:spacing w:before="60"/>
              <w:ind w:left="210"/>
            </w:pPr>
            <w:r>
              <w:rPr>
                <w:rFonts w:ascii="仿宋_GB2312" w:hAnsi="仿宋_GB2312" w:cs="仿宋_GB2312" w:eastAsia="仿宋_GB2312"/>
                <w:sz w:val="24"/>
                <w:color w:val="000000"/>
              </w:rPr>
              <w:t>2.提供用户管理、权限管理、统一认证等具体安全功能，满足安全要求。</w:t>
            </w:r>
          </w:p>
          <w:p>
            <w:pPr>
              <w:pStyle w:val="null3"/>
              <w:spacing w:before="60"/>
              <w:ind w:left="210"/>
            </w:pPr>
            <w:r>
              <w:rPr>
                <w:rFonts w:ascii="仿宋_GB2312" w:hAnsi="仿宋_GB2312" w:cs="仿宋_GB2312" w:eastAsia="仿宋_GB2312"/>
                <w:sz w:val="24"/>
                <w:color w:val="000000"/>
              </w:rPr>
              <w:t>3.建立健全的系统安全保障机制及运行故障源，全方位多角度保障系统的顺利运行。</w:t>
            </w:r>
          </w:p>
          <w:p>
            <w:pPr>
              <w:pStyle w:val="null3"/>
              <w:spacing w:before="60"/>
              <w:ind w:left="210"/>
            </w:pPr>
            <w:r>
              <w:rPr>
                <w:rFonts w:ascii="仿宋_GB2312" w:hAnsi="仿宋_GB2312" w:cs="仿宋_GB2312" w:eastAsia="仿宋_GB2312"/>
                <w:sz w:val="24"/>
                <w:color w:val="000000"/>
              </w:rPr>
              <w:t>4.完善的系统安全、认证授权、数据访问、分级管理授权设计。</w:t>
            </w:r>
          </w:p>
          <w:p>
            <w:pPr>
              <w:pStyle w:val="null3"/>
              <w:spacing w:before="60"/>
              <w:ind w:left="210"/>
            </w:pPr>
            <w:r>
              <w:rPr>
                <w:rFonts w:ascii="仿宋_GB2312" w:hAnsi="仿宋_GB2312" w:cs="仿宋_GB2312" w:eastAsia="仿宋_GB2312"/>
                <w:sz w:val="24"/>
                <w:color w:val="000000"/>
              </w:rPr>
              <w:t>5.系统需要有对数据源和关键操作（如授权操作）进行追踪和回溯的能力，具有完善的日志记录。</w:t>
            </w:r>
          </w:p>
          <w:p>
            <w:pPr>
              <w:pStyle w:val="null3"/>
              <w:spacing w:before="60"/>
              <w:ind w:left="210"/>
            </w:pPr>
            <w:r>
              <w:rPr>
                <w:rFonts w:ascii="仿宋_GB2312" w:hAnsi="仿宋_GB2312" w:cs="仿宋_GB2312" w:eastAsia="仿宋_GB2312"/>
                <w:sz w:val="24"/>
                <w:color w:val="000000"/>
              </w:rPr>
              <w:t>6.数据在采集、传输、加工、共享应用过程中须提供必要的安全保障。</w:t>
            </w:r>
          </w:p>
          <w:p>
            <w:pPr>
              <w:pStyle w:val="null3"/>
              <w:spacing w:before="60"/>
              <w:ind w:left="210"/>
            </w:pPr>
            <w:r>
              <w:rPr>
                <w:rFonts w:ascii="仿宋_GB2312" w:hAnsi="仿宋_GB2312" w:cs="仿宋_GB2312" w:eastAsia="仿宋_GB2312"/>
                <w:sz w:val="24"/>
                <w:color w:val="000000"/>
              </w:rPr>
              <w:t>7.系统提供系统级、数据库级、软件功能级、记录级等多级的安全控制机制，系统对关键信息（如用户密码、个人信息等）是以加密形式保存。</w:t>
            </w:r>
          </w:p>
          <w:p>
            <w:pPr>
              <w:pStyle w:val="null3"/>
              <w:spacing w:before="60"/>
              <w:ind w:left="210"/>
            </w:pPr>
            <w:r>
              <w:rPr>
                <w:rFonts w:ascii="仿宋_GB2312" w:hAnsi="仿宋_GB2312" w:cs="仿宋_GB2312" w:eastAsia="仿宋_GB2312"/>
                <w:sz w:val="24"/>
                <w:color w:val="000000"/>
              </w:rPr>
              <w:t>8.平台在建设时，需保障系统的应用程序安全、网络安全、设备安全和数据安全</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系统需整体达到三级等保要求并完成等保三级评测，保障平台和数据的安全。</w:t>
            </w:r>
          </w:p>
          <w:p>
            <w:pPr>
              <w:pStyle w:val="null3"/>
              <w:spacing w:before="60"/>
              <w:ind w:left="210"/>
            </w:pPr>
            <w:r>
              <w:rPr>
                <w:rFonts w:ascii="仿宋_GB2312" w:hAnsi="仿宋_GB2312" w:cs="仿宋_GB2312" w:eastAsia="仿宋_GB2312"/>
                <w:sz w:val="24"/>
                <w:color w:val="000000"/>
              </w:rPr>
              <w:t>9.平台须对照法律法规和制度的要求，在项目的谋划、建设、验收、运行等全生命周期管理中进一步加强密码工作规范，做好商用密码保障体系建设，切实使用密码技术保障网络安全并完成密评工作。</w:t>
            </w:r>
          </w:p>
          <w:p>
            <w:pPr>
              <w:pStyle w:val="null3"/>
              <w:spacing w:before="60"/>
              <w:ind w:left="210"/>
            </w:pPr>
            <w:r>
              <w:rPr>
                <w:rFonts w:ascii="仿宋_GB2312" w:hAnsi="仿宋_GB2312" w:cs="仿宋_GB2312" w:eastAsia="仿宋_GB2312"/>
                <w:sz w:val="24"/>
                <w:color w:val="000000"/>
              </w:rPr>
              <w:t>系统性能要求</w:t>
            </w:r>
          </w:p>
          <w:p>
            <w:pPr>
              <w:pStyle w:val="null3"/>
              <w:spacing w:before="60"/>
              <w:ind w:left="210"/>
            </w:pPr>
            <w:r>
              <w:rPr>
                <w:rFonts w:ascii="仿宋_GB2312" w:hAnsi="仿宋_GB2312" w:cs="仿宋_GB2312" w:eastAsia="仿宋_GB2312"/>
                <w:sz w:val="24"/>
                <w:color w:val="000000"/>
              </w:rPr>
              <w:t>为了更好的用户体验，项目所建设系统需要提供较好的符合性能，具体包括但不仅限于以下要求：</w:t>
            </w:r>
          </w:p>
          <w:p>
            <w:pPr>
              <w:pStyle w:val="null3"/>
              <w:spacing w:before="60"/>
              <w:ind w:left="210"/>
            </w:pPr>
            <w:r>
              <w:rPr>
                <w:rFonts w:ascii="仿宋_GB2312" w:hAnsi="仿宋_GB2312" w:cs="仿宋_GB2312" w:eastAsia="仿宋_GB2312"/>
                <w:sz w:val="24"/>
                <w:color w:val="000000"/>
              </w:rPr>
              <w:t>1、系统应保证信息的准确性和及时性，为公众和管理人员提供正确的信息，为决策者提供正确的依据和及时的信息。</w:t>
            </w:r>
          </w:p>
          <w:p>
            <w:pPr>
              <w:pStyle w:val="null3"/>
              <w:spacing w:before="60"/>
              <w:ind w:left="210"/>
            </w:pPr>
            <w:r>
              <w:rPr>
                <w:rFonts w:ascii="仿宋_GB2312" w:hAnsi="仿宋_GB2312" w:cs="仿宋_GB2312" w:eastAsia="仿宋_GB2312"/>
                <w:sz w:val="24"/>
                <w:color w:val="000000"/>
              </w:rPr>
              <w:t>2、系统有效工作时间≥99.99%；系统平均故障间隔时间≥100天；系统故障修复平均响应时间≤120分钟。</w:t>
            </w:r>
          </w:p>
          <w:p>
            <w:pPr>
              <w:pStyle w:val="null3"/>
              <w:spacing w:before="60"/>
              <w:ind w:left="210"/>
            </w:pPr>
            <w:r>
              <w:rPr>
                <w:rFonts w:ascii="仿宋_GB2312" w:hAnsi="仿宋_GB2312" w:cs="仿宋_GB2312" w:eastAsia="仿宋_GB2312"/>
                <w:sz w:val="24"/>
                <w:color w:val="000000"/>
              </w:rPr>
              <w:t>3、系统能够支持同时从多个部门或地方并发使用，要求系统不能因为用户连接的增加而明显降低系统响应时间。业务支持同时在线用户数不少于10000人，并发用户数不少于1000人。</w:t>
            </w:r>
          </w:p>
          <w:p>
            <w:pPr>
              <w:pStyle w:val="null3"/>
              <w:spacing w:before="60"/>
              <w:ind w:left="210"/>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应能够保证良好的响应速度与稳定性。应能满足用户访问应用的时效性要求，保证提供一致的、可预测的响应，简单查询在3秒以内；复杂数据查询≤5秒；超出5秒响应时间的用户操作，应该在操作界面上对提示用户。</w:t>
            </w:r>
          </w:p>
          <w:p>
            <w:pPr>
              <w:pStyle w:val="null3"/>
              <w:spacing w:before="60"/>
            </w:pPr>
            <w:r>
              <w:rPr>
                <w:rFonts w:ascii="仿宋_GB2312" w:hAnsi="仿宋_GB2312" w:cs="仿宋_GB2312" w:eastAsia="仿宋_GB2312"/>
                <w:sz w:val="24"/>
                <w:color w:val="000000"/>
              </w:rPr>
              <w:t>六、团队人员</w:t>
            </w:r>
          </w:p>
          <w:p>
            <w:pPr>
              <w:pStyle w:val="null3"/>
              <w:spacing w:before="60"/>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在项目开发阶段，项目团队稳定成员开发阶段不少于5人。上述人员须标明分工，其中项目负责人必须全程参与本项目的开发、实施过程，项目验收前项目经理和主要开发人员无故不得更换，确需人员更换须经采购人同意。</w:t>
            </w:r>
          </w:p>
          <w:p>
            <w:pPr>
              <w:pStyle w:val="null3"/>
              <w:spacing w:before="60"/>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2）在质保期内，项目团队驻场稳定成员不少于1人 。</w:t>
            </w:r>
          </w:p>
          <w:p>
            <w:pPr>
              <w:pStyle w:val="null3"/>
              <w:spacing w:before="60"/>
              <w:ind w:left="210"/>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标的名称：西安市中小企业数字化转型发展一站式服务系统建设项目监理服务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225"/>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、监理服务要求</w:t>
            </w:r>
          </w:p>
          <w:p>
            <w:pPr>
              <w:pStyle w:val="null3"/>
              <w:spacing w:before="60"/>
              <w:ind w:left="225"/>
            </w:pPr>
            <w:r>
              <w:rPr>
                <w:rFonts w:ascii="仿宋_GB2312" w:hAnsi="仿宋_GB2312" w:cs="仿宋_GB2312" w:eastAsia="仿宋_GB2312"/>
                <w:sz w:val="24"/>
                <w:color w:val="000000"/>
              </w:rPr>
              <w:t>（一）监理范围：对项目实施阶段和验收阶段进行全过程监理，合同签订、软硬件安装调试、测试运行、验收及审计阶段的监理技术服务。提供项目建设技术方案的咨询；协助审核有关合同、协议；进行项目质量、项目进度等的控制；进行有关技术文档等文件的管理；对项目建设内容进行全生命周期咨询监理；定期向建设单位汇报项目进展情况，提交项目监理服务报告；代表建设单位协调与承建单位的工作关系和协调解决项目建设过程中的各类纠纷，确保本项目按期、保质、顺利地完成。</w:t>
            </w:r>
          </w:p>
          <w:p>
            <w:pPr>
              <w:pStyle w:val="null3"/>
              <w:spacing w:before="60"/>
              <w:ind w:left="225"/>
            </w:pPr>
            <w:r>
              <w:rPr>
                <w:rFonts w:ascii="仿宋_GB2312" w:hAnsi="仿宋_GB2312" w:cs="仿宋_GB2312" w:eastAsia="仿宋_GB2312"/>
                <w:sz w:val="24"/>
                <w:color w:val="000000"/>
              </w:rPr>
              <w:t>（二）服务方式：要求以现场旁站监督和测试检查为主要方式进行监理，监理公司应委派总监理工程师和现场监理工程师，建立项目监理组并提供现场监理服务，负责整个工程的全程监理工作，且每周向甲方提交监理周报并召开协调会或专题会。</w:t>
            </w:r>
          </w:p>
          <w:p>
            <w:pPr>
              <w:pStyle w:val="null3"/>
              <w:spacing w:before="60"/>
              <w:ind w:left="225"/>
            </w:pPr>
            <w:r>
              <w:rPr>
                <w:rFonts w:ascii="仿宋_GB2312" w:hAnsi="仿宋_GB2312" w:cs="仿宋_GB2312" w:eastAsia="仿宋_GB2312"/>
                <w:sz w:val="24"/>
                <w:color w:val="000000"/>
              </w:rPr>
              <w:t>（三）服务内容：</w:t>
            </w:r>
          </w:p>
          <w:p>
            <w:pPr>
              <w:pStyle w:val="null3"/>
              <w:spacing w:before="60"/>
              <w:ind w:left="225"/>
            </w:pPr>
            <w:r>
              <w:rPr>
                <w:rFonts w:ascii="仿宋_GB2312" w:hAnsi="仿宋_GB2312" w:cs="仿宋_GB2312" w:eastAsia="仿宋_GB2312"/>
                <w:sz w:val="24"/>
                <w:color w:val="000000"/>
              </w:rPr>
              <w:t>1.项目组织及实施方案监理</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1）协助业主对本项目的实施过程进行现场监理、提供项目实施方案的咨询和审核意见、同时对项目方案进行监理；</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2）审核和确认承建单位的实施人员组织和实施计划安排；</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3）审核和确认承建单位的质量保证计划；</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4）审核和确认承建单位的进度控制计划。</w:t>
            </w:r>
          </w:p>
          <w:p>
            <w:pPr>
              <w:pStyle w:val="null3"/>
              <w:spacing w:before="60"/>
              <w:ind w:left="225"/>
            </w:pPr>
            <w:r>
              <w:rPr>
                <w:rFonts w:ascii="仿宋_GB2312" w:hAnsi="仿宋_GB2312" w:cs="仿宋_GB2312" w:eastAsia="仿宋_GB2312"/>
                <w:sz w:val="24"/>
                <w:color w:val="000000"/>
              </w:rPr>
              <w:t>2.工程组织及总体技术方案的质量控制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）协助审查项目承建单位的</w:t>
            </w:r>
            <w:r>
              <w:rPr>
                <w:rFonts w:ascii="仿宋_GB2312" w:hAnsi="仿宋_GB2312" w:cs="仿宋_GB2312" w:eastAsia="仿宋_GB2312"/>
                <w:sz w:val="24"/>
                <w:color w:val="000000"/>
              </w:rPr>
              <w:t>投标</w:t>
            </w:r>
            <w:r>
              <w:rPr>
                <w:rFonts w:ascii="仿宋_GB2312" w:hAnsi="仿宋_GB2312" w:cs="仿宋_GB2312" w:eastAsia="仿宋_GB2312"/>
                <w:sz w:val="24"/>
                <w:color w:val="000000"/>
              </w:rPr>
              <w:t>响应文件、合同及技术方案、实施方案；</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）在技术上、经济上、性能上和风险上进行分析和评估，为采购人提供建议；</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）协助审查项目承建单位的工程质量保证计划及质量控制体系；</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）参与制定项目质量控制的关键节点及关键路径。</w:t>
            </w:r>
          </w:p>
          <w:p>
            <w:pPr>
              <w:pStyle w:val="null3"/>
              <w:spacing w:before="60"/>
              <w:ind w:left="225"/>
            </w:pPr>
            <w:r>
              <w:rPr>
                <w:rFonts w:ascii="仿宋_GB2312" w:hAnsi="仿宋_GB2312" w:cs="仿宋_GB2312" w:eastAsia="仿宋_GB2312"/>
                <w:sz w:val="24"/>
                <w:color w:val="000000"/>
              </w:rPr>
              <w:t>3.工程质量控制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1）审核系统总体技术、实施方案和其它相关系统对接方案；</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2）对采购的硬件设备及网络环境的综合质量进行检验、测试和验收；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3）对软件平台的需求分析、设计、开发、测试、部署、试运行、成果交付进行测试和审核验收；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4）对设备安装、系统软件的安装、调试进行验收；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5）对隐蔽工程进行旁站监理，并留存相关图片文字资料；</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6）对系统进行总体验收；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7）协助审查并确认培训计划，审定培训大纲；</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8） 监督审查承建单位实施其培训计划，并征求采购人的意见反馈；</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9）监督审查考核工作，评估培训效果；</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10）协助审核并确认培训总结报告；</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11）监督审查承建单位提供的设备型号、数量、到货时间以及设备的技术资料、系统集成在实施过程中所有相关文件的标准性和规范化，在各项目验收时，应监督各项目承建单位提交符合规定的各项目的成套资料，包括印刷本和电子版；</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12）对监理项目实施过程中的文档进行标准化、规范化管理，在监理项目验收时，应提交符合规定的监理项目的成套资料，包括印刷本和电子版；</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13）结合招标文件、经审定的技术方案，审查、核对、检测承建单位提供的各项设备质量、技术指标、品牌、参数等各方面的符合性，凡不符合的一律不得进场或使用。</w:t>
            </w:r>
          </w:p>
          <w:p>
            <w:pPr>
              <w:pStyle w:val="null3"/>
              <w:spacing w:before="60"/>
              <w:ind w:left="225"/>
            </w:pPr>
            <w:r>
              <w:rPr>
                <w:rFonts w:ascii="仿宋_GB2312" w:hAnsi="仿宋_GB2312" w:cs="仿宋_GB2312" w:eastAsia="仿宋_GB2312"/>
                <w:sz w:val="24"/>
                <w:color w:val="000000"/>
              </w:rPr>
              <w:t>4.技术培训质量的控制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1）审核确认承建单位的培训计划；</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2）监督承建单位实施培训计划，并征求采购人的反馈意见；</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3）审核确认承建单位的培训总结报告。</w:t>
            </w:r>
          </w:p>
          <w:p>
            <w:pPr>
              <w:pStyle w:val="null3"/>
              <w:spacing w:before="60"/>
              <w:ind w:left="225"/>
            </w:pPr>
            <w:r>
              <w:rPr>
                <w:rFonts w:ascii="仿宋_GB2312" w:hAnsi="仿宋_GB2312" w:cs="仿宋_GB2312" w:eastAsia="仿宋_GB2312"/>
                <w:sz w:val="24"/>
                <w:color w:val="000000"/>
              </w:rPr>
              <w:t>5.进度控制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1）建立进度控制协调制度，落实进度控制责任；</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2）审查各子系统承建单位编制的工作进度计划：分析系统建设进度计划是否能满足合同工期及系统建设总进度计划的要求；</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3）对项目实施进度进行实时跟踪，全面地对进度计划的执行情况跟踪检查，发现问题及时采取有效措施加以解决，并要求承建单位对进度计划进行动态调整，以确保项目的阶段和总体进度目标的实施。</w:t>
            </w:r>
          </w:p>
          <w:p>
            <w:pPr>
              <w:pStyle w:val="null3"/>
              <w:spacing w:before="60"/>
              <w:ind w:left="225"/>
            </w:pPr>
            <w:r>
              <w:rPr>
                <w:rFonts w:ascii="仿宋_GB2312" w:hAnsi="仿宋_GB2312" w:cs="仿宋_GB2312" w:eastAsia="仿宋_GB2312"/>
                <w:sz w:val="24"/>
                <w:color w:val="000000"/>
              </w:rPr>
              <w:t>6.投资控制</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1）完善职责分工及有关质量项目管理制度，落实投资控制的责任；</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2）督促承建单位按合同实施，严格控制合同外项目的增加，协助采购人严格控制设计变更，制定设计变更增加工作量的报批制度。</w:t>
            </w:r>
          </w:p>
          <w:p>
            <w:pPr>
              <w:pStyle w:val="null3"/>
              <w:spacing w:before="60"/>
              <w:ind w:left="225"/>
            </w:pPr>
            <w:r>
              <w:rPr>
                <w:rFonts w:ascii="仿宋_GB2312" w:hAnsi="仿宋_GB2312" w:cs="仿宋_GB2312" w:eastAsia="仿宋_GB2312"/>
                <w:sz w:val="24"/>
                <w:color w:val="000000"/>
              </w:rPr>
              <w:t>7.合同管理</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1）以合同为依据，本着“实事求是、公正”的原则，处理合同执行过程中的各种争议；</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2）分析、跟踪和检查合同执行情况，确保按时履约；</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3）对合同的工期的延误和延期进行审核确认；</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4）对合同变更、索赔等事宜进行审核确认；</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5）根据合同约定，审核项目承建单位的支付申请；</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6）建立合同目录、编码和档案。</w:t>
            </w:r>
          </w:p>
          <w:p>
            <w:pPr>
              <w:pStyle w:val="null3"/>
              <w:spacing w:before="60"/>
              <w:ind w:left="225"/>
            </w:pPr>
            <w:r>
              <w:rPr>
                <w:rFonts w:ascii="仿宋_GB2312" w:hAnsi="仿宋_GB2312" w:cs="仿宋_GB2312" w:eastAsia="仿宋_GB2312"/>
                <w:sz w:val="24"/>
                <w:color w:val="000000"/>
              </w:rPr>
              <w:t>8.项目信息管理</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1）由专人负责系统建设信息的收集、分类、整理储存及传递工作。信息传递以文字为主，统一编号，为系统建设提供及时有用的信息和决策依据；</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2）在项目实施过程中做好工程监理日记和工程大事记，按时提交监理工作周报、月报、监理意见书；</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3）及时向采购人提交反映项目动态和监理工作情况的项目文档；</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4）做好双方合同、技术建设方案、测试文档、验收报告等各类往来文件的存档；</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5）建立必要的会议、例会制度，整理好会议纪要，并监督会议有关事项的执行情况；</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6）督促、检查承建单位及时完成各阶段设备资料、工程技术资料的整理和归档工作；</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7）转达采购人发出的指示、通知和业务联系单。</w:t>
            </w:r>
          </w:p>
          <w:p>
            <w:pPr>
              <w:pStyle w:val="null3"/>
              <w:spacing w:before="60"/>
              <w:ind w:left="225"/>
            </w:pPr>
            <w:r>
              <w:rPr>
                <w:rFonts w:ascii="仿宋_GB2312" w:hAnsi="仿宋_GB2312" w:cs="仿宋_GB2312" w:eastAsia="仿宋_GB2312"/>
                <w:sz w:val="24"/>
                <w:color w:val="000000"/>
              </w:rPr>
              <w:t>9.</w:t>
            </w:r>
            <w:r>
              <w:rPr>
                <w:rFonts w:ascii="仿宋_GB2312" w:hAnsi="仿宋_GB2312" w:cs="仿宋_GB2312" w:eastAsia="仿宋_GB2312"/>
                <w:sz w:val="24"/>
                <w:color w:val="000000"/>
              </w:rPr>
              <w:t>项目文件的管理</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1）监理方应负责以下文档的编写：项目建设监理日志、周报、月报及项目大事记；项目协调会、监理例会等各类会议的纪要；阶段性项目总结、阶段性项目监理总结、各类监理通知；</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2）监理方应参与以下文档的管理：项目实施期间各类技术文件、合同执行过程中的各类往来文件及存档。</w:t>
            </w:r>
          </w:p>
          <w:p>
            <w:pPr>
              <w:pStyle w:val="null3"/>
              <w:spacing w:before="60"/>
              <w:ind w:left="225"/>
            </w:pPr>
            <w:r>
              <w:rPr>
                <w:rFonts w:ascii="仿宋_GB2312" w:hAnsi="仿宋_GB2312" w:cs="仿宋_GB2312" w:eastAsia="仿宋_GB2312"/>
                <w:sz w:val="24"/>
                <w:color w:val="000000"/>
              </w:rPr>
              <w:t>10.项目会议制度</w:t>
            </w:r>
          </w:p>
          <w:p>
            <w:pPr>
              <w:pStyle w:val="null3"/>
              <w:spacing w:before="60"/>
              <w:ind w:left="225"/>
            </w:pPr>
            <w:r>
              <w:rPr>
                <w:rFonts w:ascii="仿宋_GB2312" w:hAnsi="仿宋_GB2312" w:cs="仿宋_GB2312" w:eastAsia="仿宋_GB2312"/>
                <w:sz w:val="24"/>
                <w:color w:val="000000"/>
              </w:rPr>
              <w:t>为保证监理工作的开展和实施协调，监理方组织必要的会议来保证：</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1）项目协调会、专题会；</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2）项目周例会；</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）项目阶段及最终验收会。</w:t>
            </w:r>
          </w:p>
          <w:p>
            <w:pPr>
              <w:pStyle w:val="null3"/>
              <w:spacing w:before="60"/>
              <w:ind w:left="225"/>
            </w:pPr>
            <w:r>
              <w:rPr>
                <w:rFonts w:ascii="仿宋_GB2312" w:hAnsi="仿宋_GB2312" w:cs="仿宋_GB2312" w:eastAsia="仿宋_GB2312"/>
                <w:sz w:val="24"/>
                <w:color w:val="000000"/>
              </w:rPr>
              <w:t>11.组织协调</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1）监督各方履行职责，协调各方的工作关系；</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2）建立畅通的沟通平台和沟通渠道，采取有效措施使项目信息在有关各方之间保持顺畅流通，积极协调项目各方之间的关系，推动项目实施过程中问题的解决；</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3）确立项目安全监督的工作目标。</w:t>
            </w:r>
          </w:p>
          <w:p>
            <w:pPr>
              <w:pStyle w:val="null3"/>
              <w:spacing w:before="60"/>
              <w:ind w:left="225"/>
            </w:pPr>
            <w:r>
              <w:rPr>
                <w:rFonts w:ascii="仿宋_GB2312" w:hAnsi="仿宋_GB2312" w:cs="仿宋_GB2312" w:eastAsia="仿宋_GB2312"/>
                <w:sz w:val="24"/>
                <w:color w:val="000000"/>
              </w:rPr>
              <w:t>12.项目</w:t>
            </w:r>
            <w:r>
              <w:rPr>
                <w:rFonts w:ascii="仿宋_GB2312" w:hAnsi="仿宋_GB2312" w:cs="仿宋_GB2312" w:eastAsia="仿宋_GB2312"/>
                <w:sz w:val="24"/>
                <w:color w:val="000000"/>
              </w:rPr>
              <w:t>初验和试运行阶段</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）协助建设单位制定验收程序和标准，审查验收方案和验收文档。</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）协助建设单位进行系统的功能和性能测试及初验。</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）检查系统的调试和试运行情况。</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）处理试运行期间出现的质量问题。</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）协调与承建单位之间的关系，解决纠纷。</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）监督、检查并督促承建单位对用户的培训工作。</w:t>
            </w:r>
          </w:p>
          <w:p>
            <w:pPr>
              <w:pStyle w:val="null3"/>
              <w:spacing w:before="60"/>
              <w:ind w:left="225"/>
            </w:pPr>
            <w:r>
              <w:rPr>
                <w:rFonts w:ascii="仿宋_GB2312" w:hAnsi="仿宋_GB2312" w:cs="仿宋_GB2312" w:eastAsia="仿宋_GB2312"/>
                <w:sz w:val="24"/>
                <w:color w:val="000000"/>
              </w:rPr>
              <w:t>13.项目正式验收阶段</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1）审核竣工文档资料的完整性、可读性及其与项目实际的一致性。</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2）审查承建单位提交的正式验收申请，编写项目质量评估报告。</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3）参加项目正式验收，签署正式验收意见。</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4）审查承建单位提交的竣工结算申请并报建设单位。</w:t>
            </w:r>
          </w:p>
          <w:p>
            <w:pPr>
              <w:pStyle w:val="null3"/>
              <w:spacing w:before="60"/>
              <w:ind w:left="225"/>
            </w:pPr>
            <w:r>
              <w:rPr>
                <w:rFonts w:ascii="仿宋_GB2312" w:hAnsi="仿宋_GB2312" w:cs="仿宋_GB2312" w:eastAsia="仿宋_GB2312"/>
                <w:sz w:val="24"/>
                <w:color w:val="000000"/>
              </w:rPr>
              <w:t>（</w:t>
            </w:r>
            <w:r>
              <w:rPr>
                <w:rFonts w:ascii="仿宋_GB2312" w:hAnsi="仿宋_GB2312" w:cs="仿宋_GB2312" w:eastAsia="仿宋_GB2312"/>
                <w:sz w:val="24"/>
                <w:color w:val="000000"/>
              </w:rPr>
              <w:t>5）编制/整理项目监理资料归档文件并报建设单位审核无误后，移交建设单位存档。</w:t>
            </w:r>
          </w:p>
          <w:p>
            <w:pPr>
              <w:pStyle w:val="null3"/>
              <w:spacing w:before="60"/>
              <w:ind w:left="225"/>
            </w:pPr>
            <w:r>
              <w:rPr>
                <w:rFonts w:ascii="仿宋_GB2312" w:hAnsi="仿宋_GB2312" w:cs="仿宋_GB2312" w:eastAsia="仿宋_GB2312"/>
                <w:sz w:val="24"/>
                <w:color w:val="000000"/>
              </w:rPr>
              <w:t>二、商务要求：</w:t>
            </w:r>
          </w:p>
          <w:p>
            <w:pPr>
              <w:pStyle w:val="null3"/>
              <w:spacing w:before="60"/>
              <w:ind w:left="225"/>
            </w:pPr>
            <w:r>
              <w:rPr>
                <w:rFonts w:ascii="仿宋_GB2312" w:hAnsi="仿宋_GB2312" w:cs="仿宋_GB2312" w:eastAsia="仿宋_GB2312"/>
                <w:sz w:val="24"/>
                <w:color w:val="000000"/>
              </w:rPr>
              <w:t>合同履行期限</w:t>
            </w:r>
          </w:p>
          <w:p>
            <w:pPr>
              <w:pStyle w:val="null3"/>
              <w:jc w:val="left"/>
            </w:pPr>
            <w:r>
              <w:rPr>
                <w:rFonts w:ascii="仿宋_GB2312" w:hAnsi="仿宋_GB2312" w:cs="仿宋_GB2312" w:eastAsia="仿宋_GB2312"/>
                <w:sz w:val="24"/>
                <w:color w:val="000000"/>
              </w:rPr>
              <w:t>自合同签订之日起至</w:t>
            </w: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项目建设完成，供应商按本项目合同规定移交完所有监理文件，系统竣工终验合格之日止。</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标的名称：西安市中小企业数字化转型发展一站式服务系统建设项目软件测评服务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ind w:left="210"/>
            </w:pPr>
            <w:r>
              <w:rPr>
                <w:rFonts w:ascii="仿宋_GB2312" w:hAnsi="仿宋_GB2312" w:cs="仿宋_GB2312" w:eastAsia="仿宋_GB2312"/>
                <w:sz w:val="24"/>
                <w:color w:val="000000"/>
              </w:rPr>
              <w:t>1.项目概况与建设目标</w:t>
            </w:r>
          </w:p>
          <w:p>
            <w:pPr>
              <w:pStyle w:val="null3"/>
              <w:spacing w:before="60"/>
              <w:ind w:left="210"/>
            </w:pPr>
            <w:r>
              <w:rPr>
                <w:rFonts w:ascii="仿宋_GB2312" w:hAnsi="仿宋_GB2312" w:cs="仿宋_GB2312" w:eastAsia="仿宋_GB2312"/>
                <w:sz w:val="24"/>
                <w:color w:val="000000"/>
              </w:rPr>
              <w:t>为有效保障西安市中小企业数字化转型发展一站式服务系统建设项目系统软件安全可靠的运行，按照</w:t>
            </w:r>
            <w:r>
              <w:rPr>
                <w:rFonts w:ascii="仿宋_GB2312" w:hAnsi="仿宋_GB2312" w:cs="仿宋_GB2312" w:eastAsia="仿宋_GB2312"/>
                <w:sz w:val="24"/>
                <w:color w:val="000000"/>
              </w:rPr>
              <w:t>GB/T25000.51-2016《系统与软件工程系统与软件质量要求和评价(SQuaRE)第 51 部分:就绪可用软件产品(RUSP)的质量要求和测试细则及国家或行业相关要求、承建方提供的项目设计文档等资料中的技术要求进行检测。所有检测服务完成后，出具第三方检测报告，报告的内容根据相关标准结合XX系统的立项文件、合同书和需求规格说明书等技术文件，对各项指标合格与否作出评判。并对所出具的检验报告真实性及有效性负责。</w:t>
            </w:r>
          </w:p>
          <w:p>
            <w:pPr>
              <w:pStyle w:val="null3"/>
              <w:spacing w:before="60"/>
              <w:ind w:left="210"/>
            </w:pPr>
            <w:r>
              <w:rPr>
                <w:rFonts w:ascii="仿宋_GB2312" w:hAnsi="仿宋_GB2312" w:cs="仿宋_GB2312" w:eastAsia="仿宋_GB2312"/>
                <w:sz w:val="24"/>
                <w:color w:val="000000"/>
              </w:rPr>
              <w:t>2.测试内容</w:t>
            </w:r>
          </w:p>
          <w:p>
            <w:pPr>
              <w:pStyle w:val="null3"/>
              <w:spacing w:before="60"/>
              <w:ind w:left="210"/>
            </w:pPr>
            <w:r>
              <w:rPr>
                <w:rFonts w:ascii="仿宋_GB2312" w:hAnsi="仿宋_GB2312" w:cs="仿宋_GB2312" w:eastAsia="仿宋_GB2312"/>
                <w:sz w:val="24"/>
                <w:color w:val="000000"/>
              </w:rPr>
              <w:t>依据国家标准及系统设计文档等要求，检验系统是否满足用户需求，保证信息系统工程质量、系统用户和系统集成商多方要求。通过评估系统的需求符合性，对系统功能、性能效率、代码等方面进行专业的测试，为项目验收提供重要依据。为了保证软件质量，测试机构应从应用系统的功能、性能效率等质量特性方面开展软件测试，测试内容及描述具体如下：</w:t>
            </w:r>
          </w:p>
          <w:p>
            <w:pPr>
              <w:pStyle w:val="null3"/>
              <w:spacing w:before="60"/>
              <w:ind w:left="210"/>
            </w:pPr>
            <w:r>
              <w:rPr>
                <w:rFonts w:ascii="仿宋_GB2312" w:hAnsi="仿宋_GB2312" w:cs="仿宋_GB2312" w:eastAsia="仿宋_GB2312"/>
                <w:sz w:val="24"/>
                <w:color w:val="000000"/>
              </w:rPr>
              <w:t>2.1 功能测试</w:t>
            </w:r>
          </w:p>
          <w:p>
            <w:pPr>
              <w:pStyle w:val="null3"/>
              <w:spacing w:before="60"/>
              <w:ind w:left="210"/>
            </w:pPr>
            <w:r>
              <w:rPr>
                <w:rFonts w:ascii="仿宋_GB2312" w:hAnsi="仿宋_GB2312" w:cs="仿宋_GB2312" w:eastAsia="仿宋_GB2312"/>
                <w:sz w:val="24"/>
                <w:color w:val="000000"/>
              </w:rPr>
              <w:t>通过设计测试用例、执行用例等获取结果，对系统的功能、业务流程等分别进行测试，测试系统功能点，保证系统功能正常使用，测试功能点覆盖度</w:t>
            </w:r>
            <w:r>
              <w:rPr>
                <w:rFonts w:ascii="仿宋_GB2312" w:hAnsi="仿宋_GB2312" w:cs="仿宋_GB2312" w:eastAsia="仿宋_GB2312"/>
                <w:sz w:val="24"/>
                <w:color w:val="000000"/>
              </w:rPr>
              <w:t>100%。</w:t>
            </w:r>
          </w:p>
          <w:p>
            <w:pPr>
              <w:pStyle w:val="null3"/>
              <w:spacing w:before="60"/>
              <w:ind w:left="210"/>
            </w:pPr>
            <w:r>
              <w:rPr>
                <w:rFonts w:ascii="仿宋_GB2312" w:hAnsi="仿宋_GB2312" w:cs="仿宋_GB2312" w:eastAsia="仿宋_GB2312"/>
                <w:sz w:val="24"/>
                <w:color w:val="000000"/>
              </w:rPr>
              <w:t>2.2 性能效率测试</w:t>
            </w:r>
          </w:p>
          <w:p>
            <w:pPr>
              <w:pStyle w:val="null3"/>
              <w:spacing w:before="60"/>
              <w:ind w:left="210"/>
            </w:pPr>
            <w:r>
              <w:rPr>
                <w:rFonts w:ascii="仿宋_GB2312" w:hAnsi="仿宋_GB2312" w:cs="仿宋_GB2312" w:eastAsia="仿宋_GB2312"/>
                <w:sz w:val="24"/>
                <w:color w:val="000000"/>
              </w:rPr>
              <w:t>依据招标文件中对相关平台性能要求的描述，考查信息系统关键业务在正常工作量、预期的峰值工作量下的效率情况，主要考虑系统容量特性、时间特性及资源利用状况等效率指标是否符合用户需求，并据此对系统的性能做出全面的评价。</w:t>
            </w:r>
          </w:p>
          <w:p>
            <w:pPr>
              <w:pStyle w:val="null3"/>
              <w:spacing w:before="60"/>
              <w:ind w:left="210"/>
            </w:pPr>
            <w:r>
              <w:rPr>
                <w:rFonts w:ascii="仿宋_GB2312" w:hAnsi="仿宋_GB2312" w:cs="仿宋_GB2312" w:eastAsia="仿宋_GB2312"/>
                <w:sz w:val="24"/>
                <w:color w:val="000000"/>
              </w:rPr>
              <w:t>1、分析系统用户行为，依据性能需求验证部署的信息系统支持的并发处理业务的能力；</w:t>
            </w:r>
          </w:p>
          <w:p>
            <w:pPr>
              <w:pStyle w:val="null3"/>
              <w:spacing w:before="60"/>
              <w:ind w:left="210"/>
            </w:pPr>
            <w:r>
              <w:rPr>
                <w:rFonts w:ascii="仿宋_GB2312" w:hAnsi="仿宋_GB2312" w:cs="仿宋_GB2312" w:eastAsia="仿宋_GB2312"/>
                <w:sz w:val="24"/>
                <w:color w:val="000000"/>
              </w:rPr>
              <w:t>2、系统的关键业务，如数据采集、数据同步、数据统计等，具备快速响应能力；</w:t>
            </w:r>
          </w:p>
          <w:p>
            <w:pPr>
              <w:pStyle w:val="null3"/>
              <w:spacing w:before="60"/>
              <w:ind w:left="210"/>
            </w:pPr>
            <w:r>
              <w:rPr>
                <w:rFonts w:ascii="仿宋_GB2312" w:hAnsi="仿宋_GB2312" w:cs="仿宋_GB2312" w:eastAsia="仿宋_GB2312"/>
                <w:sz w:val="24"/>
                <w:color w:val="000000"/>
              </w:rPr>
              <w:t>3、系统资源利用在合理的数值范围，不超过资源指标的预警值；</w:t>
            </w:r>
          </w:p>
          <w:p>
            <w:pPr>
              <w:pStyle w:val="null3"/>
              <w:spacing w:before="60"/>
              <w:ind w:left="210"/>
            </w:pPr>
            <w:r>
              <w:rPr>
                <w:rFonts w:ascii="仿宋_GB2312" w:hAnsi="仿宋_GB2312" w:cs="仿宋_GB2312" w:eastAsia="仿宋_GB2312"/>
                <w:sz w:val="24"/>
                <w:color w:val="000000"/>
              </w:rPr>
              <w:t>4、测试在大用户量、大并发、大数据量和长时间连续运行等条件下，系统的响应时间和稳定运行情况。</w:t>
            </w:r>
          </w:p>
          <w:p>
            <w:pPr>
              <w:pStyle w:val="null3"/>
              <w:spacing w:before="60"/>
              <w:ind w:left="210"/>
            </w:pPr>
            <w:r>
              <w:rPr>
                <w:rFonts w:ascii="仿宋_GB2312" w:hAnsi="仿宋_GB2312" w:cs="仿宋_GB2312" w:eastAsia="仿宋_GB2312"/>
                <w:sz w:val="24"/>
                <w:color w:val="000000"/>
              </w:rPr>
              <w:t>2.3 接口测试</w:t>
            </w:r>
          </w:p>
          <w:p>
            <w:pPr>
              <w:pStyle w:val="null3"/>
              <w:spacing w:before="60"/>
              <w:ind w:left="210"/>
            </w:pPr>
            <w:r>
              <w:rPr>
                <w:rFonts w:ascii="仿宋_GB2312" w:hAnsi="仿宋_GB2312" w:cs="仿宋_GB2312" w:eastAsia="仿宋_GB2312"/>
                <w:sz w:val="24"/>
                <w:color w:val="000000"/>
              </w:rPr>
              <w:t>对承建单位单元测试的内容进行监督和复核，检查每个软件单元能否正确地实现设计说明中的功能、性能、接口和其他设计约束等要求，发现单元内可能存在的各种差错。对集成的软件系统之间的接口关系及业务逻辑，验证已集成软件系统是否符合设计要求。</w:t>
            </w:r>
          </w:p>
          <w:p>
            <w:pPr>
              <w:pStyle w:val="null3"/>
              <w:spacing w:before="60"/>
              <w:ind w:left="210"/>
            </w:pPr>
            <w:r>
              <w:rPr>
                <w:rFonts w:ascii="仿宋_GB2312" w:hAnsi="仿宋_GB2312" w:cs="仿宋_GB2312" w:eastAsia="仿宋_GB2312"/>
                <w:sz w:val="24"/>
                <w:color w:val="000000"/>
              </w:rPr>
              <w:t>1、测试用例的输入应至少包括有效等效类值、无效等价类值和边界数据值；</w:t>
            </w:r>
          </w:p>
          <w:p>
            <w:pPr>
              <w:pStyle w:val="null3"/>
              <w:spacing w:before="60"/>
              <w:ind w:left="210"/>
            </w:pPr>
            <w:r>
              <w:rPr>
                <w:rFonts w:ascii="仿宋_GB2312" w:hAnsi="仿宋_GB2312" w:cs="仿宋_GB2312" w:eastAsia="仿宋_GB2312"/>
                <w:sz w:val="24"/>
                <w:color w:val="000000"/>
              </w:rPr>
              <w:t>2、在对软件单元进行动态测试之前，一般应对软件单元的源代码进行静态测试；</w:t>
            </w:r>
          </w:p>
          <w:p>
            <w:pPr>
              <w:pStyle w:val="null3"/>
              <w:spacing w:before="60"/>
              <w:ind w:left="210"/>
            </w:pPr>
            <w:r>
              <w:rPr>
                <w:rFonts w:ascii="仿宋_GB2312" w:hAnsi="仿宋_GB2312" w:cs="仿宋_GB2312" w:eastAsia="仿宋_GB2312"/>
                <w:sz w:val="24"/>
                <w:color w:val="000000"/>
              </w:rPr>
              <w:t>3、语句覆盖率达到 100%；</w:t>
            </w:r>
          </w:p>
          <w:p>
            <w:pPr>
              <w:pStyle w:val="null3"/>
              <w:spacing w:before="60"/>
              <w:ind w:left="210"/>
            </w:pPr>
            <w:r>
              <w:rPr>
                <w:rFonts w:ascii="仿宋_GB2312" w:hAnsi="仿宋_GB2312" w:cs="仿宋_GB2312" w:eastAsia="仿宋_GB2312"/>
                <w:sz w:val="24"/>
                <w:color w:val="000000"/>
              </w:rPr>
              <w:t>4、分支覆盖率达到 100%。</w:t>
            </w:r>
          </w:p>
          <w:p>
            <w:pPr>
              <w:pStyle w:val="null3"/>
              <w:spacing w:before="60"/>
              <w:ind w:left="210"/>
            </w:pPr>
            <w:r>
              <w:rPr>
                <w:rFonts w:ascii="仿宋_GB2312" w:hAnsi="仿宋_GB2312" w:cs="仿宋_GB2312" w:eastAsia="仿宋_GB2312"/>
                <w:sz w:val="24"/>
                <w:color w:val="000000"/>
              </w:rPr>
              <w:t>2.4 文档检测</w:t>
            </w:r>
          </w:p>
          <w:p>
            <w:pPr>
              <w:pStyle w:val="null3"/>
              <w:spacing w:before="60"/>
              <w:ind w:left="210"/>
            </w:pPr>
            <w:r>
              <w:rPr>
                <w:rFonts w:ascii="仿宋_GB2312" w:hAnsi="仿宋_GB2312" w:cs="仿宋_GB2312" w:eastAsia="仿宋_GB2312"/>
                <w:sz w:val="24"/>
                <w:color w:val="000000"/>
              </w:rPr>
              <w:t>文档检测内容包括但不限于文档的完整性、可用性、标识和标示、完备性、正确性、一致性、易理解性、功能性、兼容性、易学性、易用性、可靠性、信息安全性、维护性、有效性、抗风险等的检查和验证，尤其是软件文档与软件程序之间的一致性验证。</w:t>
            </w:r>
          </w:p>
          <w:p>
            <w:pPr>
              <w:pStyle w:val="null3"/>
              <w:spacing w:before="60"/>
              <w:ind w:left="210"/>
            </w:pPr>
            <w:r>
              <w:rPr>
                <w:rFonts w:ascii="仿宋_GB2312" w:hAnsi="仿宋_GB2312" w:cs="仿宋_GB2312" w:eastAsia="仿宋_GB2312"/>
                <w:sz w:val="24"/>
                <w:color w:val="000000"/>
              </w:rPr>
              <w:t>2.5 代码检测</w:t>
            </w:r>
          </w:p>
          <w:p>
            <w:pPr>
              <w:pStyle w:val="null3"/>
              <w:spacing w:before="60"/>
              <w:ind w:left="210"/>
            </w:pPr>
            <w:r>
              <w:rPr>
                <w:rFonts w:ascii="仿宋_GB2312" w:hAnsi="仿宋_GB2312" w:cs="仿宋_GB2312" w:eastAsia="仿宋_GB2312"/>
                <w:sz w:val="24"/>
                <w:color w:val="000000"/>
              </w:rPr>
              <w:t>开展应用系统代码检测工作，通过专业工具从代码层面发现系统自身的安全风险，如被外部威胁所利用会产生的安全风险，减少应用系统的安全洞和缺陷隐患，降低应用系统安全风险，保障应用系统安全稳定运行。</w:t>
            </w:r>
          </w:p>
          <w:p>
            <w:pPr>
              <w:pStyle w:val="null3"/>
              <w:spacing w:before="60"/>
              <w:ind w:left="210"/>
            </w:pPr>
            <w:r>
              <w:rPr>
                <w:rFonts w:ascii="仿宋_GB2312" w:hAnsi="仿宋_GB2312" w:cs="仿宋_GB2312" w:eastAsia="仿宋_GB2312"/>
                <w:sz w:val="24"/>
                <w:color w:val="000000"/>
              </w:rPr>
              <w:t>2.6 测试系统范围</w:t>
            </w:r>
          </w:p>
          <w:p>
            <w:pPr>
              <w:pStyle w:val="null3"/>
              <w:spacing w:before="60"/>
              <w:ind w:left="210"/>
            </w:pPr>
            <w:r>
              <w:rPr>
                <w:rFonts w:ascii="仿宋_GB2312" w:hAnsi="仿宋_GB2312" w:cs="仿宋_GB2312" w:eastAsia="仿宋_GB2312"/>
                <w:sz w:val="24"/>
                <w:color w:val="000000"/>
              </w:rPr>
              <w:t>需检测的业务系统范围主要包括：</w:t>
            </w:r>
            <w:r>
              <w:rPr>
                <w:rFonts w:ascii="仿宋_GB2312" w:hAnsi="仿宋_GB2312" w:cs="仿宋_GB2312" w:eastAsia="仿宋_GB2312"/>
                <w:sz w:val="24"/>
                <w:color w:val="000000"/>
              </w:rPr>
              <w:t>XX系统所涉及的所有应用软件。</w:t>
            </w:r>
          </w:p>
          <w:p>
            <w:pPr>
              <w:pStyle w:val="null3"/>
              <w:spacing w:before="60"/>
              <w:ind w:left="210"/>
            </w:pPr>
            <w:r>
              <w:rPr>
                <w:rFonts w:ascii="仿宋_GB2312" w:hAnsi="仿宋_GB2312" w:cs="仿宋_GB2312" w:eastAsia="仿宋_GB2312"/>
                <w:sz w:val="24"/>
                <w:color w:val="000000"/>
              </w:rPr>
              <w:t>3.技术要求</w:t>
            </w:r>
          </w:p>
          <w:p>
            <w:pPr>
              <w:pStyle w:val="null3"/>
              <w:spacing w:before="60"/>
              <w:ind w:left="210"/>
            </w:pPr>
            <w:r>
              <w:rPr>
                <w:rFonts w:ascii="仿宋_GB2312" w:hAnsi="仿宋_GB2312" w:cs="仿宋_GB2312" w:eastAsia="仿宋_GB2312"/>
                <w:sz w:val="24"/>
                <w:color w:val="000000"/>
              </w:rPr>
              <w:t>1、规范各系统文档0资料，协调测试计划时间安排，组织完成测试业务需求分析，编写测试方案计划，并组织实施测试；</w:t>
            </w:r>
          </w:p>
          <w:p>
            <w:pPr>
              <w:pStyle w:val="null3"/>
              <w:spacing w:before="60"/>
              <w:ind w:left="210"/>
            </w:pPr>
            <w:r>
              <w:rPr>
                <w:rFonts w:ascii="仿宋_GB2312" w:hAnsi="仿宋_GB2312" w:cs="仿宋_GB2312" w:eastAsia="仿宋_GB2312"/>
                <w:sz w:val="24"/>
                <w:color w:val="000000"/>
              </w:rPr>
              <w:t>2、严格管理项目参加人员，把控方案、计划、实施工作，确保测试工作按时保质完成；</w:t>
            </w:r>
          </w:p>
          <w:p>
            <w:pPr>
              <w:pStyle w:val="null3"/>
              <w:spacing w:before="60"/>
              <w:ind w:left="210"/>
            </w:pPr>
            <w:r>
              <w:rPr>
                <w:rFonts w:ascii="仿宋_GB2312" w:hAnsi="仿宋_GB2312" w:cs="仿宋_GB2312" w:eastAsia="仿宋_GB2312"/>
                <w:sz w:val="24"/>
                <w:color w:val="000000"/>
              </w:rPr>
              <w:t>3、根据信息系统立项文件、需求规格、系统设计、行业标准等文档，编写测试方案、测试计划、测试用例、测试报告等相关文档，确保文档质量；</w:t>
            </w:r>
          </w:p>
          <w:p>
            <w:pPr>
              <w:pStyle w:val="null3"/>
              <w:spacing w:before="60"/>
              <w:ind w:left="210"/>
            </w:pPr>
            <w:r>
              <w:rPr>
                <w:rFonts w:ascii="仿宋_GB2312" w:hAnsi="仿宋_GB2312" w:cs="仿宋_GB2312" w:eastAsia="仿宋_GB2312"/>
                <w:sz w:val="24"/>
                <w:color w:val="000000"/>
              </w:rPr>
              <w:t>4、在测试过程中报告发现的缺陷并实时提出优化建议；在承建方完成整改后进行回归测试，验证缺陷和优化建议已得到正确处理且未引入新的缺陷；要求每次测试至少含一轮回归测试；为提高测试效率,应提供现场测试服务；</w:t>
            </w:r>
          </w:p>
          <w:p>
            <w:pPr>
              <w:pStyle w:val="null3"/>
              <w:spacing w:before="60"/>
              <w:ind w:left="210"/>
            </w:pPr>
            <w:r>
              <w:rPr>
                <w:rFonts w:ascii="仿宋_GB2312" w:hAnsi="仿宋_GB2312" w:cs="仿宋_GB2312" w:eastAsia="仿宋_GB2312"/>
                <w:sz w:val="24"/>
                <w:color w:val="000000"/>
              </w:rPr>
              <w:t>5、所有测试场景 100%测试完成,给出所要求指标实际测试结果,对于未达到要求之指标给予调优建议,如调优仍然无法达到所要求之指标，则给出结论；</w:t>
            </w:r>
          </w:p>
          <w:p>
            <w:pPr>
              <w:pStyle w:val="null3"/>
              <w:spacing w:before="60"/>
              <w:ind w:left="210"/>
            </w:pPr>
            <w:r>
              <w:rPr>
                <w:rFonts w:ascii="仿宋_GB2312" w:hAnsi="仿宋_GB2312" w:cs="仿宋_GB2312" w:eastAsia="仿宋_GB2312"/>
                <w:sz w:val="24"/>
                <w:color w:val="000000"/>
              </w:rPr>
              <w:t>6、通过实施系统测试，发现开发设计缺陷，对被测试系统进行评估，为系统上线并最后总体验收使用提供质量保证。</w:t>
            </w:r>
          </w:p>
          <w:p>
            <w:pPr>
              <w:pStyle w:val="null3"/>
              <w:spacing w:before="60"/>
              <w:ind w:left="210"/>
            </w:pPr>
            <w:r>
              <w:rPr>
                <w:rFonts w:ascii="仿宋_GB2312" w:hAnsi="仿宋_GB2312" w:cs="仿宋_GB2312" w:eastAsia="仿宋_GB2312"/>
                <w:sz w:val="24"/>
                <w:color w:val="000000"/>
              </w:rPr>
              <w:t>4.质量、安全要求</w:t>
            </w:r>
          </w:p>
          <w:p>
            <w:pPr>
              <w:pStyle w:val="null3"/>
              <w:spacing w:before="60"/>
              <w:ind w:left="210"/>
            </w:pPr>
            <w:r>
              <w:rPr>
                <w:rFonts w:ascii="仿宋_GB2312" w:hAnsi="仿宋_GB2312" w:cs="仿宋_GB2312" w:eastAsia="仿宋_GB2312"/>
                <w:sz w:val="24"/>
                <w:color w:val="000000"/>
              </w:rPr>
              <w:t>4.1 质量要求</w:t>
            </w:r>
          </w:p>
          <w:p>
            <w:pPr>
              <w:pStyle w:val="null3"/>
              <w:spacing w:before="60"/>
              <w:ind w:left="210"/>
            </w:pPr>
            <w:r>
              <w:rPr>
                <w:rFonts w:ascii="仿宋_GB2312" w:hAnsi="仿宋_GB2312" w:cs="仿宋_GB2312" w:eastAsia="仿宋_GB2312"/>
                <w:sz w:val="24"/>
                <w:color w:val="000000"/>
              </w:rPr>
              <w:t>完成本项目采购需求内全部内容，测试要求所使用的标准和规范如与建设方所执行的标准不一致时，按较高标准执行。</w:t>
            </w:r>
          </w:p>
          <w:p>
            <w:pPr>
              <w:pStyle w:val="null3"/>
              <w:spacing w:before="60"/>
              <w:ind w:left="210"/>
            </w:pPr>
            <w:r>
              <w:rPr>
                <w:rFonts w:ascii="仿宋_GB2312" w:hAnsi="仿宋_GB2312" w:cs="仿宋_GB2312" w:eastAsia="仿宋_GB2312"/>
                <w:sz w:val="24"/>
                <w:color w:val="000000"/>
              </w:rPr>
              <w:t>每个软件测试服务子项目，除去系统不符合项问题整改时间及风险漏洞整改时间外，从测试启动至提交服务成果，原则上应在</w:t>
            </w:r>
            <w:r>
              <w:rPr>
                <w:rFonts w:ascii="仿宋_GB2312" w:hAnsi="仿宋_GB2312" w:cs="仿宋_GB2312" w:eastAsia="仿宋_GB2312"/>
                <w:sz w:val="24"/>
                <w:color w:val="000000"/>
              </w:rPr>
              <w:t>15-30个工作日内完成。</w:t>
            </w:r>
          </w:p>
          <w:p>
            <w:pPr>
              <w:pStyle w:val="null3"/>
              <w:spacing w:before="60"/>
              <w:ind w:left="210"/>
            </w:pPr>
            <w:r>
              <w:rPr>
                <w:rFonts w:ascii="仿宋_GB2312" w:hAnsi="仿宋_GB2312" w:cs="仿宋_GB2312" w:eastAsia="仿宋_GB2312"/>
                <w:sz w:val="24"/>
                <w:color w:val="000000"/>
              </w:rPr>
              <w:t>如因项目实际质量情况问题较多，具体完成时间可根据甲方实际要求进行调整，以达到项目目标。</w:t>
            </w:r>
          </w:p>
          <w:p>
            <w:pPr>
              <w:pStyle w:val="null3"/>
              <w:spacing w:before="60"/>
              <w:ind w:left="210"/>
            </w:pPr>
            <w:r>
              <w:rPr>
                <w:rFonts w:ascii="仿宋_GB2312" w:hAnsi="仿宋_GB2312" w:cs="仿宋_GB2312" w:eastAsia="仿宋_GB2312"/>
                <w:sz w:val="24"/>
                <w:color w:val="000000"/>
              </w:rPr>
              <w:t>4.2 安全要求</w:t>
            </w:r>
          </w:p>
          <w:p>
            <w:pPr>
              <w:pStyle w:val="null3"/>
              <w:spacing w:before="60"/>
              <w:ind w:left="210"/>
            </w:pPr>
            <w:r>
              <w:rPr>
                <w:rFonts w:ascii="仿宋_GB2312" w:hAnsi="仿宋_GB2312" w:cs="仿宋_GB2312" w:eastAsia="仿宋_GB2312"/>
                <w:sz w:val="24"/>
                <w:color w:val="000000"/>
              </w:rPr>
              <w:t>对测试服务过程中接触到的各种信息、不得向任何单位和个人泄露，未经允许不得利用这些信息从事与业务无关活动。</w:t>
            </w:r>
          </w:p>
          <w:p>
            <w:pPr>
              <w:pStyle w:val="null3"/>
              <w:jc w:val="left"/>
            </w:pPr>
            <w:r>
              <w:rPr>
                <w:rFonts w:ascii="仿宋_GB2312" w:hAnsi="仿宋_GB2312" w:cs="仿宋_GB2312" w:eastAsia="仿宋_GB2312"/>
                <w:sz w:val="24"/>
                <w:color w:val="000000"/>
              </w:rPr>
              <w:t>对工作中了解到的采购人的技术、机密等进行严格保密，不得向他人泄漏。</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标的名称：西安市中小企业数字化转型发展一站式服务系统建设项目密码应用安全性评估服务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ind w:left="120"/>
            </w:pPr>
            <w:r>
              <w:rPr>
                <w:rFonts w:ascii="仿宋_GB2312" w:hAnsi="仿宋_GB2312" w:cs="仿宋_GB2312" w:eastAsia="仿宋_GB2312"/>
                <w:sz w:val="24"/>
                <w:color w:val="000000"/>
              </w:rPr>
              <w:t>1.项目总体目标：</w:t>
            </w:r>
          </w:p>
          <w:p>
            <w:pPr>
              <w:pStyle w:val="null3"/>
              <w:spacing w:before="45"/>
              <w:ind w:left="120"/>
            </w:pPr>
            <w:r>
              <w:rPr>
                <w:rFonts w:ascii="仿宋_GB2312" w:hAnsi="仿宋_GB2312" w:cs="仿宋_GB2312" w:eastAsia="仿宋_GB2312"/>
                <w:sz w:val="24"/>
                <w:color w:val="000000"/>
              </w:rPr>
              <w:t>依照相关《信息系统密码应用基本要求》、《公安机关商用密码应用指南》等政策文件，对《中小企业数字化转型发展一站式服务系统》提供密码应用安全性评估服务，按照国家规范要求，制定测评方案，实施测评，提出整改意见，跟踪整改进度，为服务项目验收提供依据。</w:t>
            </w:r>
          </w:p>
          <w:p>
            <w:pPr>
              <w:pStyle w:val="null3"/>
              <w:spacing w:before="45"/>
              <w:ind w:left="120"/>
            </w:pPr>
            <w:r>
              <w:rPr>
                <w:rFonts w:ascii="仿宋_GB2312" w:hAnsi="仿宋_GB2312" w:cs="仿宋_GB2312" w:eastAsia="仿宋_GB2312"/>
                <w:sz w:val="24"/>
                <w:color w:val="000000"/>
              </w:rPr>
              <w:t>2.服务范围</w:t>
            </w:r>
          </w:p>
          <w:p>
            <w:pPr>
              <w:pStyle w:val="null3"/>
              <w:spacing w:before="45"/>
              <w:ind w:left="120"/>
            </w:pPr>
            <w:r>
              <w:rPr>
                <w:rFonts w:ascii="仿宋_GB2312" w:hAnsi="仿宋_GB2312" w:cs="仿宋_GB2312" w:eastAsia="仿宋_GB2312"/>
                <w:sz w:val="24"/>
                <w:color w:val="000000"/>
              </w:rPr>
              <w:t>本项目密码测评服务主要针对西安市工信局《中小企业数字化转型发展一站式服务系统》开展商用密码应用安全评估。</w:t>
            </w:r>
          </w:p>
          <w:p>
            <w:pPr>
              <w:pStyle w:val="null3"/>
              <w:spacing w:before="45"/>
              <w:ind w:left="120"/>
            </w:pPr>
            <w:r>
              <w:rPr>
                <w:rFonts w:ascii="仿宋_GB2312" w:hAnsi="仿宋_GB2312" w:cs="仿宋_GB2312" w:eastAsia="仿宋_GB2312"/>
                <w:sz w:val="24"/>
                <w:color w:val="000000"/>
              </w:rPr>
              <w:t>3.服务内容</w:t>
            </w:r>
          </w:p>
          <w:p>
            <w:pPr>
              <w:pStyle w:val="null3"/>
              <w:spacing w:before="45"/>
              <w:ind w:left="120"/>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GM/T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对各系统提出整改意见，跟踪整改进度，形成整改建议书，协助用户完成整改，对高风险项进行复测，并完成在密码管理部门的备案。具体内容包括：</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服务内容</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服务内容子项</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工作内容</w:t>
                  </w:r>
                </w:p>
              </w:tc>
            </w:tr>
            <w:tr>
              <w:tc>
                <w:tcPr>
                  <w:tcW w:type="dxa" w:w="6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需求沟通确认</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需求沟通调研和确认工作实施要求</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对安全评估的组织实施流程、风险管控效果、时间节点、交付成果、评估方式等基础信息进行沟通核实，确认服务需求和工作要求</w:t>
                  </w:r>
                </w:p>
              </w:tc>
            </w:tr>
            <w:tr>
              <w:tc>
                <w:tcPr>
                  <w:tcW w:type="dxa" w:w="6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基础材料搜集整理和现场沟通采集</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按照评估准备实施要求，搜集整理必要素材</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通过远程或现场会议方式与业务研发、运维部门技术团队和保障团队沟通评估所需基础素材、文档等必要信息</w:t>
                  </w:r>
                </w:p>
              </w:tc>
            </w:tr>
            <w:tr>
              <w:tc>
                <w:tcPr>
                  <w:tcW w:type="dxa" w:w="6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密码应用方案评估</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密码应用方案</w:t>
                  </w:r>
                </w:p>
                <w:p>
                  <w:pPr>
                    <w:pStyle w:val="null3"/>
                    <w:spacing w:before="45"/>
                    <w:ind w:left="120"/>
                  </w:pPr>
                  <w:r>
                    <w:rPr>
                      <w:rFonts w:ascii="仿宋_GB2312" w:hAnsi="仿宋_GB2312" w:cs="仿宋_GB2312" w:eastAsia="仿宋_GB2312"/>
                      <w:sz w:val="24"/>
                      <w:color w:val="000000"/>
                    </w:rPr>
                    <w:t>评估</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对委托方制定的密码应用方案进行评估，出具《密码应用方案评估报告》</w:t>
                  </w:r>
                </w:p>
              </w:tc>
            </w:tr>
            <w:tr>
              <w:tc>
                <w:tcPr>
                  <w:tcW w:type="dxa" w:w="6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4</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系统评估</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依据</w:t>
                  </w:r>
                  <w:r>
                    <w:rPr>
                      <w:rFonts w:ascii="仿宋_GB2312" w:hAnsi="仿宋_GB2312" w:cs="仿宋_GB2312" w:eastAsia="仿宋_GB2312"/>
                      <w:sz w:val="24"/>
                      <w:color w:val="000000"/>
                    </w:rPr>
                    <w:t>GB/T 39786-2021《信息系统密码应用基本要求》等标准进行测评</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GB/T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63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5</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报告编制</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编制评估报告</w:t>
                  </w:r>
                </w:p>
              </w:tc>
              <w:tc>
                <w:tcPr>
                  <w:tcW w:type="dxa" w:w="6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对评估过程中发现的问题进行汇总确认，总结各项评估指标的评估结果，编制评估报告。</w:t>
                  </w:r>
                </w:p>
              </w:tc>
            </w:tr>
          </w:tbl>
          <w:p>
            <w:pPr>
              <w:pStyle w:val="null3"/>
              <w:spacing w:before="45"/>
              <w:ind w:left="120"/>
            </w:pPr>
            <w:r>
              <w:rPr>
                <w:rFonts w:ascii="仿宋_GB2312" w:hAnsi="仿宋_GB2312" w:cs="仿宋_GB2312" w:eastAsia="仿宋_GB2312"/>
                <w:sz w:val="24"/>
                <w:color w:val="000000"/>
              </w:rPr>
              <w:t>开展商用密码应用安全性评估，从通用要求、物理和环境、网络和通信、设备和计算、应用和数据、管理制度、人员管理、建设运行、应急处置等方面开展测评，具体测评指标如下（以等级保护第三级信息系统为例）：</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测评层面</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测评单元</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指标要求</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物理和环境安全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身份鉴别</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宜采用密码技术进行物理访问身份鉴别，保证重要区域进入人员身份的真实性。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电子门禁记录数据存储完整性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宜采用密码技术保证电子门禁系统进出记录数据的存储完整性。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视频监控记录数据存储完整性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宜采用密码技术保证视频监控音像记录数据的存储完整性。</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网络和通信安全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身份鉴别</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应采用密码技术对通信实体进行身份鉴别，保证通信实体身份的真实性。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通信数据完整性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宜采用密码技术保证通信过程中数据的完整性。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通信过程中重要数据的机密性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应采用密码技术保证通信过程中重要数据的机密性。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网络边界访问控制信息的完整性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宜采用密码技术保证网络边界访问控制信息的完整性。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安全接入认证</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可采用密码技术对从外部连接到内部网络的设备进行接入认证，确保接入的设备身份真实性。</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设备和计算安全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身份鉴别</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应采用密码技术对登录设备的用户进行身份鉴别，保证用户身份的真实性。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远程管理通道安全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远程管理设备时，应采用密码技术建立安全的信息传输通道。</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系统资源访问控制信息完整性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宜采用密码技术保证系统资源访问控制信息的完整性。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重要信息资源安全标记完整性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宜采用密码技术保证设备中的重要信息资源安全标记的完整性。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日志记录完整性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宜采用密码技术保证日志记录的完整性。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重要可执行程序完整性、重要可执行程序来源真实性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宜采用密码技术对重要可执行程序进行完整性保护，并对其来源进行真实性验证。</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应用和数据安全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身份鉴别</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应采用密码技术对登录用户进行身份鉴别，保证应用系统用户身份的真实性。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访问控制信息完整性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宜采用密码技术保证信息系统应用的访问控制信息的完整性。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重要信息资源安全标记完整性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宜采用密码技术保证信息系统应用的重要信息资源安全标记的完整性；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重要数据传输机密性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应采用密码技术保证信息系统应用的重要数据在传输过程中的机密性。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重要数据存储机密性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应采用密码技术保证信息系统应用的重要数据在存储过程中的机密性。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重要数据传输完整性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宜采用密码技术保证信息系统应用的重要数据在传输过程中的完整性。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重要数据存储完整性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宜采用密码技术保证信息系统应用的重要数据在存储过程中的完整性；</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不可否认性</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在可能涉及法律责任认定的应用中，宜采用密码技术提供数据原发证据和数据接收证据，实现数据原发行为的不可否认性和数据接收行为的不可否认性。</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管理制度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具备密码应用安全管理制度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应具备密码应用安全管理制度，包括密码人员管理、密钥管理、建设运行、应急处置、密码软硬件及介质管理等制度；</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密钥管理规则</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应根据密码应用方案建立相应密钥管理规则；</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建立操作规程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应对管理人员或操作人员执行的日常管理操作建立操作规程；</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定期修订安全管理制度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应定期对密码应用安全管理制度和操作规程的合理性和适用性进行论证和审定，对存在不足或需要改进之处进行修订；</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明确管理制度发布流程</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应明确相关密码应用安全管理制度和操作规程的发布流程并进行版本控制；</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制度执行过程记录留存</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应具有密码应用操作规程的相关执行记录并妥善保存。</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人员管理</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了解并遵守密码相关法律法规和密码管理制度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相关人员应了解并遵守密码相关法律法规、密码应用安全管理制度；</w:t>
                  </w:r>
                </w:p>
              </w:tc>
            </w:tr>
            <w:tr>
              <w:tc>
                <w:tcPr>
                  <w:tcW w:type="dxa" w:w="851"/>
                  <w:vMerge/>
                  <w:tcBorders>
                    <w:top w:val="none" w:color="000000" w:sz="4"/>
                    <w:left w:val="single" w:color="000000" w:sz="4"/>
                    <w:bottom w:val="single" w:color="000000" w:sz="4"/>
                    <w:right w:val="single" w:color="000000" w:sz="4"/>
                  </w:tcBorders>
                </w:tcP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建立密码应用岗位责任制度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应建立密码应用岗位责任制度，明确各岗位在安全系统中的职责和权限：</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1) 根据密码应用的实际情况，设置密钥管理员、密码安全审计员、密码操作员等关键安全岗位；</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2) 对关键岗位建立多人共管机制；</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3) 密钥管理、密码安全审计、密码操作人员职责互相制约互相监督，其中密码安全审计员岗位不可与密钥管理员、密码操作员兼任；</w:t>
                  </w:r>
                </w:p>
              </w:tc>
            </w:tr>
            <w:tr>
              <w:tc>
                <w:tcPr>
                  <w:tcW w:type="dxa" w:w="851"/>
                  <w:vMerge/>
                  <w:tcBorders>
                    <w:top w:val="none" w:color="000000" w:sz="4"/>
                    <w:left w:val="single" w:color="000000" w:sz="4"/>
                    <w:bottom w:val="single" w:color="000000" w:sz="4"/>
                    <w:right w:val="single" w:color="000000" w:sz="4"/>
                  </w:tcBorders>
                </w:tcPr>
                <w:p/>
              </w:tc>
              <w:tc>
                <w:tcPr>
                  <w:tcW w:type="dxa" w:w="851"/>
                  <w:vMerge/>
                  <w:tcBorders>
                    <w:top w:val="none" w:color="000000" w:sz="4"/>
                    <w:left w:val="non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4) 相关设备与系统的管理和使用账号不得多人共用。</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建立上岗人员培训制度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应建立上岗人员培训制度，对于涉及密码的操作和管理的人员进行专门培训，确保其具备岗位所需专业技能；</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定期进行安全岗位人员考核</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应定期对密码应用安全岗位人员进行考核；</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建立关键岗位人员保密制度和调离制度</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应建立关键人员保密制度和调离制度，签订保密合同，承担保密义务。</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建设运行</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制定密码应用方案</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应依据密码相关标准和密码应用需求，制定密码应用方案；</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制定密钥安全管理策略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应根据密码应用方案，确定系统涉及的密钥种类、体系及其生命周期环节，各环节密钥管理要求参照附录</w:t>
                  </w:r>
                  <w:r>
                    <w:rPr>
                      <w:rFonts w:ascii="仿宋_GB2312" w:hAnsi="仿宋_GB2312" w:cs="仿宋_GB2312" w:eastAsia="仿宋_GB2312"/>
                      <w:sz w:val="24"/>
                      <w:color w:val="000000"/>
                    </w:rPr>
                    <w:t>B；</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制定实施方案</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应按照应用方案实施建设；</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投入运行前进行密码应用安全性评估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投入运行前应进行密码应用安全性评估，评估通过后系统方可正式运行；</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定期开展密码应用安全性评估及攻防对抗演习</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在运行过程中，应严格执行既定的密码应用安全管理制度，应定期开展密码应用安全性评估及攻防对抗演习，并根据评估结果进行整改。</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应急处置</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应急策略</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应制定密码应用应急策略，做好应急资源准备，当密码应用安全事件发生时，应立即启动应急处置措施，结合实际情况及时处置；</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事件处置</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事件发生后，应及时向信息系统主管部门进行报告；</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向有关主管部门上报处置情况</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pPr>
                  <w:r>
                    <w:rPr>
                      <w:rFonts w:ascii="仿宋_GB2312" w:hAnsi="仿宋_GB2312" w:cs="仿宋_GB2312" w:eastAsia="仿宋_GB2312"/>
                      <w:sz w:val="24"/>
                      <w:color w:val="000000"/>
                    </w:rPr>
                    <w:t>事件处置完成后，应及时向信息系统主管部门及归属的密码管理部门报告事件发生情况及处置情况。</w:t>
                  </w:r>
                </w:p>
              </w:tc>
            </w:tr>
          </w:tbl>
          <w:p>
            <w:pPr>
              <w:pStyle w:val="null3"/>
              <w:spacing w:before="45"/>
              <w:ind w:left="120"/>
            </w:pPr>
            <w:r>
              <w:rPr>
                <w:rFonts w:ascii="仿宋_GB2312" w:hAnsi="仿宋_GB2312" w:cs="仿宋_GB2312" w:eastAsia="仿宋_GB2312"/>
                <w:sz w:val="24"/>
                <w:color w:val="000000"/>
              </w:rPr>
              <w:t>4.服务要求</w:t>
            </w:r>
          </w:p>
          <w:p>
            <w:pPr>
              <w:pStyle w:val="null3"/>
              <w:spacing w:before="45"/>
              <w:ind w:left="120"/>
            </w:pPr>
            <w:r>
              <w:rPr>
                <w:rFonts w:ascii="仿宋_GB2312" w:hAnsi="仿宋_GB2312" w:cs="仿宋_GB2312" w:eastAsia="仿宋_GB2312"/>
                <w:sz w:val="24"/>
                <w:color w:val="000000"/>
              </w:rPr>
              <w:t>4.1技术要求</w:t>
            </w:r>
          </w:p>
          <w:p>
            <w:pPr>
              <w:pStyle w:val="null3"/>
              <w:spacing w:before="45"/>
              <w:ind w:left="120"/>
            </w:pPr>
            <w:r>
              <w:rPr>
                <w:rFonts w:ascii="仿宋_GB2312" w:hAnsi="仿宋_GB2312" w:cs="仿宋_GB2312" w:eastAsia="仿宋_GB2312"/>
                <w:sz w:val="24"/>
                <w:color w:val="000000"/>
              </w:rPr>
              <w:t>测评机构按照</w:t>
            </w:r>
            <w:r>
              <w:rPr>
                <w:rFonts w:ascii="仿宋_GB2312" w:hAnsi="仿宋_GB2312" w:cs="仿宋_GB2312" w:eastAsia="仿宋_GB2312"/>
                <w:sz w:val="24"/>
                <w:color w:val="000000"/>
              </w:rPr>
              <w:t>GM/T 39786-2021《信息系统密码应用基本要求》对系统进行评估，密码应用测评须满足合规性、正确性、有效性。合规性，指信息系统中的密码算法、密码协议、密钥管理、密码产品和服务使用合规；使用符合国家密码法规和标准规定的商用密码算法，使用经检测认证合格的商用密码产品或服务。正确性，指信息系统中的密码算法、密码协议、密钥管理、密码产品和服务使用正确。即釆用的密码算法、协议和密钥管理机制按照相应的密码国家和行业标准进行正确的设计和实现；密码保障系统建设或改造过程中密码产品和服务的部署和应用正确。有效性，指信息系统釆用的密码协议、密钥管理系统、密码应用子系统和密码安全防护机制不仅设计合理，而且在系统运行过程中能够发挥密码效用，保障信息的机密性、完整性、真实性、抗抵赖性。</w:t>
            </w:r>
          </w:p>
          <w:p>
            <w:pPr>
              <w:pStyle w:val="null3"/>
              <w:spacing w:before="45"/>
              <w:ind w:left="120"/>
            </w:pPr>
            <w:r>
              <w:rPr>
                <w:rFonts w:ascii="仿宋_GB2312" w:hAnsi="仿宋_GB2312" w:cs="仿宋_GB2312" w:eastAsia="仿宋_GB2312"/>
                <w:sz w:val="24"/>
                <w:color w:val="000000"/>
              </w:rPr>
              <w:t>4.2进度要求</w:t>
            </w:r>
          </w:p>
          <w:p>
            <w:pPr>
              <w:pStyle w:val="null3"/>
              <w:spacing w:before="45"/>
              <w:ind w:left="120"/>
            </w:pPr>
            <w:r>
              <w:rPr>
                <w:rFonts w:ascii="仿宋_GB2312" w:hAnsi="仿宋_GB2312" w:cs="仿宋_GB2312" w:eastAsia="仿宋_GB2312"/>
                <w:sz w:val="24"/>
                <w:color w:val="000000"/>
              </w:rPr>
              <w:t>4.2.1进度管理</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1）服务期限为自测评服务合同签订之日起至项目通过验收。</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2）提供技术方案书，提交详细的项目组织及实施规划，并且提交从合同签订之日起的周工作进度安排计划，须严格按照项目进度要求开展项目工作。</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3）须严格按照项目阶段设计项目里程碑和里程碑产出物。</w:t>
            </w:r>
          </w:p>
          <w:p>
            <w:pPr>
              <w:pStyle w:val="null3"/>
              <w:spacing w:before="45"/>
              <w:ind w:left="120"/>
            </w:pPr>
            <w:r>
              <w:rPr>
                <w:rFonts w:ascii="仿宋_GB2312" w:hAnsi="仿宋_GB2312" w:cs="仿宋_GB2312" w:eastAsia="仿宋_GB2312"/>
                <w:sz w:val="24"/>
                <w:color w:val="000000"/>
              </w:rPr>
              <w:t>4.2.2成果交付期限</w:t>
            </w:r>
          </w:p>
          <w:p>
            <w:pPr>
              <w:pStyle w:val="null3"/>
              <w:spacing w:before="45"/>
              <w:ind w:left="120"/>
            </w:pPr>
            <w:r>
              <w:rPr>
                <w:rFonts w:ascii="仿宋_GB2312" w:hAnsi="仿宋_GB2312" w:cs="仿宋_GB2312" w:eastAsia="仿宋_GB2312"/>
                <w:sz w:val="24"/>
                <w:color w:val="000000"/>
              </w:rPr>
              <w:t>在测评系统组织验收前</w:t>
            </w:r>
            <w:r>
              <w:rPr>
                <w:rFonts w:ascii="仿宋_GB2312" w:hAnsi="仿宋_GB2312" w:cs="仿宋_GB2312" w:eastAsia="仿宋_GB2312"/>
                <w:sz w:val="24"/>
                <w:color w:val="000000"/>
              </w:rPr>
              <w:t>10个工作日内。</w:t>
            </w:r>
          </w:p>
          <w:p>
            <w:pPr>
              <w:pStyle w:val="null3"/>
              <w:spacing w:before="45"/>
              <w:ind w:left="120"/>
            </w:pPr>
            <w:r>
              <w:rPr>
                <w:rFonts w:ascii="仿宋_GB2312" w:hAnsi="仿宋_GB2312" w:cs="仿宋_GB2312" w:eastAsia="仿宋_GB2312"/>
                <w:sz w:val="24"/>
                <w:color w:val="000000"/>
              </w:rPr>
              <w:t>5.管理要求</w:t>
            </w:r>
          </w:p>
          <w:p>
            <w:pPr>
              <w:pStyle w:val="null3"/>
              <w:spacing w:before="45"/>
              <w:ind w:left="120"/>
            </w:pPr>
            <w:r>
              <w:rPr>
                <w:rFonts w:ascii="仿宋_GB2312" w:hAnsi="仿宋_GB2312" w:cs="仿宋_GB2312" w:eastAsia="仿宋_GB2312"/>
                <w:sz w:val="24"/>
                <w:color w:val="000000"/>
              </w:rPr>
              <w:t>5.1服务人员</w:t>
            </w:r>
          </w:p>
          <w:p>
            <w:pPr>
              <w:pStyle w:val="null3"/>
              <w:spacing w:before="45"/>
              <w:ind w:left="120"/>
            </w:pPr>
            <w:r>
              <w:rPr>
                <w:rFonts w:ascii="仿宋_GB2312" w:hAnsi="仿宋_GB2312" w:cs="仿宋_GB2312" w:eastAsia="仿宋_GB2312"/>
                <w:sz w:val="24"/>
                <w:color w:val="000000"/>
              </w:rPr>
              <w:t>现场服务要求：如在系统评估阶段，应安排具有相应资质的密评人员参与，还需指定人员在采购人指定地点提供驻现场技术服务。</w:t>
            </w:r>
          </w:p>
          <w:p>
            <w:pPr>
              <w:pStyle w:val="null3"/>
              <w:spacing w:before="45"/>
              <w:ind w:left="120"/>
            </w:pPr>
            <w:r>
              <w:rPr>
                <w:rFonts w:ascii="仿宋_GB2312" w:hAnsi="仿宋_GB2312" w:cs="仿宋_GB2312" w:eastAsia="仿宋_GB2312"/>
                <w:sz w:val="24"/>
                <w:color w:val="000000"/>
              </w:rPr>
              <w:t>在项目负责人员方面，应包括一名专职负责的项目经理；在实施期内，项目经理应根据项目需要到指定现场处理问题或交流情况。为应对可能发生的多系统同时测评，供应商应保证为本项目配备足够的现场测评技术人员，构建测评工具环境，合理划分为若干个测评小组，同时应保证足够的场外支持人员，在技能上要有软件测试、软件设计、网络安全和密码安全等领域的专业人员。为保证项目顺利开展，测评团队应为本项目配备项目管理人员以及质量保证人员。</w:t>
            </w:r>
          </w:p>
          <w:p>
            <w:pPr>
              <w:pStyle w:val="null3"/>
              <w:spacing w:before="45"/>
              <w:ind w:left="120"/>
            </w:pPr>
            <w:r>
              <w:rPr>
                <w:rFonts w:ascii="仿宋_GB2312" w:hAnsi="仿宋_GB2312" w:cs="仿宋_GB2312" w:eastAsia="仿宋_GB2312"/>
                <w:sz w:val="24"/>
                <w:color w:val="000000"/>
              </w:rPr>
              <w:t>5.2组织实施要求</w:t>
            </w:r>
          </w:p>
          <w:p>
            <w:pPr>
              <w:pStyle w:val="null3"/>
              <w:spacing w:before="45"/>
              <w:ind w:left="120"/>
            </w:pPr>
            <w:r>
              <w:rPr>
                <w:rFonts w:ascii="仿宋_GB2312" w:hAnsi="仿宋_GB2312" w:cs="仿宋_GB2312" w:eastAsia="仿宋_GB2312"/>
                <w:sz w:val="24"/>
                <w:color w:val="000000"/>
              </w:rPr>
              <w:t>实施方式：同时支持通过现场、电话、网络等多种方式对采购人的技术需求进行支持和响应。</w:t>
            </w:r>
          </w:p>
          <w:p>
            <w:pPr>
              <w:pStyle w:val="null3"/>
              <w:spacing w:before="45"/>
              <w:ind w:left="120"/>
            </w:pPr>
            <w:r>
              <w:rPr>
                <w:rFonts w:ascii="仿宋_GB2312" w:hAnsi="仿宋_GB2312" w:cs="仿宋_GB2312" w:eastAsia="仿宋_GB2312"/>
                <w:sz w:val="24"/>
                <w:color w:val="000000"/>
              </w:rPr>
              <w:t>管理要求：为保障项目按时、按质、按量有序实施，供应商须建立稳定的项目团队、组织管理机构、协调管理机制，配备专业专职技术服务队伍</w:t>
            </w:r>
            <w:r>
              <w:rPr>
                <w:rFonts w:ascii="仿宋_GB2312" w:hAnsi="仿宋_GB2312" w:cs="仿宋_GB2312" w:eastAsia="仿宋_GB2312"/>
                <w:sz w:val="24"/>
                <w:color w:val="000000"/>
              </w:rPr>
              <w:t>,提供技术保障支撑保障要求。</w:t>
            </w:r>
          </w:p>
          <w:p>
            <w:pPr>
              <w:pStyle w:val="null3"/>
              <w:spacing w:before="45"/>
              <w:ind w:left="120"/>
            </w:pPr>
            <w:r>
              <w:rPr>
                <w:rFonts w:ascii="仿宋_GB2312" w:hAnsi="仿宋_GB2312" w:cs="仿宋_GB2312" w:eastAsia="仿宋_GB2312"/>
                <w:sz w:val="24"/>
                <w:color w:val="000000"/>
              </w:rPr>
              <w:t>5.3成果要求</w:t>
            </w:r>
          </w:p>
          <w:p>
            <w:pPr>
              <w:pStyle w:val="null3"/>
              <w:spacing w:before="45"/>
              <w:ind w:left="120"/>
            </w:pPr>
            <w:r>
              <w:rPr>
                <w:rFonts w:ascii="仿宋_GB2312" w:hAnsi="仿宋_GB2312" w:cs="仿宋_GB2312" w:eastAsia="仿宋_GB2312"/>
                <w:sz w:val="24"/>
                <w:color w:val="000000"/>
              </w:rPr>
              <w:t>供应商须保证项目文档的完整性，在项目实施各阶段按时完成相关技术文档的编写（重要文档须经采购人审核确认），在项目完成时协助采购人完成项目归档相关工作。</w:t>
            </w:r>
          </w:p>
          <w:p>
            <w:pPr>
              <w:pStyle w:val="null3"/>
              <w:spacing w:before="45"/>
              <w:ind w:left="120"/>
            </w:pPr>
            <w:r>
              <w:rPr>
                <w:rFonts w:ascii="仿宋_GB2312" w:hAnsi="仿宋_GB2312" w:cs="仿宋_GB2312" w:eastAsia="仿宋_GB2312"/>
                <w:sz w:val="24"/>
                <w:color w:val="000000"/>
              </w:rPr>
              <w:t>5.3.1文档成果</w:t>
            </w:r>
          </w:p>
          <w:p>
            <w:pPr>
              <w:pStyle w:val="null3"/>
              <w:spacing w:before="45"/>
              <w:ind w:left="120"/>
            </w:pPr>
            <w:r>
              <w:rPr>
                <w:rFonts w:ascii="仿宋_GB2312" w:hAnsi="仿宋_GB2312" w:cs="仿宋_GB2312" w:eastAsia="仿宋_GB2312"/>
                <w:sz w:val="24"/>
                <w:color w:val="000000"/>
              </w:rPr>
              <w:t>除实际的服务工作，本项目须提交文档成果，包括纸质文档装订成册</w:t>
            </w:r>
            <w:r>
              <w:rPr>
                <w:rFonts w:ascii="仿宋_GB2312" w:hAnsi="仿宋_GB2312" w:cs="仿宋_GB2312" w:eastAsia="仿宋_GB2312"/>
                <w:sz w:val="24"/>
                <w:color w:val="000000"/>
              </w:rPr>
              <w:t>3套，电子文档1套（电子版与纸质版内容一致），包括但不限于以下文档成果：</w:t>
            </w:r>
          </w:p>
          <w:p>
            <w:pPr>
              <w:pStyle w:val="null3"/>
              <w:spacing w:before="45"/>
              <w:ind w:left="120"/>
            </w:pPr>
            <w:r>
              <w:rPr>
                <w:rFonts w:ascii="仿宋_GB2312" w:hAnsi="仿宋_GB2312" w:cs="仿宋_GB2312" w:eastAsia="仿宋_GB2312"/>
                <w:sz w:val="24"/>
                <w:color w:val="000000"/>
              </w:rPr>
              <w:t>密码应用测评方案、密码应用测评记录、密码应用测评报告（需包含测评依据、测评过程、测评内容、测评结果及测评结论）、密码应用测评整改建议。</w:t>
            </w:r>
          </w:p>
          <w:p>
            <w:pPr>
              <w:pStyle w:val="null3"/>
              <w:spacing w:before="45"/>
              <w:ind w:left="120"/>
            </w:pPr>
            <w:r>
              <w:rPr>
                <w:rFonts w:ascii="仿宋_GB2312" w:hAnsi="仿宋_GB2312" w:cs="仿宋_GB2312" w:eastAsia="仿宋_GB2312"/>
                <w:sz w:val="24"/>
                <w:color w:val="000000"/>
              </w:rPr>
              <w:t>5.3.2交付地点</w:t>
            </w:r>
          </w:p>
          <w:p>
            <w:pPr>
              <w:pStyle w:val="null3"/>
              <w:spacing w:before="45"/>
              <w:ind w:left="120"/>
            </w:pPr>
            <w:r>
              <w:rPr>
                <w:rFonts w:ascii="仿宋_GB2312" w:hAnsi="仿宋_GB2312" w:cs="仿宋_GB2312" w:eastAsia="仿宋_GB2312"/>
                <w:sz w:val="24"/>
                <w:color w:val="000000"/>
              </w:rPr>
              <w:t>采购人指定地点。</w:t>
            </w:r>
          </w:p>
          <w:p>
            <w:pPr>
              <w:pStyle w:val="null3"/>
              <w:spacing w:before="45"/>
              <w:ind w:left="120"/>
            </w:pPr>
            <w:r>
              <w:rPr>
                <w:rFonts w:ascii="仿宋_GB2312" w:hAnsi="仿宋_GB2312" w:cs="仿宋_GB2312" w:eastAsia="仿宋_GB2312"/>
                <w:sz w:val="24"/>
                <w:color w:val="000000"/>
              </w:rPr>
              <w:t>6.验收标准和方式</w:t>
            </w:r>
          </w:p>
          <w:p>
            <w:pPr>
              <w:pStyle w:val="null3"/>
              <w:spacing w:before="45"/>
              <w:ind w:left="120"/>
            </w:pPr>
            <w:r>
              <w:rPr>
                <w:rFonts w:ascii="仿宋_GB2312" w:hAnsi="仿宋_GB2312" w:cs="仿宋_GB2312" w:eastAsia="仿宋_GB2312"/>
                <w:sz w:val="24"/>
                <w:color w:val="000000"/>
              </w:rPr>
              <w:t>6.1验收标准</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1）符合国家、省、市及行业相关标准。</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2）符合采购文件中的相应技术要求。</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3）符合项目实施过程中，双方约定的标准和要求。</w:t>
            </w:r>
          </w:p>
          <w:p>
            <w:pPr>
              <w:pStyle w:val="null3"/>
              <w:spacing w:before="45"/>
              <w:ind w:left="120"/>
            </w:pPr>
            <w:r>
              <w:rPr>
                <w:rFonts w:ascii="仿宋_GB2312" w:hAnsi="仿宋_GB2312" w:cs="仿宋_GB2312" w:eastAsia="仿宋_GB2312"/>
                <w:sz w:val="24"/>
                <w:color w:val="000000"/>
              </w:rPr>
              <w:t>（</w:t>
            </w:r>
            <w:r>
              <w:rPr>
                <w:rFonts w:ascii="仿宋_GB2312" w:hAnsi="仿宋_GB2312" w:cs="仿宋_GB2312" w:eastAsia="仿宋_GB2312"/>
                <w:sz w:val="24"/>
                <w:color w:val="000000"/>
              </w:rPr>
              <w:t>4）验收标准包括但不限于：对各系统的各功能模块及性能指标做专业性的技术检验，并按照国产密码评估的要求开展工作，对各系统进行国产密码评估，满足上线要求，项目交付物齐全，提供密码应用测评报告等。</w:t>
            </w:r>
          </w:p>
          <w:p>
            <w:pPr>
              <w:pStyle w:val="null3"/>
              <w:spacing w:before="45"/>
              <w:ind w:left="120"/>
            </w:pPr>
            <w:r>
              <w:rPr>
                <w:rFonts w:ascii="仿宋_GB2312" w:hAnsi="仿宋_GB2312" w:cs="仿宋_GB2312" w:eastAsia="仿宋_GB2312"/>
                <w:sz w:val="24"/>
                <w:color w:val="000000"/>
              </w:rPr>
              <w:t>6.2验收方式</w:t>
            </w:r>
          </w:p>
          <w:p>
            <w:pPr>
              <w:pStyle w:val="null3"/>
              <w:spacing w:before="45"/>
              <w:ind w:left="120"/>
            </w:pPr>
            <w:r>
              <w:rPr>
                <w:rFonts w:ascii="仿宋_GB2312" w:hAnsi="仿宋_GB2312" w:cs="仿宋_GB2312" w:eastAsia="仿宋_GB2312"/>
                <w:sz w:val="24"/>
                <w:color w:val="000000"/>
              </w:rPr>
              <w:t>按照验收标准，由采购人组织专家进行验收，必要时，可邀请第三方机构进行验收。</w:t>
            </w:r>
          </w:p>
          <w:p>
            <w:pPr>
              <w:pStyle w:val="null3"/>
              <w:spacing w:before="45"/>
              <w:ind w:left="120"/>
            </w:pPr>
            <w:r>
              <w:rPr>
                <w:rFonts w:ascii="仿宋_GB2312" w:hAnsi="仿宋_GB2312" w:cs="仿宋_GB2312" w:eastAsia="仿宋_GB2312"/>
                <w:sz w:val="24"/>
                <w:color w:val="000000"/>
              </w:rPr>
              <w:t>7、项目成果</w:t>
            </w:r>
          </w:p>
          <w:p>
            <w:pPr>
              <w:pStyle w:val="null3"/>
              <w:spacing w:before="45"/>
              <w:ind w:left="120"/>
            </w:pPr>
            <w:r>
              <w:rPr>
                <w:rFonts w:ascii="仿宋_GB2312" w:hAnsi="仿宋_GB2312" w:cs="仿宋_GB2312" w:eastAsia="仿宋_GB2312"/>
                <w:sz w:val="24"/>
                <w:color w:val="000000"/>
              </w:rPr>
              <w:t>7.1《整改建议》、《商用密码应用方案评估报告》、《商用密码应用安全性评估报告》（每个系统各3份），并协助委托方将评估结果报密码管理部门备案。</w:t>
            </w:r>
          </w:p>
          <w:p>
            <w:pPr>
              <w:pStyle w:val="null3"/>
              <w:spacing w:before="45"/>
              <w:ind w:left="120"/>
            </w:pPr>
            <w:r>
              <w:rPr>
                <w:rFonts w:ascii="仿宋_GB2312" w:hAnsi="仿宋_GB2312" w:cs="仿宋_GB2312" w:eastAsia="仿宋_GB2312"/>
                <w:sz w:val="24"/>
                <w:color w:val="000000"/>
              </w:rPr>
              <w:t>7.2在测评系统组织验收前10个工作日提供相应系统的测评成果资料。</w:t>
            </w:r>
          </w:p>
          <w:p>
            <w:pPr>
              <w:pStyle w:val="null3"/>
              <w:spacing w:before="45"/>
              <w:ind w:left="120"/>
            </w:pPr>
            <w:r>
              <w:rPr>
                <w:rFonts w:ascii="仿宋_GB2312" w:hAnsi="仿宋_GB2312" w:cs="仿宋_GB2312" w:eastAsia="仿宋_GB2312"/>
                <w:sz w:val="24"/>
                <w:color w:val="000000"/>
              </w:rPr>
              <w:t>8.组织管理要求</w:t>
            </w:r>
          </w:p>
          <w:p>
            <w:pPr>
              <w:pStyle w:val="null3"/>
              <w:spacing w:before="45"/>
              <w:ind w:left="120"/>
            </w:pPr>
            <w:r>
              <w:rPr>
                <w:rFonts w:ascii="仿宋_GB2312" w:hAnsi="仿宋_GB2312" w:cs="仿宋_GB2312" w:eastAsia="仿宋_GB2312"/>
                <w:sz w:val="24"/>
                <w:color w:val="000000"/>
              </w:rPr>
              <w:t>8.1服务人员</w:t>
            </w:r>
          </w:p>
          <w:p>
            <w:pPr>
              <w:pStyle w:val="null3"/>
              <w:spacing w:before="45"/>
              <w:ind w:left="120"/>
            </w:pPr>
            <w:r>
              <w:rPr>
                <w:rFonts w:ascii="仿宋_GB2312" w:hAnsi="仿宋_GB2312" w:cs="仿宋_GB2312" w:eastAsia="仿宋_GB2312"/>
                <w:sz w:val="24"/>
                <w:color w:val="000000"/>
              </w:rPr>
              <w:t>项目组人员需通过国家密码管理局商用密码检测中心或国家商用密码应用安全性评估人员测评能力考核小组组织的商用密码应用安全性评估人员测评能力考核。</w:t>
            </w:r>
          </w:p>
          <w:p>
            <w:pPr>
              <w:pStyle w:val="null3"/>
              <w:spacing w:before="45"/>
              <w:ind w:left="120"/>
            </w:pPr>
            <w:r>
              <w:rPr>
                <w:rFonts w:ascii="仿宋_GB2312" w:hAnsi="仿宋_GB2312" w:cs="仿宋_GB2312" w:eastAsia="仿宋_GB2312"/>
                <w:sz w:val="24"/>
                <w:color w:val="000000"/>
              </w:rPr>
              <w:t>8.2工期要求</w:t>
            </w:r>
          </w:p>
          <w:p>
            <w:pPr>
              <w:pStyle w:val="null3"/>
              <w:spacing w:before="45"/>
              <w:ind w:left="120"/>
            </w:pPr>
            <w:r>
              <w:rPr>
                <w:rFonts w:ascii="仿宋_GB2312" w:hAnsi="仿宋_GB2312" w:cs="仿宋_GB2312" w:eastAsia="仿宋_GB2312"/>
                <w:sz w:val="24"/>
                <w:color w:val="000000"/>
              </w:rPr>
              <w:t>按照客户要求完成测评工作。</w:t>
            </w:r>
          </w:p>
          <w:p>
            <w:pPr>
              <w:pStyle w:val="null3"/>
              <w:spacing w:before="45"/>
              <w:ind w:left="120"/>
            </w:pPr>
            <w:r>
              <w:rPr>
                <w:rFonts w:ascii="仿宋_GB2312" w:hAnsi="仿宋_GB2312" w:cs="仿宋_GB2312" w:eastAsia="仿宋_GB2312"/>
                <w:sz w:val="24"/>
                <w:color w:val="000000"/>
              </w:rPr>
              <w:t>8.3验收要求</w:t>
            </w:r>
          </w:p>
          <w:p>
            <w:pPr>
              <w:pStyle w:val="null3"/>
              <w:jc w:val="left"/>
            </w:pPr>
            <w:r>
              <w:rPr>
                <w:rFonts w:ascii="仿宋_GB2312" w:hAnsi="仿宋_GB2312" w:cs="仿宋_GB2312" w:eastAsia="仿宋_GB2312"/>
                <w:sz w:val="24"/>
                <w:color w:val="000000"/>
              </w:rPr>
              <w:t>最终输出被评估系统《中小企业数字化转型发展一站式系统整改建议》、《商用密码应用方案评估报告》、《商用密码应用安全性评估报告》，并经委托方审核通过。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（1）质量保修范围和保修期:质保期1年，自终验之日起算，质保期内提供免费的售后服务及软件升级服务。 （2）其他详见采购需求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 2026 年 2月 28日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自合同签订之日起至本项目建设完成，供应商按本项目合同规定移交完所有监理文件，系统竣工终验合格之日止。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自合同签订之日起至测试报告交付之日止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自测评服务合同签订之日起至项目通过验收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 中标人向采购人提交验收申请。 2）采购人收到验收申请后组织验收，验收 时中标人应无条件予以配合并提供验收所需的全部资料，若中标人不配合或者未按合同要求提供 服务的，采购人将拒绝验收。 3）验收依据：招标文件、投标文件、合同文本、国内相应的标准、 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1）服务期结束后， 中标人向采购人提交验收申请。 2）采购人收到验收申请后组织验收，验收 时中标人应无条件予以配合并提供验收所需的全部资料，若中标人不配合或者未按合同要求提供 服务的，采购人将拒绝验收。 3）验收依据：招标文件、投标文件、合同文本、国内相应的标准、 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1）服务期结束后， 中标人向采购人提交验收申请。 2）采购人收到验收申请后组织验收，验收 时中标人应无条件予以配合并提供验收所需的全部资料，若中标人不配合或者未按合同要求提供 服务的，采购人将拒绝验收。 3）验收依据：招标文件、投标文件、合同文本、国内相应的标准、 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1）服务期结束后， 中标人向采购人提交验收申请。 2）采购人收到验收申请后组织验收，验收 时中标人应无条件予以配合并提供验收所需的全部资料，若中标人不配合或者未按合同要求提供 服务的，采购人将拒绝验收。 3）验收依据：招标文件、投标文件、合同文本、国内相应的标准、 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完成服务内容并验收合格后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完成服务内容并验收合格后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完成服务内容并验收合格后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特定资格证明文件.docx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特定资格证明文件.docx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特定资格证明文件.docx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特定资格证明文件4包.docx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服务期、质保期</w:t>
            </w:r>
          </w:p>
        </w:tc>
        <w:tc>
          <w:tcPr>
            <w:tcW w:type="dxa" w:w="3322"/>
          </w:tcPr>
          <w:p>
            <w:pPr>
              <w:pStyle w:val="null3"/>
            </w:pPr>
            <w:r>
              <w:rPr>
                <w:rFonts w:ascii="仿宋_GB2312" w:hAnsi="仿宋_GB2312" w:cs="仿宋_GB2312" w:eastAsia="仿宋_GB2312"/>
              </w:rPr>
              <w:t>应满足招标文件中要求的服务期、质保期</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业绩.docx 开标一览表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特定资格证明文件4包.docx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业绩.docx 开标一览表 服务内容及服务邀请应答表 中小企业声明函 特定资格证明文件4包.docx 商务应答表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特定资格证明文件4包.docx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特定资格证明文件4包.docx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特定资格证明文件4包.docx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业绩.docx 开标一览表 服务内容及服务邀请应答表 中小企业声明函 特定资格证明文件4包.docx 商务应答表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特定资格证明文件4包.docx 投标人应提交的相关资格证明材料 本项目拟投入人员汇总表.docx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业绩.docx 开标一览表 服务内容及服务邀请应答表 中小企业声明函 特定资格证明文件4包.docx 商务应答表 投标人应提交的相关资格证明材料 本项目拟投入人员汇总表.docx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三、赋分标准（满分6分） ①项目理解：每完全满足一个评审标准得0.5分，不能完全满足一个评审标准要求综合赋分0-0.4分，满分1.5分； ②需求分析：每完全满足一个评审标准得0.5分，不能完全满足一个评审标准要求综合赋分0-0.4分，满分1.5分；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提供的功能参数/技术指标响应情况，完全满足招标文件要求的得8分，标▲项参数（功能参数/技术指标）为重要技术条款，每负偏离一项扣1分；其他参数（功能参数/技术指标）每有1条参数负偏离扣0.5分，扣完为止。 注：应逐条对应技术参数进行应答，标▲项参数提供充足的佐证材料（包括但不限于功能截图、类似案例截图等及其他证明材料），予以证明参数的技术响应性。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针对本项目提出适用于本项目的整体实施方案，包括：①整体实施方案②项目实施计划③部署实施④风险管理 二、评审标准 1、完整性：方案必须全面，对评审内容中的各项要求有详细描述； 2、可实施性：切合本项目实际情况，提出步骤清晰、合理的方案； 3、针对性：方案能够紧扣项目实际情况，内容科学合理。 三、赋分标准（满分18分） ①整体服务方案：每完全满足一个评审标准得1.5分，不能完全满足一个评审标准要求综合赋分0-1.4分，满分4.5分； ②项目实施计划：每完全满足一个评审标准得1.5分，不能完全满足一个评审标准要求综合赋分0-1.4分，满分4.5分； ③部署实施：每完全满足一个评审标准得1.5分，不能完全满足一个评审标准要求综合赋分0-1.4分，满分4.5分； ④风险管理：每完全满足一个评审标准得1.5分，不能完全满足一个评审标准要求综合赋分0-1.4分，满分4.5分。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平台设计方案</w:t>
            </w:r>
          </w:p>
        </w:tc>
        <w:tc>
          <w:tcPr>
            <w:tcW w:type="dxa" w:w="2492"/>
          </w:tcPr>
          <w:p>
            <w:pPr>
              <w:pStyle w:val="null3"/>
            </w:pPr>
            <w:r>
              <w:rPr>
                <w:rFonts w:ascii="仿宋_GB2312" w:hAnsi="仿宋_GB2312" w:cs="仿宋_GB2312" w:eastAsia="仿宋_GB2312"/>
              </w:rPr>
              <w:t>一、评审内容 投标人应根据招标文件的要求，提供详细的平台设计方案，①系统功能结构②系统开发环境介绍(包括但不限于开发平台、开发语言环境、系统架构、数据库、运行平台等)③数据架构④系统部署架构； 二、评审标准 1、完整性：方案必须全面，对评审内容中的各项要求有详细描述； 2、可实施性：切合本项目实际情况，提出步骤清晰、合理的方案； 3、针对性：方案能够紧扣项目实际情况，内容科学合理。 三、赋分标准（满分18分） ①系统功能结构：每完全满足一个评审标准得1.5分，不能完全满足一个评审标准要求综合赋分0-1.4分，满分4.5分； ②系统开发环境介绍(包括但不限于开发平台、开发语言环境、系统架构、数据库、运行平台等)：每完全满足一个评审标准得1.5分，不能完全满足一个评审标准要求综合赋分0-1.4分，满分4.5分； ③数据架构：每完全满足一个评审标准得1.5分，不能完全满足一个评审标准要求综合赋分0-1.4分，满分4.5分； ④系统部署架构：每完全满足一个评审标准得1.5分，不能完全满足一个评审标准要求综合赋分0-1.4分，满分4.5分。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1、项目负责人具有本科或本科以上学历，且具有信息系统项目管理师（高级）资格认证的得2分，否则得0分； 2、技术负责人具有硕士或硕士以上学历，拥有数据治理相关高级认证证书的得2分，否则得0分； 3、投标人需提供除项目负责人及技术负责人外的其他团队人员相关能力情况证明材料，团队人员中具备PMP，IT服务项目经理、系统分析师、注册信息安全工程师（CISP）、软件设计师、信息安全保障人员认证（安全软件或安全集成)证书的每提供一份复印件得1分，最多得6分（同一人员具有多个证书的不累计计分，同一证书提供多次的不累计计分)。项目经理不得随意调整，并提供承诺，未提供不得分。 备注：投标人须提供人员简历、身份证件、资格证书扫描件或复印件、近三个月的单位社保缴纳证明材料，并盖投标人公章，否则不得分。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三、赋分标准（满分3分） ①团队人员各专业岗位配置：每完全满足一个评审标准得0.5 分，未完全满足一个评审标准得 0-0.4 分，满分 1.5 分； ②团队人员管理制度：每完全满足一个评审标准得0.5 分，未完全满足一个评审标准得 0-0.4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1、投标人应具有CMMI5认证证书，满足者得1分，不满足者不得分。 2、投标人具有 IS09001质量管理体系认证证书、IS027001信息安全管理体系认证证书、ISO38505数据治理管理体系认证证书、知识产权合规管理体系认证证书、数据管理能力成熟度DCMM3级认证证书，每提供一个证书得1分，最高得4分。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根据项目实际需求，提供针对本项目的售后服务及培训服务方案 包括：①售后服务承诺和服务内容，②故障处理及补救措施，③维修管理响应时间、响应速度及响应方式，④培训服务方案 二、评审标准 1、完整性：切合本项目实际情况，方案内容齐全，对文件中各项要求有详细描述； 2、可实施性：切合本项目实际情况，提出步骤清晰、合理的方案。 3、针对性：方案能够紧扣项目实际情况，内容科学合理。 三、赋分标准（满分12分） ①售后服务承诺和服务内容：每完全满足一个评审标准得 1 分，未完全满足一个评审标准得 0-0.9 分，满分 3 分；②故障处理及补救措施：每完全满足一个评审标准得 1 分，未完全满足一个评审标准得 0-0.9 分，满分 3 分；③维修管理响应时间、响应速度及响应方式，每完全满足一个评审标准得 1 分，未完全满足一个评审标准得 0-0.9 分，满分 3 分；④培训服务方案，每完全满足一个评审标准得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同类项目业绩，以供应商提供的合同或中标（成交）通知书复印件（或扫描件）为准（日期以合同签订时间或中标（成交）通知书时间为准），每提供一份得1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2、评标基准价=满足招标文件要求且最低的报价。 3、投标报价为评标基准价得分为满分 。 4、其他投标报价得分=(评标基准价/投标报价)×10。 5、投标报价不完整的，不进入评标基准价的计算，本项得0分。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 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三、赋分标准（满分6分） ①项目理解：每完全满足一个评审标准得0.5分，不能完全满足一个评审标准要求综合赋分0-0.4分，满分1.5分； ②需求分析：每完全满足一个评审标准得0.5分，不能完全满足一个评审标准要求综合赋分0-0.4分，满分1.5分；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针对本项目提出适用于本项目的实施方案，包括：①工作目标②监理内容③服务方式④监理流程 二、评审标准 1、完整性：方案必须全面，对评审内容中的各项要求有详细描述； 2、可实施性：切合本项目实际情况，提出步骤清晰、合理的方案； 3、针对性：方案能够紧扣项目实际情况，内容科学合理。 三、赋分标准（满分18分） ①工作目标：每完全满足一个评审标准得1.5分，不能完全满足一个评审标准要求综合赋分0-1.4分，满分4.5分； ②监理内容：每完全满足一个评审标准得1.5分，不能完全满足一个评审标准要求综合赋分0-1.4分，满分4.5分； ③服务方式：每完全满足一个评审标准得1.5分，不能完全满足一个评审标准要求综合赋分0-1.4分，满分4.5分； ④监理流程：每完全满足一个评审标准得1.5分，不能完全满足一个评审标准要求综合赋分0-1.4分，满分4.5分。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整理管理方案</w:t>
            </w:r>
          </w:p>
        </w:tc>
        <w:tc>
          <w:tcPr>
            <w:tcW w:type="dxa" w:w="2492"/>
          </w:tcPr>
          <w:p>
            <w:pPr>
              <w:pStyle w:val="null3"/>
            </w:pPr>
            <w:r>
              <w:rPr>
                <w:rFonts w:ascii="仿宋_GB2312" w:hAnsi="仿宋_GB2312" w:cs="仿宋_GB2312" w:eastAsia="仿宋_GB2312"/>
              </w:rPr>
              <w:t>一、评审内容 投标人应根据招标文件的要求，提供详细的平台设计方案，①质量控制的方法和措施②进度控制的方法和措施 ③变更控制的方法和措施④信息安全控制措施⑤投资控制的方法和措施⑥合同和文档管理的措施； 二、评审标准 1、完整性：方案必须全面，对评审内容中的各项要求有详细描述； 2、可实施性：切合本项目实际情况，提出步骤清晰、合理的方案； 3、针对性：方案能够紧扣项目实际情况，内容科学合理。 三、赋分标准（满分27分） ①质量控制的方法和措施：每完全满足一个评审标准得1.5分，不能完全满足一个评审标准要求综合赋分0-1.4分，满分4.5分； ②进度控制的方法和措施：每完全满足一个评审标准得1.5分，不能完全满足一个评审标准要求综合赋分0-1.4分，满分4.5分； ③变更控制的方法和措施：每完全满足一个评审标准得1.5分，不能完全满足一个评审标准要求综合赋分0-1.4分，满分4.5分； ④信息安全控制措施：每完全满足一个评审标准得1.5分，不能完全满足一个评审标准要求综合赋分0-1.4分，满分4.5分； ⑤投资控制的方法和措施：每完全满足一个评审标准得1.5分，不能完全满足一个评审标准要求综合赋分0-1.4分，满分4.5分； ⑥合同和文档管理的措施：每完全满足一个评审标准得1.5分，不能完全满足一个评审标准要求综合赋分0-1.4分，满分4.5分。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1.总监理工程师:具有信息系统项目管理师证书、系统架构设计师证书、信息安全工程师证书、系统集成项目管理工程师证书的，每有一项得0.5分，最高得2分（无信息系统项目管理师证书此项不得分）。 2.总监理工程师代表:具有信息系统项目管理师、系统集成项目管理工程师证书全部满足得2分，缺1项不得分。 3.项目监理服务团队(不含总监理工程师和总监理工程师代表)其他成员，具有软件工程造价师、软件评测师证书、信息系统项目管理师、IT服务项目经理证书、PMP项目管理师证书的，每提供一个证书得1分（人员不重复计分），最多得5分。 注:需提供资格证书复印件和近半年内连续三个月在本单位缴纳社保的证明，并加盖公章。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监理设施设备、仪器配置</w:t>
            </w:r>
          </w:p>
        </w:tc>
        <w:tc>
          <w:tcPr>
            <w:tcW w:type="dxa" w:w="2492"/>
          </w:tcPr>
          <w:p>
            <w:pPr>
              <w:pStyle w:val="null3"/>
            </w:pPr>
            <w:r>
              <w:rPr>
                <w:rFonts w:ascii="仿宋_GB2312" w:hAnsi="仿宋_GB2312" w:cs="仿宋_GB2312" w:eastAsia="仿宋_GB2312"/>
              </w:rPr>
              <w:t>一、评审内容 针对本项目提出适用于本项目的监理设施设备、仪器配置，包括：①监理设施设备②仪器配置 三、评审标准 1、完整性：方案必须全面，对评审内容中的各项要求有详细描述； 2、可实施性：切合本项目实际情况，提出步骤清晰、合理的方案； 3、针对性：方案能够紧扣项目实际情况，内容科学合理。 三、赋分标准（满分6分） ①监理设施设备：每完全满足一个评审标准得1分，未满足一个评审标准要求综合赋分0-0.9分，满分3分； ②仪器配置：每完全满足一个评审标准得1分，未满足一个评审标准要求综合赋分0-0.9分，满分3分。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1、投标人应具有信息系统工程监理服务标准贯标证书，满足者得1分，不满足者不得分。 2、投标人具有 IS09001 质量管理体系认证证书、IS014001 环境管理体系认证证书、IS045001职业健康安全管理体系认证证书，IS027001信息安全管理体系认证证书、IS20000信息技术服务管理体系认证证书，且认证范围必须包含“信息系统工程咨询、监理及相关技术服务”;每提供一个证书得1分，最高得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 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十一、赋分标准（满分3分） ①团队人员各专业岗位配置：每完全满足一个评审标准得0.5分，未满足一个评审标准要求综合赋分0-0.4分，满分1.5分， ②团队人员管理制度：每完全满足一个评审标准得0.5分，未满足一个评审标准要求综合赋分0-0.4分，满分1.5分。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一、评审内容 针对本项目提出适用于本项目的监理服务承诺方案，包括：①快速及时的服务响应②解决问题的时限 二、评审标准 1、完整性：方案必须全面，对评审内容中的各项要求有详细描述； 2、可实施性：切合本项目实际情况，提出步骤清晰、合理的方案； 3、针对性：方案能够紧扣项目实际情况，内容科学合理。 三、赋分标准（满分9分） ①快速及时的服务响应：每完全满足一个评审标准得1分，未满足一个评审标准要求综合赋分0-0.9分，满分3分； ②解决问题的时限：每完全满足一个评审标准得1分，未满足一个评审标准要求综合赋分0-0.9分，满分3分； 3.现场服务质量保障措施：每完全满足一个评审标准得1.5分，未满足一个评审标准要求综合赋分0-0.9分，满分3分。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2、评标基准价=满足招标文件要求且最低的报价。 3、投标报价为评标基准价得分为满分 。 4、其他投标报价得分=(评标基准价/投标报价)×10。 5、投标报价不完整的，不进入评标基准价的计算，本项得0分。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①项目理解：每完全满足一个评审标准得1分，不能完全满足一个评审标准要求综合赋分0-0.9分，满分3分； ②需求分析：每完全满足一个评审标准得1分，不能完全满足一个评审标准要求综合赋分0-0.9分，满分3分；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针对本项目提出适用于本项目的整体实施方案，包括：①整体实施方案②项目实施计划③测试方案④测试流程 二、评审标准 1、完整性：方案必须全面，对评审内容中的各项要求有详细描述； 2、可实施性：切合本项目实际情况，提出步骤清晰、合理的方案； 3、针对性：方案能够紧扣项目实际情况，内容科学合理。 三、赋分标准（满分24分） ①整体服务方案：每完全满足一个评审标准得2分，不能完全满足一个评审标准要求综合赋分0-1.9分，满分6分； ②项目实施计划：每完全满足一个评审标准得2分，不能完全满足一个评审标准要求综合赋分0-1.9分，满分6分； ③测试方案：每完全满足一个评审标准得2分，不能完全满足一个评审标准要求综合赋分0-1.9分，满分6分； ④测试流程：每完全满足一个评审标准得2分，不能完全满足一个评审标准要求综合赋分0-1.9分，满分6分。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投标人应根据招标文件的要求，提供详细的保障措施方案，①人员结构②质量保障措施③制度保障措施； 二、评审标准 1、完整性：方案必须全面，对评审内容中的各项要求有详细描述； 2、可实施性：切合本项目实际情况，提出步骤清晰、合理的方案； 3、针对性：方案能够紧扣项目实际情况，内容科学合理。 三、赋分标准（满分18分） ①人员结构：每完全满足一个评审标准得2分，不能完全满足一个评审标准要求综合赋分0-1.9分，满分6分； ②质量保障措施：每完全满足一个评审标准得2分，不能完全满足一个评审标准要求综合赋分0-1.9分，满分6分； ③制度保障措施：每完全满足一个评审标准得2分，不能完全满足一个评审标准要求综合赋分0-1.9分，满分6分。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1、项目经理:具有软件测评师证书（高级）、信息类高级工程师职称，得3分，缺一项不得分。 2、项目技术负责人：具有软件测评师证书（中级及以上）、信息类高级工程师职称，得2分，缺一项不得分。 3、团队成员（除项目负责人及技术负责人外）:具有人社部的软件测试师资格或信息系统测评工程师证书，每1人计1分，最高5分。 注：人员需提供证书复印件和近半年来至少3 个月的社保证明，并加盖公章。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三、赋分标准（满分6分） ①团队人员各专业岗位配置：每完全满足一个评审标准得1分，未满足一个评审标准要求综合赋分0-0.9分，满分3分； ②团队人员管理制度：每完全满足一个评审标准得1分，未满足一个评审标准要求综合赋分0-0.9分，满分3分。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备《检验检测机构资质认定证书》CMA证书，认可检验检测能力范围包括产品质量10项、使用质量5项得3分；认可检验检测能力范围包括产品质量（功能性、可靠性、兼容性、信息安全性、性能效率）5项得3分，未提供不得分；本项最高得6分， 2、具有信息安全管理体系认证证书-ISO27001证书、信息技术服务管理体系认证证书-ISO20000证书和质量管理体系认证证书-ISO9001证书的，有1项的1分，最高得3分，未提供不得分。 以上证书以加盖供应商公章的证书复印件为准。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2、评标基准价=满足招标文件要求且最低的报价。 3、投标报价为评标基准价得分为满分 。 4、其他投标报价得分=(评标基准价/投标报价)×10。 5、投标报价不完整的，不进入评标基准价的计算，本项得0分。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 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三、赋分标准（满分6分） ①项目理解：每完全满足一个评审标准得0.5分，不能完全满足一个评审标准要求综合赋分0-0.4分，满分1.5分； ②需求分析：每完全满足一个评审标准得0.5分，不能完全满足一个评审标准要求综合赋分0-0.4分，满分1.5分；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针对本项目提出适用于本项目的整体实施方案，包括：①整体实施方案②项目实施计划③测试方案④测试流程 二、评审标准 1、完整性：方案必须全面，对评审内容中的各项要求有详细描述； 2、可实施性：切合本项目实际情况，提出步骤清晰、合理的方案； 3、针对性：方案能够紧扣项目实际情况，内容科学合理。 三、赋分标准（满分24分） ①整体服务方案：每完全满足一个评审标准得2分，不能完全满足一个评审标准要求综合赋分0-1.9分，满分6分； ②项目实施计划：每完全满足一个评审标准得2分，不能完全满足一个评审标准要求综合赋分0-1.9分，满分6分； ③测试方案：每完全满足一个评审标准得2分，不能完全满足一个评审标准要求综合赋分0-1.9分，满分6分； ④测试流程：每完全满足一个评审标准得2分，不能完全满足一个评审标准要求综合赋分0-1.9分，满分6分。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投标人应根据招标文件的要求，提供详细的应急措施，①防范措施②应急响应措施③信息安全保密管理措施； 二、评审标准 1、完整性：方案必须全面，对评审内容中的各项要求有详细描述； 2、可实施性：切合本项目实际情况，提出步骤清晰、合理的方案； 3、针对性：方案能够紧扣项目实际情况，内容科学合理。 三、赋分标准（满分12分） ①防范措施：每完全满足一个评审标准得1分，不能完全满足一个评审标准要求综合赋分0-0.9分，满分3分； ②应急响应措施：每完全满足一个评审标准得1分，不能完全满足一个评审标准要求综合赋分0-0.9分，满分3分； ③信息安全保密管理措施：每完全满足一个评审标准得2分，不能完全满足一个评审标准要求综合赋分0-1.9分，满分6分。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商用密码应用与安全性评估服务检测工具要求</w:t>
            </w:r>
          </w:p>
        </w:tc>
        <w:tc>
          <w:tcPr>
            <w:tcW w:type="dxa" w:w="2492"/>
          </w:tcPr>
          <w:p>
            <w:pPr>
              <w:pStyle w:val="null3"/>
            </w:pPr>
            <w:r>
              <w:rPr>
                <w:rFonts w:ascii="仿宋_GB2312" w:hAnsi="仿宋_GB2312" w:cs="仿宋_GB2312" w:eastAsia="仿宋_GB2312"/>
              </w:rPr>
              <w:t>投标供应商具有：弱口令扫描工具、渗透测试系统、项目进度管理系统；归档核查工具、服务交付智能态势分析系统。类似功能的软件著作权证书、专利或购买合同及发票中任意一项，提供1个得1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针对本项目提出适用于本项目的保密方案，①保密管理制度及相应的保密措施；②测试过程的保密承诺；③保密信息范围及保密主体等内容 二、评审标准 1、完整性：方案必须全面，对评审内容中的各项要求有详细描述； 2、可实施性：切合本项目实际情况，提出步骤清晰、合理的方案； 3、针对性：方案能够紧扣项目实际情况，内容科学合理。 三、赋分标准（满分9分） ①保密管理制度及相应的保密措施：每完全满足一个评审标准得1分，不能完全满足一个评审标准要求综合赋分0-0.9分，满分3分； ②测试过程的保密承诺：每完全满足一个评审标准得1分，不能完全满足一个评审标准要求综合赋分0-0.9分，满分3分； ③保密信息范围及保密主体等内容：每完全满足一个评审标准得1分，不能完全满足一个评审标准要求综合赋分0-0.9分，满分3分。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投标人具有中国合格评定国家认可委员会颁发的检验机构认可证书（CNAS），得2分。 注以上证书以加盖供应商公章的证书复印件为准。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1、拟派项目经理一名，具备商用密码应用安全性评估从业人员考核合格证，同时具有以下证书： (1)具有注册网络安全专业防御人员证书（NSATP-D），得1分； (2)具有网络安全服务能力评价证书，得1分； (3)具有注册信息安全专业人员，得1分； (4)具有高级网络安全工程师证书，得1分； 本项最高4分。 （评审依据：按上述要求，提供加盖公章的身份证复印件、相关证书复印件和近半年连续三个月社保证明，未提供不得分。） 2、拟派技术负责人一名，具备商用密码应用安全性评估从业人员考核合格证，同时具有以下证书: (1)具有网络安全能力认证证书（CCSC），得1分； (2)具有重要信息系统保护人员证书（CIIP-D），得1分； (3)具有信息安全工程师证书，得1分； 本项最高3分。 （评审依据：按上述要求，提供加盖公章的身份证复印件、相关证书复印件和近半年连续三个月社保证明，未提供不得分。） 3、拟派测试团队(除项目经理和技术负责人外），具备商用密码应用安全性评估从业人员考核合格证证书同时具有以下证书： (1)具有注册信息安全专业人员证书(CISP)，得1分； (2)具有数据安全认证专家CDSP 证书，得1分； (3)具有注册网络安全专业防御人员证书（NSATP-D），得1分； (4)具有注册渗透测试工程师（CISP-PTE）证书，得1分； 本项最高4分（同一人员具有多个证书的不累计计分，同一证书提供多次的不累计计分)。 （评审依据：按上述要求，提供加盖公章的身份证复印件、相关证书复印件和近半年连续三个月社保证明，未提供不得分。）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2、评标基准价=满足招标文件要求且最低的报价。 3、投标报价为评标基准价得分为满分 。 4、其他投标报价得分=(评标基准价/投标报价)×10。 5、投标报价不完整的，不进入评标基准价的计算，本项得0分。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详见附件：特定资格证明文件4包.docx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