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版本号：0617-2512FZ235220250919001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四创校本课程研发项目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0617-2512FZ2352</w:t>
      </w:r>
      <w:r>
        <w:br/>
      </w:r>
      <w:r>
        <w:br/>
      </w:r>
      <w:r>
        <w:br/>
      </w:r>
    </w:p>
    <w:p>
      <w:pPr>
        <w:pStyle w:val="null3"/>
        <w:jc w:val="center"/>
        <w:outlineLvl w:val="2"/>
      </w:pPr>
      <w:r>
        <w:rPr>
          <w:rFonts w:ascii="仿宋_GB2312" w:hAnsi="仿宋_GB2312" w:cs="仿宋_GB2312" w:eastAsia="仿宋_GB2312"/>
          <w:sz w:val="28"/>
          <w:b/>
        </w:rPr>
        <w:t>西安市创新港中学（创新港西安交通大学附属中学）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委托，拟对</w:t>
      </w:r>
      <w:r>
        <w:rPr>
          <w:rFonts w:ascii="仿宋_GB2312" w:hAnsi="仿宋_GB2312" w:cs="仿宋_GB2312" w:eastAsia="仿宋_GB2312"/>
        </w:rPr>
        <w:t>四创校本课程研发项目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0617-2512FZ2352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四创校本课程研发项目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依据学校已有的创意激发、创新实践、创造能力和创美教育的“四创”校本课程体系的雏形， 围绕这“四创”基础，实施以下开发和建设目标。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西安市创新港中学（创新港西安交通大学附属中学）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西咸新区沣西新城南洋环东路创新港中学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西安市创新港中学（创新港西安交通大学附属中学）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88960399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张越、张鑫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标准向中标（成交）供应商收取代理服务费。 2.缴费时间：确定中标人后3日内，由中标人向招标代理机构一次付清招标代理服务费。 3.银行信息： 户名：西北（陕西）国际招标有限公司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依据学校已有的创意激发、创新实践、创造能力和创美教育的“四创”校本课程体系的雏形， 围绕这“四创”基础，实施以下开发和建设目标。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课程研发服务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标的名称：课程研发服务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一、项目概况</w:t>
            </w:r>
          </w:p>
          <w:p>
            <w:pPr>
              <w:pStyle w:val="null3"/>
              <w:ind w:firstLine="480"/>
              <w:jc w:val="both"/>
            </w:pPr>
            <w:r>
              <w:rPr>
                <w:rFonts w:ascii="仿宋_GB2312" w:hAnsi="仿宋_GB2312" w:cs="仿宋_GB2312" w:eastAsia="仿宋_GB2312"/>
                <w:sz w:val="18"/>
              </w:rPr>
              <w:t>依据学校已有的创意激发、创新实践、创造能力和创美教育的“四创”校本课程体系的雏形， 围绕这“四创”基础，实施以下开发和建设目标。</w:t>
            </w:r>
          </w:p>
          <w:p>
            <w:pPr>
              <w:pStyle w:val="null3"/>
              <w:jc w:val="both"/>
            </w:pPr>
            <w:r>
              <w:rPr>
                <w:rFonts w:ascii="仿宋_GB2312" w:hAnsi="仿宋_GB2312" w:cs="仿宋_GB2312" w:eastAsia="仿宋_GB2312"/>
                <w:sz w:val="18"/>
                <w:b/>
              </w:rPr>
              <w:t>二、服务内容及要求</w:t>
            </w:r>
          </w:p>
          <w:p>
            <w:pPr>
              <w:pStyle w:val="null3"/>
              <w:jc w:val="both"/>
            </w:pPr>
            <w:r>
              <w:rPr>
                <w:rFonts w:ascii="仿宋_GB2312" w:hAnsi="仿宋_GB2312" w:cs="仿宋_GB2312" w:eastAsia="仿宋_GB2312"/>
                <w:sz w:val="18"/>
              </w:rPr>
              <w:t>1.建立学校课程标准。通过对现有课程进行评估，确定保留课程和新开发约30-40门，按照课程要素进行规范化建设。其中遴选10-15门课程进行标准化建设。据此，为学校课程开发和建设建立标准和模式。</w:t>
            </w:r>
          </w:p>
          <w:p>
            <w:pPr>
              <w:pStyle w:val="null3"/>
              <w:jc w:val="both"/>
            </w:pPr>
            <w:r>
              <w:rPr>
                <w:rFonts w:ascii="仿宋_GB2312" w:hAnsi="仿宋_GB2312" w:cs="仿宋_GB2312" w:eastAsia="仿宋_GB2312"/>
                <w:sz w:val="18"/>
              </w:rPr>
              <w:t>2.建立特色课程体系。对现有“四创”课程体系进行论证和优化，通过规范、补充开发，优化课程结构，完善课程体系，进一步确立符合教育发展方向，凸显学校特色的课程体系。</w:t>
            </w:r>
          </w:p>
          <w:p>
            <w:pPr>
              <w:pStyle w:val="null3"/>
              <w:jc w:val="both"/>
            </w:pPr>
            <w:r>
              <w:rPr>
                <w:rFonts w:ascii="仿宋_GB2312" w:hAnsi="仿宋_GB2312" w:cs="仿宋_GB2312" w:eastAsia="仿宋_GB2312"/>
                <w:sz w:val="18"/>
              </w:rPr>
              <w:t>3.完善课程建设制度。修订完善学校课程建设、管理、评价的相关制度，进一步明确课程管理、开发人员的责权利，优化运行机制，为课程建设夯实基础。</w:t>
            </w:r>
          </w:p>
          <w:p>
            <w:pPr>
              <w:pStyle w:val="null3"/>
              <w:jc w:val="both"/>
            </w:pPr>
            <w:r>
              <w:rPr>
                <w:rFonts w:ascii="仿宋_GB2312" w:hAnsi="仿宋_GB2312" w:cs="仿宋_GB2312" w:eastAsia="仿宋_GB2312"/>
                <w:sz w:val="18"/>
              </w:rPr>
              <w:t>4.提升课程开发及实施能力。依据需要，与学校共同组建课程开发组30-40个，配备专家进行全程指导。设计课程开发的专题培训，对校内参与课程开发的100多位教师，依据课程开发进度，设计并实施不少于30学时的培训，其中课程开发通识培训10学时，每门课程开发专题培训20学时。增强教师课程意识，提升教师课程理解、课程开发和课程实施能力，初步形成学校课程开发团队。</w:t>
            </w:r>
          </w:p>
          <w:p>
            <w:pPr>
              <w:pStyle w:val="null3"/>
              <w:jc w:val="both"/>
            </w:pPr>
            <w:r>
              <w:rPr>
                <w:rFonts w:ascii="仿宋_GB2312" w:hAnsi="仿宋_GB2312" w:cs="仿宋_GB2312" w:eastAsia="仿宋_GB2312"/>
                <w:sz w:val="18"/>
              </w:rPr>
              <w:t>三、</w:t>
            </w:r>
            <w:r>
              <w:rPr>
                <w:rFonts w:ascii="仿宋_GB2312" w:hAnsi="仿宋_GB2312" w:cs="仿宋_GB2312" w:eastAsia="仿宋_GB2312"/>
                <w:sz w:val="18"/>
                <w:b/>
              </w:rPr>
              <w:t>商务要求</w:t>
            </w:r>
          </w:p>
          <w:p>
            <w:pPr>
              <w:pStyle w:val="null3"/>
              <w:ind w:firstLine="480"/>
            </w:pPr>
            <w:r>
              <w:rPr>
                <w:rFonts w:ascii="仿宋_GB2312" w:hAnsi="仿宋_GB2312" w:cs="仿宋_GB2312" w:eastAsia="仿宋_GB2312"/>
                <w:sz w:val="18"/>
              </w:rPr>
              <w:t>*1．服务期：一年（可根据课程开发需要适当延长）。</w:t>
            </w:r>
          </w:p>
          <w:p>
            <w:pPr>
              <w:pStyle w:val="null3"/>
              <w:ind w:firstLine="480"/>
            </w:pPr>
            <w:r>
              <w:rPr>
                <w:rFonts w:ascii="仿宋_GB2312" w:hAnsi="仿宋_GB2312" w:cs="仿宋_GB2312" w:eastAsia="仿宋_GB2312"/>
                <w:sz w:val="18"/>
              </w:rPr>
              <w:t>*2．付款方式：按具体合同条款支付。</w:t>
            </w:r>
          </w:p>
          <w:p>
            <w:pPr>
              <w:pStyle w:val="null3"/>
              <w:ind w:firstLine="480"/>
            </w:pPr>
            <w:r>
              <w:rPr>
                <w:rFonts w:ascii="仿宋_GB2312" w:hAnsi="仿宋_GB2312" w:cs="仿宋_GB2312" w:eastAsia="仿宋_GB2312"/>
                <w:sz w:val="18"/>
              </w:rPr>
              <w:t>*3．违约责任：未达服务标准按合同扣款，重大失误终止合作并追责。</w:t>
            </w:r>
          </w:p>
          <w:p>
            <w:pPr>
              <w:pStyle w:val="null3"/>
              <w:jc w:val="both"/>
            </w:pPr>
            <w:r>
              <w:rPr>
                <w:rFonts w:ascii="仿宋_GB2312" w:hAnsi="仿宋_GB2312" w:cs="仿宋_GB2312" w:eastAsia="仿宋_GB2312"/>
                <w:sz w:val="18"/>
              </w:rPr>
              <w:t>注：本章以“*”号标记的条款为不允许偏离的实质性要求，供应商必须完全响应否则视为无效响应。</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一年（可根据课程开发需要适当延长）</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西安市创新港中学（创新港西安交通大学附属中学）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签订合同后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（二）具有良好的商业信誉和健全的财务会计制度。 提供经审计的2024年度财务报告（包括四表一注，即资产负债表、利润表、现金流量表、所有者权益变动表及其附注），且无反对意见；事业法人提供部门决算报告； /或在磋商日期前六个月内其基本开户银行出具的资信证明（附《基本存款账户信息》或《银行开户许可证》复印件）； /或财政部门认可的政府采购专业担保机构出具的磋商担保函； /或表明具有良好的商业信誉和健全的财务会计制度的诚信声明； 以上四种形式的资料提供任何一种即可。 （三）具有履行合同所必需的设备和专业技术能力。 提供声明文件原件。 （四）具有依法缴纳税收的良好记录。 提供缴费所属日期为磋商截止时间前6个月内任一月份（磋商文件响应文件提交截止时间当月不计入）的增值税（或所得税）缴费凭据或税务机关出具的完税证明/在法规范围内不需提供的应出具书面说明和证明文件； /或具有依法缴纳税收的诚信声明； 以上二种形式的资料提供任何一种即可。 （五）具有依法缴纳社会保障资金的良好记录。 提供缴费所属日期为磋商截止时间前6个月内任一月份（磋商文件响应文件提交截止时间当月不计入）的缴费凭据或社保机关出具的缴费证明/在法规范围内不需提供的应出具书面说明和证明文件； /或具有依法缴纳社会保障资金的缴纳记录的诚信声明； 以上二种形式的资料提供任何一种即可。 （六）参加政府采购活动前3年内在经营活动中没有重大违法记录的书面声明（原件）。 （七）法人代表授权书（原件）及被授权人递交文件截止时间前6个月内任一月份的社保缴纳证明。</w:t>
            </w:r>
          </w:p>
        </w:tc>
        <w:tc>
          <w:tcPr>
            <w:tcW w:type="dxa" w:w="1661"/>
          </w:tcPr>
          <w:p>
            <w:pPr>
              <w:pStyle w:val="null3"/>
            </w:pPr>
            <w:r>
              <w:rPr>
                <w:rFonts w:ascii="仿宋_GB2312" w:hAnsi="仿宋_GB2312" w:cs="仿宋_GB2312" w:eastAsia="仿宋_GB2312"/>
              </w:rPr>
              <w:t>法人代表授权书 供应商应提交的相关资格证明材料 陕西省政府采购供应商拒绝政府采购领域商业贿赂承诺书 供应商无重大违法记录的书面声明格式 响应函 诚信声明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磋商响应文件是否按照磋商文件要求的格式编写；磋商报价内容是否有重大缺漏项。</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磋商响应文件的签署、加盖印章是否有效；提供的各种证明文件、数据、资料是否有效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磋商报价是否超过采购预算或最高限价；磋商报价有效期是否符合磋商文件的要求；响应文件内容是否符合国家法律法规，没有重大偏离；对磋商文件中规定的要求是否做出了实质性响应。</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针对本项目的服务方案</w:t>
            </w:r>
          </w:p>
        </w:tc>
        <w:tc>
          <w:tcPr>
            <w:tcW w:type="dxa" w:w="2492"/>
          </w:tcPr>
          <w:p>
            <w:pPr>
              <w:pStyle w:val="null3"/>
            </w:pPr>
            <w:r>
              <w:rPr>
                <w:rFonts w:ascii="仿宋_GB2312" w:hAnsi="仿宋_GB2312" w:cs="仿宋_GB2312" w:eastAsia="仿宋_GB2312"/>
              </w:rPr>
              <w:t>包括服务目标、实施方案与考核办法等，方案完整、服务高效、配合度高，质量标准明确。 对整体项目理解透彻，方案内容全面详细，针对性强，符合采购人实际需求的得(20,22]分； 对整体项目理解不够详细、简单粗略、描述含糊，方案内容较全面详细，针对性较强，符合采购人实际需求的得(18,20]分； 对整体项目理解不够详细、简单粗略、描述含糊，方案内容不够全面有遗漏、有缺失，针对性不强，符合采购人实际需求的得(16,18]分； 对整体项目理解不够详细、简单粗略、描述含糊，方案内容不够全面有遗漏、有缺失，针对性不够合理、不贴合项目实际情况，部分符合采购人实际需求的得(14,16]分，； 对整体项目理解不够详细、简单粗略、描述含糊，方案内容不够全面有遗漏、有缺失，针对性不够合理、不贴合项目实际情况，内容存在逻辑错误、表述存在漏洞的得[12,14]分； 未提供不得分。 每一处缺陷和漏洞扣0.5分，扣完为止。 此处缺陷和漏洞是指包括但不限于：①有内容但不够全面，有遗漏、有缺失；②有内容但不够详细，简单粗略，描述含糊；③内容不够合理，不贴合项目实际情况；④内容未针对本项目，明显不符；⑤内容存在逻辑错误，表述存在漏洞等。</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针对本项目配备的人员，对本项目各项服务的承诺。 提供各项服务承诺，科学、合理的得(18,20]分； 提供各项服务承诺，较科学、较合理的得(16,18]分； 提供各项服务承诺，一般的得[14,16]分； 未提供不得分。 每一处缺陷和漏洞扣0.5分，扣完为止。 此处缺陷和漏洞是指包括但不限于：①有内容但不够全面，有遗漏、有缺失；②有内容但不够详细，简单粗略，描述含糊；③内容不够合理，不贴合项目实际情况；④内容未针对本项目，明显不符；⑤内容存在逻辑错误，表述存在漏洞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时间安排</w:t>
            </w:r>
          </w:p>
        </w:tc>
        <w:tc>
          <w:tcPr>
            <w:tcW w:type="dxa" w:w="2492"/>
          </w:tcPr>
          <w:p>
            <w:pPr>
              <w:pStyle w:val="null3"/>
            </w:pPr>
            <w:r>
              <w:rPr>
                <w:rFonts w:ascii="仿宋_GB2312" w:hAnsi="仿宋_GB2312" w:cs="仿宋_GB2312" w:eastAsia="仿宋_GB2312"/>
              </w:rPr>
              <w:t>供应商针对本项目所要求的培训计划进行时间安排。 时间安排合理，计划详细的得(8,10]分； 时间安排合理，计划粗略的得(6,8]分； 时间安排不合理，计划粗略的得[4,6]分； 未提供不得分。 每一处缺陷和漏洞扣0.5分，扣完为止。 此处缺陷和漏洞是指包括但不限于：①有内容但不够全面，有遗漏、有缺失；②有内容但不够详细，简单粗略，描述含糊；③内容不够合理，不贴合项目实际情况；④内容未针对本项目，明显不符；⑤内容存在逻辑错误，表述存在漏洞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服务人员团队</w:t>
            </w:r>
          </w:p>
        </w:tc>
        <w:tc>
          <w:tcPr>
            <w:tcW w:type="dxa" w:w="2492"/>
          </w:tcPr>
          <w:p>
            <w:pPr>
              <w:pStyle w:val="null3"/>
            </w:pPr>
            <w:r>
              <w:rPr>
                <w:rFonts w:ascii="仿宋_GB2312" w:hAnsi="仿宋_GB2312" w:cs="仿宋_GB2312" w:eastAsia="仿宋_GB2312"/>
              </w:rPr>
              <w:t>每配备1名具备高级职称的学科专家得1分，中级职称的学科专家得0.5分。学科分类为数学、语文、英语、物理、化学、生物、政治、历史、地理。本项最高得20分。 【提供人员身份证、毕业证及相关资格证书】</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供应商2022年1月1日至今具有类似项目业绩，响应文件中附有其合同证明文件，每提供一个业绩证明计4分，满分8分，不提供计0分。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1.满足采购文件要求且价格最低的报价为评审基准价，其价格分为满分。 2.其他供应商的价格分统一按照（评审基准价/评审价×20）的公式计算价格得分。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详见附件：法人代表授权书</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详见附件：诚信声明</w:t>
      </w:r>
    </w:p>
    <w:p>
      <w:pPr>
        <w:pStyle w:val="null3"/>
        <w:ind w:firstLine="960"/>
      </w:pPr>
      <w:r>
        <w:rPr>
          <w:rFonts w:ascii="仿宋_GB2312" w:hAnsi="仿宋_GB2312" w:cs="仿宋_GB2312" w:eastAsia="仿宋_GB2312"/>
        </w:rPr>
        <w:t>详见附件：供应商无重大违法记录的书面声明格式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