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版本号：THXZB2025-106720250919001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停车场租赁服务项目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THXZB2025-1067</w:t>
      </w:r>
      <w:r>
        <w:br/>
      </w:r>
      <w:r>
        <w:br/>
      </w:r>
      <w:r>
        <w:br/>
      </w:r>
    </w:p>
    <w:p>
      <w:pPr>
        <w:pStyle w:val="null3"/>
        <w:jc w:val="center"/>
        <w:outlineLvl w:val="5"/>
      </w:pPr>
      <w:r>
        <w:rPr>
          <w:rFonts w:ascii="仿宋_GB2312" w:hAnsi="仿宋_GB2312" w:cs="仿宋_GB2312" w:eastAsia="仿宋_GB2312"/>
          <w:sz w:val="15"/>
          <w:b/>
        </w:rPr>
        <w:t>西安市中医医院</w:t>
      </w:r>
    </w:p>
    <w:p>
      <w:pPr>
        <w:pStyle w:val="null3"/>
        <w:jc w:val="center"/>
        <w:outlineLvl w:val="5"/>
      </w:pPr>
      <w:r>
        <w:rPr>
          <w:rFonts w:ascii="仿宋_GB2312" w:hAnsi="仿宋_GB2312" w:cs="仿宋_GB2312" w:eastAsia="仿宋_GB2312"/>
          <w:sz w:val="15"/>
          <w:b/>
        </w:rPr>
        <w:t>陕西天鸿信项目管理有限公司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停车场租赁服务项目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THXZB2025-1067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停车场租赁服务项目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随着医院各项业务快速发展，目前日均门诊量达4000余人次，日均住院人数超过1400人，院内原有的670个停车位已不能满足停车需求，高峰时段车位缺口超52%，造成门口排队长、进院后停车难问题，导致院外道路车辆违规停放，院内占道、堵塞消防通道等问题，医院不断接到停车难问题投诉和因劝阻停车占道问题出现保安员与就诊人员纠纷，停车难题亟待解决。经医院院长办公室和党委会研究决定，拟租赁停车场，预算金额239万</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或被授权人身份证明：法定代表人直接谈判须提交法定代表人证明书，法定代表人授权代表参加谈判的，须出具法定代表人证明书及授权书、授权本单位的证明（提供谈判截止时间前三个月内任意一个月的养老保险参保缴费证明），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缴税证明：供应商须提供谈判截止时间前半年内任意一个月的缴税证明，（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证明：供应商须提供谈判截止时间前半年内任意一个月的社会保险缴纳证明，（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用查询：供应商在递交响应文件截止时间前被“信用中国”网站和“中国政府采购网”上被列入失信被执行人、重大税收违法失信主体、政府采购严重违法失信行为记录名单的，不得参加投标（不强制要求供应商提供查询截图，以开标当天查询结果为评审依据）。</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89626819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采购包1：2,390,000.00元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采购包1：2,390,000.00元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随着医院各项业务快速发展，目前日均门诊量达4000余人次，日均住院人数超过1400人，院内原有的670个停车位已不能满足停车需求，高峰时段车位缺口超52%，造成门口排队长、进院后停车难问题，导致院外道路车辆违规停放，院内占道、堵塞消防通道等问题，医院不断接到停车难问题投诉和因劝阻停车占道问题出现保安员与就诊人员纠纷，停车难题亟待解决。经医院院长办公室和党委会研究决定，拟租赁停车场，预算金额239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2,390,000.00</w:t>
      </w:r>
    </w:p>
    <w:p>
      <w:pPr>
        <w:pStyle w:val="null3"/>
      </w:pPr>
      <w:r>
        <w:rPr>
          <w:rFonts w:ascii="仿宋_GB2312" w:hAnsi="仿宋_GB2312" w:cs="仿宋_GB2312" w:eastAsia="仿宋_GB2312"/>
        </w:rPr>
        <w:t>采购包最高限价（元）: 2,390,000.00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停车场租赁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标的名称：停车场租赁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1.服务内容：</w:t>
            </w:r>
          </w:p>
          <w:p>
            <w:pPr>
              <w:pStyle w:val="null3"/>
            </w:pPr>
            <w:r>
              <w:rPr>
                <w:rFonts w:ascii="仿宋_GB2312" w:hAnsi="仿宋_GB2312" w:cs="仿宋_GB2312" w:eastAsia="仿宋_GB2312"/>
                <w:sz w:val="21"/>
              </w:rPr>
              <w:t>1.1至少提供438个车位，单个车位价格≤200元/月，租赁期限为自合同签署之日至2027年12月31日，（价格包含车位能正常使用所产生的费用，包含物业服务）。</w:t>
            </w:r>
          </w:p>
          <w:p>
            <w:pPr>
              <w:pStyle w:val="null3"/>
            </w:pPr>
            <w:r>
              <w:rPr>
                <w:rFonts w:ascii="仿宋_GB2312" w:hAnsi="仿宋_GB2312" w:cs="仿宋_GB2312" w:eastAsia="仿宋_GB2312"/>
                <w:sz w:val="21"/>
              </w:rPr>
              <w:t>1.2确保车库卫生整洁，划线清晰，导视合理，消防、安防系统符合相关规定。</w:t>
            </w:r>
          </w:p>
          <w:p>
            <w:pPr>
              <w:pStyle w:val="null3"/>
            </w:pPr>
            <w:r>
              <w:rPr>
                <w:rFonts w:ascii="仿宋_GB2312" w:hAnsi="仿宋_GB2312" w:cs="仿宋_GB2312" w:eastAsia="仿宋_GB2312"/>
                <w:sz w:val="21"/>
              </w:rPr>
              <w:t>1.3负责出租区域的日常卫生以及设施设备的维修保养，并承担设施设备老化产生的维护、维修的费用。</w:t>
            </w:r>
          </w:p>
          <w:p>
            <w:pPr>
              <w:pStyle w:val="null3"/>
            </w:pPr>
            <w:r>
              <w:rPr>
                <w:rFonts w:ascii="仿宋_GB2312" w:hAnsi="仿宋_GB2312" w:cs="仿宋_GB2312" w:eastAsia="仿宋_GB2312"/>
                <w:sz w:val="21"/>
              </w:rPr>
              <w:t>1.4每日定时对停车场进行安全检查并进行记录。</w:t>
            </w:r>
          </w:p>
          <w:p>
            <w:pPr>
              <w:pStyle w:val="null3"/>
            </w:pPr>
            <w:r>
              <w:rPr>
                <w:rFonts w:ascii="仿宋_GB2312" w:hAnsi="仿宋_GB2312" w:cs="仿宋_GB2312" w:eastAsia="仿宋_GB2312"/>
                <w:sz w:val="21"/>
              </w:rPr>
              <w:t>2.技术要求：停车道闸及软件，软件须支持优惠券、会议停车券发放、停车场场中场设置以及手机端 APP(大掌柜管理端、车场优惠发券)操作。</w:t>
            </w:r>
          </w:p>
          <w:p>
            <w:pPr>
              <w:pStyle w:val="null3"/>
            </w:pPr>
            <w:r>
              <w:rPr>
                <w:rFonts w:ascii="仿宋_GB2312" w:hAnsi="仿宋_GB2312" w:cs="仿宋_GB2312" w:eastAsia="仿宋_GB2312"/>
                <w:sz w:val="21"/>
              </w:rPr>
              <w:t>3.服务要求：</w:t>
            </w:r>
          </w:p>
          <w:p>
            <w:pPr>
              <w:pStyle w:val="null3"/>
            </w:pPr>
            <w:r>
              <w:rPr>
                <w:rFonts w:ascii="仿宋_GB2312" w:hAnsi="仿宋_GB2312" w:cs="仿宋_GB2312" w:eastAsia="仿宋_GB2312"/>
                <w:sz w:val="21"/>
              </w:rPr>
              <w:t>3.1配合车库系统管理权限合并至医院停车系统。</w:t>
            </w:r>
          </w:p>
          <w:p>
            <w:pPr>
              <w:pStyle w:val="null3"/>
            </w:pPr>
            <w:r>
              <w:rPr>
                <w:rFonts w:ascii="仿宋_GB2312" w:hAnsi="仿宋_GB2312" w:cs="仿宋_GB2312" w:eastAsia="仿宋_GB2312"/>
                <w:sz w:val="21"/>
              </w:rPr>
              <w:t>3.2如因提供的场地及设施设备问题，导致第三方受到损害、车库无法正常使用或受到任何处罚的，由出租方承担全部责任</w:t>
            </w:r>
          </w:p>
          <w:p>
            <w:pPr>
              <w:pStyle w:val="null3"/>
            </w:pPr>
            <w:r>
              <w:rPr>
                <w:rFonts w:ascii="仿宋_GB2312" w:hAnsi="仿宋_GB2312" w:cs="仿宋_GB2312" w:eastAsia="仿宋_GB2312"/>
                <w:sz w:val="21"/>
              </w:rPr>
              <w:t>4.其他要求：</w:t>
            </w:r>
          </w:p>
          <w:p>
            <w:pPr>
              <w:pStyle w:val="null3"/>
            </w:pPr>
            <w:r>
              <w:rPr>
                <w:rFonts w:ascii="仿宋_GB2312" w:hAnsi="仿宋_GB2312" w:cs="仿宋_GB2312" w:eastAsia="仿宋_GB2312"/>
                <w:sz w:val="21"/>
              </w:rPr>
              <w:t>★4.1供应商须承诺车位租赁给采购人前无权属争议，也无任何其他纠纷。</w:t>
            </w:r>
          </w:p>
          <w:p>
            <w:pPr>
              <w:pStyle w:val="null3"/>
            </w:pPr>
            <w:r>
              <w:rPr>
                <w:rFonts w:ascii="仿宋_GB2312" w:hAnsi="仿宋_GB2312" w:cs="仿宋_GB2312" w:eastAsia="仿宋_GB2312"/>
                <w:sz w:val="21"/>
              </w:rPr>
              <w:t>4.2除因不可抗力或双方有约定外，供应商不得干涉车位的合法使用权，不得收回车位或转租他人，并不得提高租金。</w:t>
            </w:r>
          </w:p>
          <w:p>
            <w:pPr>
              <w:pStyle w:val="null3"/>
              <w:jc w:val="both"/>
            </w:pPr>
            <w:r>
              <w:rPr>
                <w:rFonts w:ascii="仿宋_GB2312" w:hAnsi="仿宋_GB2312" w:cs="仿宋_GB2312" w:eastAsia="仿宋_GB2312"/>
                <w:sz w:val="21"/>
              </w:rPr>
              <w:t>4.3供应商擅自解除要按照车位整租3个月租金标准支付给采购人违约金。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★报价要求：（实质性要求）</w:t>
            </w:r>
          </w:p>
          <w:p>
            <w:pPr>
              <w:pStyle w:val="null3"/>
            </w:pPr>
            <w:r>
              <w:rPr>
                <w:rFonts w:ascii="仿宋_GB2312" w:hAnsi="仿宋_GB2312" w:cs="仿宋_GB2312" w:eastAsia="仿宋_GB2312"/>
                <w:sz w:val="21"/>
              </w:rPr>
              <w:t>本项目报价要求为单价（单个车位每月租赁价格）进行响应，最高限价为：200元/车/月。供应商未按照要求报价或超过最高限价的为无效文件。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1.指定一名项目对接人员，对接日常工作。 2.需提供至少4人，负责提供物业服务。</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满足单一来源采购文件要求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自合同签署之日至2027年12月31日。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合同签订后，每季度末甲方开具合规发票，乙方收到发票后30个日内支付该时间段的服务费用。 乙方付款前，双方签署结算单（附件1），甲方向乙方出具发票，否则乙方有权暂不付款且不承担任何责任。 如车位租赁非整月，则按照月均30天计算每日费用，据实结算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1.因系统格式设定无法更改，支付约定描述以谈判文件“拟签订合同文本”中体现的内容为准。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谈判须提交法定代表人证明书，法定代表人授权代表参加谈判的，须出具法定代表人证明书及授权书、授权本单位的证明（提供谈判截止时间前三个月内任意一个月的养老保险参保缴费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缴税证明</w:t>
            </w:r>
          </w:p>
        </w:tc>
        <w:tc>
          <w:tcPr>
            <w:tcW w:type="dxa" w:w="3322"/>
          </w:tcPr>
          <w:p>
            <w:pPr>
              <w:pStyle w:val="null3"/>
            </w:pPr>
            <w:r>
              <w:rPr>
                <w:rFonts w:ascii="仿宋_GB2312" w:hAnsi="仿宋_GB2312" w:cs="仿宋_GB2312" w:eastAsia="仿宋_GB2312"/>
              </w:rPr>
              <w:t>供应商须提供谈判截止时间前半年内任意一个月的缴税证明，（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社会保险缴纳证明</w:t>
            </w:r>
          </w:p>
        </w:tc>
        <w:tc>
          <w:tcPr>
            <w:tcW w:type="dxa" w:w="3322"/>
          </w:tcPr>
          <w:p>
            <w:pPr>
              <w:pStyle w:val="null3"/>
            </w:pPr>
            <w:r>
              <w:rPr>
                <w:rFonts w:ascii="仿宋_GB2312" w:hAnsi="仿宋_GB2312" w:cs="仿宋_GB2312" w:eastAsia="仿宋_GB2312"/>
              </w:rPr>
              <w:t>供应商须提供谈判截止时间前半年内任意一个月的社会保险缴纳证明，（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和“中国政府采购网”上被列入失信被执行人、重大税收违法失信主体、政府采购严重违法失信行为记录名单的，不得参加投标（不强制要求供应商提供查询截图，以开标当天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（1）《财政部 发展改革委 生态环境部 市场监管总局关于调整优化节能产品、环境标志产品政府采购执行机制的通知》（财库〔2019〕9号）；（2）国务院办公厅《关于建立政府强制采购节能产品制度的通知》（国办发〔2007〕51号）；（3）《关于印发节能产品政府采购品目清单的通知》（财库〔2019〕19号）；（4）《关于印发环境标志产品政府采购品目清单的通知》（财库〔2019〕18号）；（5）《政府采购促进中小企业发展管理办法》（财库〔2020〕46号）；（6）《关于政府采购支持监狱企业发展有关问题的通知》（财库〔2014〕68号）； （7）《关于促进残疾人就业政府采购政策的通知》（财库〔2017〕141号）；（8）《关于进一步加大政府采购支持中小企业力度的通知》（财库〔2022〕19号）；（9）《陕西省财政厅关于进一步落实政府采购支持中小企业相关政策的通知》（陕财办采〔2023〕3号）；（10）《陕西省中小企业政府采购信用融资办法》（陕财办采〔2018〕23号）；（11）《财政部 农业农村部 国家乡村振兴局关于运用政府采购政策支持乡村产业振兴的通知》（财库〔2021〕19 号）；（12）《陕西省财政厅关于加快推进我省中小企业政府采购信用融资工作的通知》（陕财办采〔2020〕15号）；（13）其他需要落实的政府采购政策。</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谈判响应文件中项目名称、项目编号与本项目一致，无遗漏；</w:t>
            </w:r>
          </w:p>
        </w:tc>
        <w:tc>
          <w:tcPr>
            <w:tcW w:type="dxa" w:w="1661"/>
          </w:tcPr>
          <w:p>
            <w:pPr>
              <w:pStyle w:val="null3"/>
            </w:pPr>
            <w:r>
              <w:rPr>
                <w:rFonts w:ascii="仿宋_GB2312" w:hAnsi="仿宋_GB2312" w:cs="仿宋_GB2312" w:eastAsia="仿宋_GB2312"/>
              </w:rPr>
              <w:t>响应文件封面 标的清单 报价表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谈判响应文件签署、盖章及谈判有效期符合谈判文件要求；</w:t>
            </w:r>
          </w:p>
        </w:tc>
        <w:tc>
          <w:tcPr>
            <w:tcW w:type="dxa" w:w="1661"/>
          </w:tcPr>
          <w:p>
            <w:pPr>
              <w:pStyle w:val="null3"/>
            </w:pPr>
            <w:r>
              <w:rPr>
                <w:rFonts w:ascii="仿宋_GB2312" w:hAnsi="仿宋_GB2312" w:cs="仿宋_GB2312" w:eastAsia="仿宋_GB2312"/>
              </w:rPr>
              <w:t>响应文件封面 标的清单 报价表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响应报价符合唯一性要求</w:t>
            </w:r>
          </w:p>
        </w:tc>
        <w:tc>
          <w:tcPr>
            <w:tcW w:type="dxa" w:w="3322"/>
          </w:tcPr>
          <w:p>
            <w:pPr>
              <w:pStyle w:val="null3"/>
            </w:pPr>
            <w:r>
              <w:rPr>
                <w:rFonts w:ascii="仿宋_GB2312" w:hAnsi="仿宋_GB2312" w:cs="仿宋_GB2312" w:eastAsia="仿宋_GB2312"/>
              </w:rPr>
              <w:t>响应报价符合唯一性要求；响应报价未超出采购预算或采购最高限价；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响应内容与要求</w:t>
            </w:r>
          </w:p>
        </w:tc>
        <w:tc>
          <w:tcPr>
            <w:tcW w:type="dxa" w:w="3322"/>
          </w:tcPr>
          <w:p>
            <w:pPr>
              <w:pStyle w:val="null3"/>
            </w:pPr>
            <w:r>
              <w:rPr>
                <w:rFonts w:ascii="仿宋_GB2312" w:hAnsi="仿宋_GB2312" w:cs="仿宋_GB2312" w:eastAsia="仿宋_GB2312"/>
              </w:rPr>
              <w:t>响应内容未出现漏项；数量与要求相符；</w:t>
            </w:r>
          </w:p>
        </w:tc>
        <w:tc>
          <w:tcPr>
            <w:tcW w:type="dxa" w:w="1661"/>
          </w:tcPr>
          <w:p>
            <w:pPr>
              <w:pStyle w:val="null3"/>
            </w:pPr>
            <w:r>
              <w:rPr>
                <w:rFonts w:ascii="仿宋_GB2312" w:hAnsi="仿宋_GB2312" w:cs="仿宋_GB2312" w:eastAsia="仿宋_GB2312"/>
              </w:rPr>
              <w:t>谈判响应方案.docx 商务响应表.docx 服务内容响应表.docx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谈判响应方案.docx 商务响应表.docx 服务内容响应表.docx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“无效谈判”的情形及未实质性响应谈判文件的情况</w:t>
            </w:r>
          </w:p>
        </w:tc>
        <w:tc>
          <w:tcPr>
            <w:tcW w:type="dxa" w:w="3322"/>
          </w:tcPr>
          <w:p>
            <w:pPr>
              <w:pStyle w:val="null3"/>
            </w:pPr>
            <w:r>
              <w:rPr>
                <w:rFonts w:ascii="仿宋_GB2312" w:hAnsi="仿宋_GB2312" w:cs="仿宋_GB2312" w:eastAsia="仿宋_GB2312"/>
              </w:rPr>
              <w:t>没有出现法律法规或谈判文件明确规定的其他被视为“无效谈判”的情形及未实质性响应谈判文件的情况。</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详见附件：服务内容响应表.docx</w:t>
      </w:r>
    </w:p>
    <w:p>
      <w:pPr>
        <w:pStyle w:val="null3"/>
        <w:ind w:firstLine="960"/>
      </w:pPr>
      <w:r>
        <w:rPr>
          <w:rFonts w:ascii="仿宋_GB2312" w:hAnsi="仿宋_GB2312" w:cs="仿宋_GB2312" w:eastAsia="仿宋_GB2312"/>
        </w:rPr>
        <w:t>详见附件：谈判响应方案.docx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