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CD56E">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rPr>
          <w:rFonts w:hint="eastAsia" w:ascii="方正小标宋简体" w:hAnsi="方正小标宋简体" w:eastAsia="方正小标宋简体" w:cs="方正小标宋简体"/>
          <w:b w:val="0"/>
          <w:bCs w:val="0"/>
          <w:spacing w:val="-5"/>
          <w:sz w:val="44"/>
          <w:szCs w:val="44"/>
        </w:rPr>
      </w:pPr>
      <w:bookmarkStart w:id="0" w:name="_Hlk107229277"/>
      <w:r>
        <w:rPr>
          <w:rFonts w:hint="eastAsia" w:ascii="方正小标宋简体" w:hAnsi="方正小标宋简体" w:eastAsia="方正小标宋简体" w:cs="方正小标宋简体"/>
          <w:b w:val="0"/>
          <w:bCs w:val="0"/>
          <w:spacing w:val="-5"/>
          <w:sz w:val="44"/>
          <w:szCs w:val="44"/>
        </w:rPr>
        <w:t>拟签订的合同条款文本</w:t>
      </w:r>
    </w:p>
    <w:bookmarkEnd w:id="0"/>
    <w:p w14:paraId="791A15A1">
      <w:pPr>
        <w:adjustRightInd w:val="0"/>
        <w:snapToGrid w:val="0"/>
        <w:spacing w:line="360" w:lineRule="auto"/>
        <w:ind w:firstLine="422" w:firstLineChars="200"/>
        <w:jc w:val="center"/>
        <w:rPr>
          <w:rFonts w:hint="eastAsia" w:hAnsi="宋体" w:eastAsia="宋体"/>
          <w:b/>
          <w:color w:val="auto"/>
          <w:lang w:eastAsia="zh-CN"/>
        </w:rPr>
      </w:pPr>
      <w:r>
        <w:rPr>
          <w:rFonts w:hint="eastAsia" w:hAnsi="宋体"/>
          <w:b/>
          <w:color w:val="auto"/>
          <w:lang w:eastAsia="zh-CN"/>
        </w:rPr>
        <w:t>（</w:t>
      </w:r>
      <w:r>
        <w:rPr>
          <w:rFonts w:hint="eastAsia" w:hAnsi="宋体"/>
          <w:b/>
          <w:color w:val="auto"/>
          <w:lang w:val="en-US" w:eastAsia="zh-CN"/>
        </w:rPr>
        <w:t>最终以签订合同为准</w:t>
      </w:r>
      <w:r>
        <w:rPr>
          <w:rFonts w:hint="eastAsia" w:hAnsi="宋体"/>
          <w:b/>
          <w:color w:val="auto"/>
          <w:lang w:eastAsia="zh-CN"/>
        </w:rPr>
        <w:t>）</w:t>
      </w:r>
    </w:p>
    <w:p w14:paraId="43FE9608">
      <w:pPr>
        <w:autoSpaceDE w:val="0"/>
        <w:autoSpaceDN w:val="0"/>
        <w:adjustRightInd w:val="0"/>
        <w:snapToGrid w:val="0"/>
        <w:spacing w:line="360" w:lineRule="auto"/>
        <w:ind w:firstLine="560" w:firstLineChars="200"/>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 xml:space="preserve">甲方（采购人）： </w:t>
      </w:r>
    </w:p>
    <w:p w14:paraId="53BC0C2C">
      <w:pPr>
        <w:autoSpaceDE w:val="0"/>
        <w:autoSpaceDN w:val="0"/>
        <w:adjustRightInd w:val="0"/>
        <w:snapToGrid w:val="0"/>
        <w:spacing w:line="360" w:lineRule="auto"/>
        <w:ind w:firstLine="560" w:firstLineChars="200"/>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 xml:space="preserve">乙方（成交供应商）： </w:t>
      </w:r>
    </w:p>
    <w:p w14:paraId="78F4FF2D">
      <w:pPr>
        <w:autoSpaceDE w:val="0"/>
        <w:autoSpaceDN w:val="0"/>
        <w:adjustRightInd w:val="0"/>
        <w:snapToGrid w:val="0"/>
        <w:spacing w:line="360" w:lineRule="auto"/>
        <w:ind w:firstLine="560" w:firstLineChars="200"/>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u w:val="single"/>
        </w:rPr>
        <w:t>2025年排水监测运行维护服务项目(项目编号：</w:t>
      </w:r>
      <w:r>
        <w:rPr>
          <w:rFonts w:hint="eastAsia" w:ascii="仿宋_GB2312" w:hAnsi="仿宋_GB2312" w:eastAsia="仿宋_GB2312" w:cs="仿宋_GB2312"/>
          <w:bCs/>
          <w:color w:val="auto"/>
          <w:sz w:val="28"/>
          <w:szCs w:val="28"/>
          <w:u w:val="single"/>
          <w:lang w:eastAsia="zh-CN"/>
        </w:rPr>
        <w:t>SXHC202</w:t>
      </w:r>
      <w:r>
        <w:rPr>
          <w:rFonts w:hint="eastAsia" w:ascii="仿宋_GB2312" w:hAnsi="仿宋_GB2312" w:eastAsia="仿宋_GB2312" w:cs="仿宋_GB2312"/>
          <w:bCs/>
          <w:color w:val="auto"/>
          <w:sz w:val="28"/>
          <w:szCs w:val="28"/>
          <w:u w:val="single"/>
          <w:lang w:val="en-US" w:eastAsia="zh-CN"/>
        </w:rPr>
        <w:t>5</w:t>
      </w:r>
      <w:r>
        <w:rPr>
          <w:rFonts w:hint="eastAsia" w:ascii="仿宋_GB2312" w:hAnsi="仿宋_GB2312" w:eastAsia="仿宋_GB2312" w:cs="仿宋_GB2312"/>
          <w:bCs/>
          <w:color w:val="auto"/>
          <w:sz w:val="28"/>
          <w:szCs w:val="28"/>
          <w:u w:val="single"/>
          <w:lang w:eastAsia="zh-CN"/>
        </w:rPr>
        <w:t>-</w:t>
      </w:r>
      <w:r>
        <w:rPr>
          <w:rFonts w:hint="eastAsia" w:ascii="仿宋_GB2312" w:hAnsi="仿宋_GB2312" w:eastAsia="仿宋_GB2312" w:cs="仿宋_GB2312"/>
          <w:bCs/>
          <w:color w:val="auto"/>
          <w:sz w:val="28"/>
          <w:szCs w:val="28"/>
          <w:u w:val="single"/>
          <w:lang w:val="en-US" w:eastAsia="zh-CN"/>
        </w:rPr>
        <w:t>238</w:t>
      </w:r>
      <w:r>
        <w:rPr>
          <w:rFonts w:hint="eastAsia" w:ascii="仿宋_GB2312" w:hAnsi="仿宋_GB2312" w:eastAsia="仿宋_GB2312" w:cs="仿宋_GB2312"/>
          <w:bCs/>
          <w:color w:val="auto"/>
          <w:sz w:val="28"/>
          <w:szCs w:val="28"/>
          <w:u w:val="single"/>
        </w:rPr>
        <w:t>)</w:t>
      </w:r>
      <w:r>
        <w:rPr>
          <w:rFonts w:hint="eastAsia" w:ascii="仿宋_GB2312" w:hAnsi="仿宋_GB2312" w:eastAsia="仿宋_GB2312" w:cs="仿宋_GB2312"/>
          <w:bCs/>
          <w:color w:val="auto"/>
          <w:sz w:val="28"/>
          <w:szCs w:val="28"/>
        </w:rPr>
        <w:t>，由陕西华采招标有限公司组织竞争性磋商，</w:t>
      </w:r>
      <w:r>
        <w:rPr>
          <w:rFonts w:hint="eastAsia" w:ascii="仿宋_GB2312" w:hAnsi="仿宋_GB2312" w:eastAsia="仿宋_GB2312" w:cs="仿宋_GB2312"/>
          <w:bCs/>
          <w:color w:val="auto"/>
          <w:sz w:val="28"/>
          <w:szCs w:val="28"/>
          <w:u w:val="single"/>
        </w:rPr>
        <w:t xml:space="preserve">               </w:t>
      </w:r>
      <w:r>
        <w:rPr>
          <w:rFonts w:hint="eastAsia" w:ascii="仿宋_GB2312" w:hAnsi="仿宋_GB2312" w:eastAsia="仿宋_GB2312" w:cs="仿宋_GB2312"/>
          <w:bCs/>
          <w:color w:val="auto"/>
          <w:sz w:val="28"/>
          <w:szCs w:val="28"/>
        </w:rPr>
        <w:t>(以下简称“甲方”)确定</w:t>
      </w:r>
      <w:r>
        <w:rPr>
          <w:rFonts w:hint="eastAsia" w:ascii="仿宋_GB2312" w:hAnsi="仿宋_GB2312" w:eastAsia="仿宋_GB2312" w:cs="仿宋_GB2312"/>
          <w:bCs/>
          <w:color w:val="auto"/>
          <w:sz w:val="28"/>
          <w:szCs w:val="28"/>
          <w:u w:val="single"/>
        </w:rPr>
        <w:t xml:space="preserve">          </w:t>
      </w:r>
      <w:r>
        <w:rPr>
          <w:rFonts w:hint="eastAsia" w:ascii="仿宋_GB2312" w:hAnsi="仿宋_GB2312" w:eastAsia="仿宋_GB2312" w:cs="仿宋_GB2312"/>
          <w:bCs/>
          <w:color w:val="auto"/>
          <w:sz w:val="28"/>
          <w:szCs w:val="28"/>
        </w:rPr>
        <w:t>（以下简称“乙方”）为该项目的成交供应商。</w:t>
      </w:r>
    </w:p>
    <w:p w14:paraId="04A61942">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依据《中华人民共和国</w:t>
      </w:r>
      <w:r>
        <w:rPr>
          <w:rFonts w:hint="eastAsia" w:ascii="仿宋_GB2312" w:hAnsi="仿宋_GB2312" w:eastAsia="仿宋_GB2312" w:cs="仿宋_GB2312"/>
          <w:bCs/>
          <w:color w:val="auto"/>
          <w:sz w:val="28"/>
          <w:szCs w:val="28"/>
          <w:lang w:val="en-US" w:eastAsia="zh-CN"/>
        </w:rPr>
        <w:t>民法典</w:t>
      </w:r>
      <w:r>
        <w:rPr>
          <w:rFonts w:hint="eastAsia" w:ascii="仿宋_GB2312" w:hAnsi="仿宋_GB2312" w:eastAsia="仿宋_GB2312" w:cs="仿宋_GB2312"/>
          <w:bCs/>
          <w:color w:val="auto"/>
          <w:sz w:val="28"/>
          <w:szCs w:val="28"/>
        </w:rPr>
        <w:t>》和《中华人民共和国政府采购法》之规定，经双方在平等、自愿、互利的基础上，签订本合同，共同信守。</w:t>
      </w:r>
    </w:p>
    <w:p w14:paraId="0DEFF5E9">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一、合同价款</w:t>
      </w:r>
    </w:p>
    <w:p w14:paraId="63EA11AF">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（一）合同总价款为人民币（大写）</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w:t>
      </w:r>
      <w:r>
        <w:rPr>
          <w:rFonts w:hint="eastAsia" w:ascii="微软雅黑" w:hAnsi="微软雅黑" w:eastAsia="微软雅黑" w:cs="微软雅黑"/>
          <w:color w:val="auto"/>
          <w:sz w:val="28"/>
          <w:szCs w:val="28"/>
          <w:highlight w:val="none"/>
          <w:lang w:val="en-US" w:eastAsia="zh-CN"/>
        </w:rPr>
        <w:t>￥</w:t>
      </w:r>
      <w:r>
        <w:rPr>
          <w:rFonts w:hint="eastAsia" w:ascii="仿宋_GB2312" w:hAnsi="仿宋_GB2312" w:eastAsia="仿宋_GB2312" w:cs="仿宋_GB2312"/>
          <w:color w:val="auto"/>
          <w:sz w:val="28"/>
          <w:szCs w:val="28"/>
          <w:highlight w:val="none"/>
          <w:u w:val="single"/>
        </w:rPr>
        <w:t xml:space="preserve">      </w:t>
      </w:r>
      <w:r>
        <w:rPr>
          <w:rFonts w:hint="eastAsia" w:ascii="仿宋_GB2312" w:hAnsi="仿宋_GB2312" w:eastAsia="仿宋_GB2312" w:cs="仿宋_GB2312"/>
          <w:color w:val="auto"/>
          <w:sz w:val="28"/>
          <w:szCs w:val="28"/>
          <w:highlight w:val="none"/>
        </w:rPr>
        <w:t>）。</w:t>
      </w:r>
    </w:p>
    <w:p w14:paraId="595D778A">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color w:val="auto"/>
          <w:sz w:val="28"/>
          <w:szCs w:val="28"/>
          <w:lang w:val="en-US" w:eastAsia="zh-CN"/>
        </w:rPr>
      </w:pPr>
      <w:r>
        <w:rPr>
          <w:rFonts w:hint="eastAsia" w:ascii="仿宋_GB2312" w:hAnsi="仿宋_GB2312" w:eastAsia="仿宋_GB2312" w:cs="仿宋_GB2312"/>
          <w:bCs/>
          <w:color w:val="auto"/>
          <w:sz w:val="28"/>
          <w:szCs w:val="28"/>
        </w:rPr>
        <w:t>（二）合同总价是指本次服务内容所需的全部费用,包括完成采购内容所需的直接费、间接费、利润、税金及其他相关的一切费用。</w:t>
      </w:r>
    </w:p>
    <w:p w14:paraId="13270675">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（三）合同总价一次性包死，不受市场价格变化因素的影响。</w:t>
      </w:r>
    </w:p>
    <w:p w14:paraId="0171704A">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color w:val="auto"/>
        </w:rPr>
      </w:pPr>
      <w:r>
        <w:rPr>
          <w:rFonts w:hint="eastAsia" w:ascii="仿宋_GB2312" w:hAnsi="仿宋_GB2312" w:eastAsia="仿宋_GB2312" w:cs="仿宋_GB2312"/>
          <w:b/>
          <w:bCs/>
          <w:color w:val="auto"/>
          <w:sz w:val="28"/>
          <w:szCs w:val="28"/>
          <w:highlight w:val="none"/>
        </w:rPr>
        <w:t>二、委托工作内容</w:t>
      </w:r>
      <w:r>
        <w:rPr>
          <w:rFonts w:hint="eastAsia" w:ascii="仿宋_GB2312" w:hAnsi="仿宋_GB2312" w:eastAsia="仿宋_GB2312" w:cs="仿宋_GB2312"/>
          <w:color w:val="auto"/>
          <w:sz w:val="28"/>
          <w:szCs w:val="28"/>
          <w:highlight w:val="none"/>
          <w:lang w:val="en-US" w:eastAsia="zh-CN"/>
        </w:rPr>
        <w:t xml:space="preserve"> ：</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sz w:val="28"/>
          <w:szCs w:val="28"/>
          <w:highlight w:val="none"/>
          <w:lang w:val="en-US" w:eastAsia="zh-CN"/>
        </w:rPr>
        <w:t>。</w:t>
      </w:r>
    </w:p>
    <w:p w14:paraId="4346075C">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lang w:val="en-US" w:eastAsia="zh-CN"/>
        </w:rPr>
        <w:t>三</w:t>
      </w:r>
      <w:r>
        <w:rPr>
          <w:rFonts w:hint="eastAsia" w:ascii="仿宋_GB2312" w:hAnsi="仿宋_GB2312" w:eastAsia="仿宋_GB2312" w:cs="仿宋_GB2312"/>
          <w:b/>
          <w:color w:val="auto"/>
          <w:sz w:val="28"/>
          <w:szCs w:val="28"/>
          <w:highlight w:val="none"/>
        </w:rPr>
        <w:t>、款项结算</w:t>
      </w:r>
    </w:p>
    <w:p w14:paraId="71F47351">
      <w:pPr>
        <w:autoSpaceDE w:val="0"/>
        <w:autoSpaceDN w:val="0"/>
        <w:adjustRightInd w:val="0"/>
        <w:snapToGrid w:val="0"/>
        <w:spacing w:line="360" w:lineRule="auto"/>
        <w:ind w:firstLine="560" w:firstLineChars="200"/>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（一）项款支付:</w:t>
      </w:r>
    </w:p>
    <w:p w14:paraId="705B7B55">
      <w:pPr>
        <w:autoSpaceDE w:val="0"/>
        <w:autoSpaceDN w:val="0"/>
        <w:adjustRightInd w:val="0"/>
        <w:snapToGrid w:val="0"/>
        <w:spacing w:line="360" w:lineRule="auto"/>
        <w:ind w:firstLine="560" w:firstLineChars="200"/>
        <w:rPr>
          <w:rFonts w:hint="eastAsia" w:ascii="仿宋_GB2312" w:hAnsi="仿宋_GB2312" w:eastAsia="仿宋_GB2312" w:cs="仿宋_GB2312"/>
          <w:bCs/>
          <w:color w:val="auto"/>
          <w:sz w:val="28"/>
          <w:szCs w:val="28"/>
          <w:lang w:val="en-US" w:eastAsia="zh-CN" w:bidi="ar"/>
        </w:rPr>
      </w:pPr>
      <w:r>
        <w:rPr>
          <w:rFonts w:hint="eastAsia" w:ascii="仿宋_GB2312" w:hAnsi="仿宋_GB2312" w:eastAsia="仿宋_GB2312" w:cs="仿宋_GB2312"/>
          <w:b w:val="0"/>
          <w:bCs/>
          <w:color w:val="auto"/>
          <w:sz w:val="28"/>
          <w:szCs w:val="28"/>
          <w:lang w:val="en-US" w:eastAsia="zh-CN" w:bidi="ar"/>
        </w:rPr>
        <w:t>合同签订后7个工作日乙方向甲方提供履约保函，甲方向乙方支付合同价款的50%</w:t>
      </w:r>
      <w:r>
        <w:rPr>
          <w:rFonts w:hint="eastAsia" w:ascii="仿宋_GB2312" w:hAnsi="仿宋_GB2312" w:eastAsia="仿宋_GB2312" w:cs="仿宋_GB2312"/>
          <w:bCs/>
          <w:color w:val="auto"/>
          <w:sz w:val="28"/>
          <w:szCs w:val="28"/>
          <w:lang w:eastAsia="zh-CN" w:bidi="ar"/>
        </w:rPr>
        <w:t>；</w:t>
      </w:r>
      <w:r>
        <w:rPr>
          <w:rFonts w:hint="eastAsia" w:ascii="仿宋_GB2312" w:hAnsi="仿宋_GB2312" w:eastAsia="仿宋_GB2312" w:cs="仿宋_GB2312"/>
          <w:bCs/>
          <w:color w:val="auto"/>
          <w:sz w:val="28"/>
          <w:szCs w:val="28"/>
          <w:lang w:val="en-US" w:eastAsia="zh-CN" w:bidi="ar"/>
        </w:rPr>
        <w:t>2025年底甲方向乙方支付合同价款的50%。项目履约结束经验收合格后退还乙方履约保函。</w:t>
      </w:r>
    </w:p>
    <w:p w14:paraId="6784D750">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（二）支付方式：银行转账。</w:t>
      </w:r>
    </w:p>
    <w:p w14:paraId="598EE0CB">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（三）结算方式：乙方在接受付款前，</w:t>
      </w:r>
      <w:r>
        <w:rPr>
          <w:rFonts w:hint="eastAsia" w:ascii="仿宋_GB2312" w:hAnsi="仿宋_GB2312" w:eastAsia="仿宋_GB2312" w:cs="仿宋_GB2312"/>
          <w:color w:val="auto"/>
          <w:sz w:val="28"/>
          <w:szCs w:val="28"/>
          <w:highlight w:val="none"/>
          <w:lang w:val="en-US" w:eastAsia="zh-CN"/>
        </w:rPr>
        <w:t>根据支付方式开具</w:t>
      </w:r>
      <w:r>
        <w:rPr>
          <w:rFonts w:hint="eastAsia" w:ascii="仿宋_GB2312" w:hAnsi="仿宋_GB2312" w:eastAsia="仿宋_GB2312" w:cs="仿宋_GB2312"/>
          <w:color w:val="auto"/>
          <w:sz w:val="28"/>
          <w:szCs w:val="28"/>
          <w:highlight w:val="none"/>
        </w:rPr>
        <w:t>发票给甲方。</w:t>
      </w:r>
    </w:p>
    <w:p w14:paraId="35555077">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（四）验收依据：合同文本,</w:t>
      </w:r>
      <w:r>
        <w:rPr>
          <w:rFonts w:hint="eastAsia" w:ascii="仿宋_GB2312" w:hAnsi="仿宋_GB2312" w:eastAsia="仿宋_GB2312" w:cs="仿宋_GB2312"/>
          <w:bCs/>
          <w:color w:val="auto"/>
          <w:sz w:val="28"/>
          <w:szCs w:val="28"/>
          <w:highlight w:val="none"/>
          <w:lang w:eastAsia="zh-CN"/>
        </w:rPr>
        <w:t>磋商</w:t>
      </w:r>
      <w:r>
        <w:rPr>
          <w:rFonts w:hint="eastAsia" w:ascii="仿宋_GB2312" w:hAnsi="仿宋_GB2312" w:eastAsia="仿宋_GB2312" w:cs="仿宋_GB2312"/>
          <w:bCs/>
          <w:color w:val="auto"/>
          <w:sz w:val="28"/>
          <w:szCs w:val="28"/>
          <w:highlight w:val="none"/>
        </w:rPr>
        <w:t>/</w:t>
      </w:r>
      <w:r>
        <w:rPr>
          <w:rFonts w:hint="eastAsia" w:ascii="仿宋_GB2312" w:hAnsi="仿宋_GB2312" w:eastAsia="仿宋_GB2312" w:cs="仿宋_GB2312"/>
          <w:bCs/>
          <w:color w:val="auto"/>
          <w:sz w:val="28"/>
          <w:szCs w:val="28"/>
          <w:highlight w:val="none"/>
          <w:lang w:eastAsia="zh-CN"/>
        </w:rPr>
        <w:t>磋商响应</w:t>
      </w:r>
      <w:r>
        <w:rPr>
          <w:rFonts w:hint="eastAsia" w:ascii="仿宋_GB2312" w:hAnsi="仿宋_GB2312" w:eastAsia="仿宋_GB2312" w:cs="仿宋_GB2312"/>
          <w:bCs/>
          <w:color w:val="auto"/>
          <w:sz w:val="28"/>
          <w:szCs w:val="28"/>
          <w:highlight w:val="none"/>
        </w:rPr>
        <w:t>文件和其他与项目相关的资料；国家和行业制定的相应的标准和规范：验收清单。</w:t>
      </w:r>
    </w:p>
    <w:p w14:paraId="3BB20C1D">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lang w:val="en-US" w:eastAsia="zh-CN"/>
        </w:rPr>
        <w:t>四</w:t>
      </w:r>
      <w:r>
        <w:rPr>
          <w:rFonts w:hint="eastAsia" w:ascii="仿宋_GB2312" w:hAnsi="仿宋_GB2312" w:eastAsia="仿宋_GB2312" w:cs="仿宋_GB2312"/>
          <w:b/>
          <w:bCs/>
          <w:color w:val="auto"/>
          <w:sz w:val="28"/>
          <w:szCs w:val="28"/>
          <w:highlight w:val="none"/>
        </w:rPr>
        <w:t>、服务要求</w:t>
      </w:r>
    </w:p>
    <w:p w14:paraId="6C7E6AF9">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default"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rPr>
        <w:t>（一）</w:t>
      </w:r>
      <w:r>
        <w:rPr>
          <w:rFonts w:hint="eastAsia" w:ascii="仿宋_GB2312" w:hAnsi="仿宋_GB2312" w:eastAsia="仿宋_GB2312" w:cs="仿宋_GB2312"/>
          <w:bCs/>
          <w:color w:val="auto"/>
          <w:sz w:val="28"/>
          <w:szCs w:val="28"/>
          <w:highlight w:val="none"/>
          <w:lang w:val="en-US" w:eastAsia="zh-CN"/>
        </w:rPr>
        <w:t>服务期限</w:t>
      </w:r>
      <w:r>
        <w:rPr>
          <w:rFonts w:hint="eastAsia" w:ascii="仿宋_GB2312" w:hAnsi="仿宋_GB2312" w:eastAsia="仿宋_GB2312" w:cs="仿宋_GB2312"/>
          <w:bCs/>
          <w:color w:val="auto"/>
          <w:sz w:val="28"/>
          <w:szCs w:val="28"/>
          <w:highlight w:val="none"/>
        </w:rPr>
        <w:t>：自合同签订之日起</w:t>
      </w:r>
      <w:r>
        <w:rPr>
          <w:rFonts w:hint="eastAsia" w:ascii="仿宋_GB2312" w:hAnsi="仿宋_GB2312" w:eastAsia="仿宋_GB2312" w:cs="仿宋_GB2312"/>
          <w:bCs/>
          <w:color w:val="auto"/>
          <w:sz w:val="28"/>
          <w:szCs w:val="28"/>
          <w:highlight w:val="none"/>
          <w:lang w:val="en-US" w:eastAsia="zh-CN"/>
        </w:rPr>
        <w:t>一年。</w:t>
      </w:r>
    </w:p>
    <w:p w14:paraId="053C8CFB">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150"/>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kern w:val="0"/>
          <w:sz w:val="28"/>
          <w:szCs w:val="28"/>
          <w:highlight w:val="none"/>
        </w:rPr>
        <w:t xml:space="preserve"> </w:t>
      </w:r>
      <w:r>
        <w:rPr>
          <w:rFonts w:hint="eastAsia" w:ascii="仿宋_GB2312" w:hAnsi="仿宋_GB2312" w:eastAsia="仿宋_GB2312" w:cs="仿宋_GB2312"/>
          <w:bCs/>
          <w:color w:val="auto"/>
          <w:sz w:val="28"/>
          <w:szCs w:val="28"/>
          <w:highlight w:val="none"/>
        </w:rPr>
        <w:t>（二）服务地点：西安市范围内，具体按照</w:t>
      </w:r>
      <w:r>
        <w:rPr>
          <w:rFonts w:hint="eastAsia" w:ascii="仿宋_GB2312" w:hAnsi="仿宋_GB2312" w:eastAsia="仿宋_GB2312" w:cs="仿宋_GB2312"/>
          <w:bCs/>
          <w:color w:val="auto"/>
          <w:sz w:val="28"/>
          <w:szCs w:val="28"/>
          <w:highlight w:val="none"/>
          <w:lang w:val="en-US" w:eastAsia="zh-CN"/>
        </w:rPr>
        <w:t>甲方</w:t>
      </w:r>
      <w:r>
        <w:rPr>
          <w:rFonts w:hint="eastAsia" w:ascii="仿宋_GB2312" w:hAnsi="仿宋_GB2312" w:eastAsia="仿宋_GB2312" w:cs="仿宋_GB2312"/>
          <w:bCs/>
          <w:color w:val="auto"/>
          <w:sz w:val="28"/>
          <w:szCs w:val="28"/>
          <w:highlight w:val="none"/>
        </w:rPr>
        <w:t>要求。</w:t>
      </w:r>
    </w:p>
    <w:p w14:paraId="427795DA">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lang w:val="en-US" w:eastAsia="zh-CN"/>
        </w:rPr>
        <w:t>五</w:t>
      </w:r>
      <w:r>
        <w:rPr>
          <w:rFonts w:hint="eastAsia" w:ascii="仿宋_GB2312" w:hAnsi="仿宋_GB2312" w:eastAsia="仿宋_GB2312" w:cs="仿宋_GB2312"/>
          <w:b/>
          <w:bCs/>
          <w:color w:val="auto"/>
          <w:sz w:val="28"/>
          <w:szCs w:val="28"/>
          <w:highlight w:val="none"/>
        </w:rPr>
        <w:t>、</w:t>
      </w:r>
      <w:r>
        <w:rPr>
          <w:rFonts w:hint="eastAsia" w:ascii="仿宋_GB2312" w:hAnsi="仿宋_GB2312" w:eastAsia="仿宋_GB2312" w:cs="仿宋_GB2312"/>
          <w:b/>
          <w:bCs/>
          <w:color w:val="auto"/>
          <w:sz w:val="28"/>
          <w:szCs w:val="28"/>
          <w:highlight w:val="none"/>
          <w:lang w:val="en-US" w:eastAsia="zh-CN"/>
        </w:rPr>
        <w:t>权利和义务</w:t>
      </w:r>
      <w:r>
        <w:rPr>
          <w:rFonts w:hint="eastAsia" w:ascii="仿宋_GB2312" w:hAnsi="仿宋_GB2312" w:eastAsia="仿宋_GB2312" w:cs="仿宋_GB2312"/>
          <w:color w:val="auto"/>
          <w:sz w:val="28"/>
          <w:szCs w:val="28"/>
          <w:highlight w:val="none"/>
          <w:lang w:val="en-US" w:eastAsia="zh-CN"/>
        </w:rPr>
        <w:t xml:space="preserve"> </w:t>
      </w:r>
    </w:p>
    <w:p w14:paraId="1F44D91D">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w:t>
      </w:r>
      <w:r>
        <w:rPr>
          <w:rFonts w:hint="eastAsia" w:ascii="仿宋_GB2312" w:hAnsi="仿宋_GB2312" w:eastAsia="仿宋_GB2312" w:cs="仿宋_GB2312"/>
          <w:color w:val="auto"/>
          <w:sz w:val="28"/>
          <w:szCs w:val="28"/>
          <w:highlight w:val="none"/>
          <w:lang w:val="en-US" w:eastAsia="zh-CN"/>
        </w:rPr>
        <w:t xml:space="preserve">甲方权利与义务 </w:t>
      </w:r>
    </w:p>
    <w:p w14:paraId="2311FC0B">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1.甲方负责配合本次项目工作；</w:t>
      </w:r>
    </w:p>
    <w:p w14:paraId="6475DDDD">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2.甲方应按本合同的约定向乙方支付合同价款；</w:t>
      </w:r>
    </w:p>
    <w:p w14:paraId="6A8454C7">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3.甲方根据需要对乙方提供的服务方案进行审核，提供建议及意见，确定最终实施的服务方案，以便乙方遵照执行；</w:t>
      </w:r>
    </w:p>
    <w:p w14:paraId="399EACF9">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4.甲方有权对乙方的工作进行监督和考核。</w:t>
      </w:r>
    </w:p>
    <w:p w14:paraId="0B750E92">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 xml:space="preserve">（二）乙方权利和义务 </w:t>
      </w:r>
    </w:p>
    <w:p w14:paraId="570D879D">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 xml:space="preserve">1.乙方应按照国家服务规范、标准和甲方的采购需求和服务要求进行工作，根据甲方要求按时提交质量合格的服务成果，满足甲方需求； </w:t>
      </w:r>
    </w:p>
    <w:p w14:paraId="5AB99C0B">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color w:val="auto"/>
        </w:rPr>
      </w:pPr>
      <w:r>
        <w:rPr>
          <w:rFonts w:hint="eastAsia" w:ascii="仿宋_GB2312" w:hAnsi="仿宋_GB2312" w:eastAsia="仿宋_GB2312" w:cs="仿宋_GB2312"/>
          <w:b w:val="0"/>
          <w:snapToGrid w:val="0"/>
          <w:color w:val="auto"/>
          <w:kern w:val="0"/>
          <w:sz w:val="28"/>
          <w:szCs w:val="28"/>
          <w:highlight w:val="none"/>
          <w:lang w:val="en-US" w:eastAsia="zh-CN" w:bidi="ar-SA"/>
        </w:rPr>
        <w:t>2</w:t>
      </w:r>
      <w:r>
        <w:rPr>
          <w:rFonts w:hint="eastAsia" w:ascii="仿宋_GB2312" w:hAnsi="仿宋_GB2312" w:eastAsia="仿宋_GB2312" w:cs="仿宋_GB2312"/>
          <w:color w:val="auto"/>
          <w:sz w:val="28"/>
          <w:szCs w:val="28"/>
          <w:highlight w:val="none"/>
          <w:lang w:val="en-US" w:eastAsia="zh-CN"/>
        </w:rPr>
        <w:t>.</w:t>
      </w:r>
      <w:r>
        <w:rPr>
          <w:rFonts w:hint="eastAsia" w:ascii="仿宋_GB2312" w:hAnsi="仿宋_GB2312" w:eastAsia="仿宋_GB2312" w:cs="仿宋_GB2312"/>
          <w:b w:val="0"/>
          <w:snapToGrid w:val="0"/>
          <w:color w:val="auto"/>
          <w:kern w:val="0"/>
          <w:sz w:val="28"/>
          <w:szCs w:val="28"/>
          <w:highlight w:val="none"/>
          <w:lang w:val="en-US" w:eastAsia="zh-CN" w:bidi="ar-SA"/>
        </w:rPr>
        <w:t>根据本合同的规定向甲方收取相关服务费用，并有权在本项目管理范围内管理及合理使用；</w:t>
      </w:r>
    </w:p>
    <w:p w14:paraId="5971577B">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 xml:space="preserve">3.乙方有权对业务工作提出建议； </w:t>
      </w:r>
    </w:p>
    <w:p w14:paraId="251B7358">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 xml:space="preserve">4.乙方应接受甲方的检查监督及指导，完成甲方依合同约定交办的各项工作任务； </w:t>
      </w:r>
    </w:p>
    <w:p w14:paraId="6F9B2A16">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5.按合同约定要求开展工作，如有改变，乙方应提出书面申请，并征得甲方的书面同意；</w:t>
      </w:r>
    </w:p>
    <w:p w14:paraId="5E2667D6">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6.乙方对项目实施中涉及甲方的各种信息、数据或技术材料等具有保密义务；</w:t>
      </w:r>
    </w:p>
    <w:p w14:paraId="566556A7">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7.国家法律、法规所规定由乙方承担的其它责任。</w:t>
      </w:r>
    </w:p>
    <w:p w14:paraId="196BFD05">
      <w:pPr>
        <w:adjustRightInd w:val="0"/>
        <w:snapToGrid w:val="0"/>
        <w:spacing w:line="360" w:lineRule="auto"/>
        <w:ind w:firstLine="562" w:firstLineChars="200"/>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六、服务质量和安全要求</w:t>
      </w:r>
    </w:p>
    <w:p w14:paraId="4AAD05FA">
      <w:pPr>
        <w:keepNext w:val="0"/>
        <w:keepLines w:val="0"/>
        <w:pageBreakBefore w:val="0"/>
        <w:widowControl/>
        <w:numPr>
          <w:ilvl w:val="-1"/>
          <w:numId w:val="0"/>
        </w:numPr>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仿宋_GB2312" w:hAnsi="仿宋" w:eastAsia="仿宋_GB2312"/>
          <w:bCs/>
          <w:color w:val="auto"/>
          <w:sz w:val="28"/>
          <w:szCs w:val="28"/>
          <w:highlight w:val="none"/>
        </w:rPr>
      </w:pPr>
      <w:r>
        <w:rPr>
          <w:rFonts w:hint="eastAsia" w:ascii="仿宋_GB2312" w:hAnsi="仿宋" w:eastAsia="仿宋_GB2312"/>
          <w:bCs/>
          <w:color w:val="auto"/>
          <w:sz w:val="28"/>
          <w:szCs w:val="28"/>
          <w:highlight w:val="none"/>
        </w:rPr>
        <w:t>（一）乙方需派一名项目经理，直接与甲方沟通，项目经理接收甲方提出的问题与要求，并及时反馈给工作组，解决在项目实施过程中遇到的问题。</w:t>
      </w:r>
    </w:p>
    <w:p w14:paraId="0D81EA3C">
      <w:pPr>
        <w:keepNext w:val="0"/>
        <w:keepLines w:val="0"/>
        <w:pageBreakBefore w:val="0"/>
        <w:widowControl/>
        <w:numPr>
          <w:ilvl w:val="-1"/>
          <w:numId w:val="0"/>
        </w:numPr>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仿宋_GB2312" w:hAnsi="仿宋" w:eastAsia="仿宋_GB2312" w:cs="Times New Roman"/>
          <w:bCs/>
          <w:color w:val="auto"/>
          <w:sz w:val="28"/>
          <w:szCs w:val="28"/>
          <w:highlight w:val="none"/>
          <w:lang w:val="en-US" w:eastAsia="zh-CN"/>
        </w:rPr>
      </w:pPr>
      <w:r>
        <w:rPr>
          <w:rFonts w:hint="eastAsia" w:ascii="仿宋_GB2312" w:hAnsi="仿宋" w:eastAsia="仿宋_GB2312"/>
          <w:bCs/>
          <w:color w:val="auto"/>
          <w:sz w:val="28"/>
          <w:szCs w:val="28"/>
          <w:highlight w:val="none"/>
        </w:rPr>
        <w:t>（</w:t>
      </w:r>
      <w:r>
        <w:rPr>
          <w:rFonts w:hint="eastAsia" w:ascii="仿宋_GB2312" w:hAnsi="仿宋" w:eastAsia="仿宋_GB2312"/>
          <w:bCs/>
          <w:color w:val="auto"/>
          <w:sz w:val="28"/>
          <w:szCs w:val="28"/>
          <w:highlight w:val="none"/>
          <w:lang w:val="en-US" w:eastAsia="zh-CN"/>
        </w:rPr>
        <w:t>二</w:t>
      </w:r>
      <w:r>
        <w:rPr>
          <w:rFonts w:hint="eastAsia" w:ascii="仿宋_GB2312" w:hAnsi="仿宋" w:eastAsia="仿宋_GB2312"/>
          <w:bCs/>
          <w:color w:val="auto"/>
          <w:sz w:val="28"/>
          <w:szCs w:val="28"/>
          <w:highlight w:val="none"/>
        </w:rPr>
        <w:t>）</w:t>
      </w:r>
      <w:r>
        <w:rPr>
          <w:rFonts w:hint="eastAsia" w:ascii="仿宋_GB2312" w:hAnsi="仿宋" w:eastAsia="仿宋_GB2312" w:cs="Times New Roman"/>
          <w:bCs/>
          <w:color w:val="auto"/>
          <w:sz w:val="28"/>
          <w:szCs w:val="28"/>
          <w:highlight w:val="none"/>
          <w:lang w:val="en-US" w:eastAsia="zh-CN"/>
        </w:rPr>
        <w:t>符合</w:t>
      </w:r>
      <w:bookmarkStart w:id="1" w:name="_GoBack"/>
      <w:bookmarkEnd w:id="1"/>
      <w:r>
        <w:rPr>
          <w:rFonts w:hint="eastAsia" w:ascii="仿宋_GB2312" w:hAnsi="仿宋" w:eastAsia="仿宋_GB2312" w:cs="Times New Roman"/>
          <w:bCs/>
          <w:color w:val="auto"/>
          <w:sz w:val="28"/>
          <w:szCs w:val="28"/>
          <w:highlight w:val="none"/>
          <w:lang w:val="en-US" w:eastAsia="zh-CN"/>
        </w:rPr>
        <w:t>规范标准要求。乙方应严格按照国家、行业的标准、规范、规程和规定开展排水监测运行维护服务，确保项目服务质量满足要求，对其服务成果的质量负责。</w:t>
      </w:r>
    </w:p>
    <w:p w14:paraId="0A4089A3">
      <w:pPr>
        <w:keepNext w:val="0"/>
        <w:keepLines w:val="0"/>
        <w:pageBreakBefore w:val="0"/>
        <w:widowControl/>
        <w:numPr>
          <w:ilvl w:val="-1"/>
          <w:numId w:val="0"/>
        </w:numPr>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仿宋_GB2312" w:hAnsi="仿宋" w:eastAsia="仿宋_GB2312" w:cs="Times New Roman"/>
          <w:bCs/>
          <w:color w:val="auto"/>
          <w:sz w:val="28"/>
          <w:szCs w:val="28"/>
          <w:highlight w:val="none"/>
          <w:lang w:val="en-US" w:eastAsia="zh-CN"/>
        </w:rPr>
      </w:pPr>
      <w:r>
        <w:rPr>
          <w:rFonts w:hint="eastAsia" w:ascii="仿宋_GB2312" w:hAnsi="仿宋" w:eastAsia="仿宋_GB2312"/>
          <w:bCs/>
          <w:color w:val="auto"/>
          <w:sz w:val="28"/>
          <w:szCs w:val="28"/>
          <w:highlight w:val="none"/>
        </w:rPr>
        <w:t>（</w:t>
      </w:r>
      <w:r>
        <w:rPr>
          <w:rFonts w:hint="eastAsia" w:ascii="仿宋_GB2312" w:hAnsi="仿宋" w:eastAsia="仿宋_GB2312"/>
          <w:bCs/>
          <w:color w:val="auto"/>
          <w:sz w:val="28"/>
          <w:szCs w:val="28"/>
          <w:highlight w:val="none"/>
          <w:lang w:eastAsia="zh-CN"/>
        </w:rPr>
        <w:t>三</w:t>
      </w:r>
      <w:r>
        <w:rPr>
          <w:rFonts w:hint="eastAsia" w:ascii="仿宋_GB2312" w:hAnsi="仿宋" w:eastAsia="仿宋_GB2312"/>
          <w:bCs/>
          <w:color w:val="auto"/>
          <w:sz w:val="28"/>
          <w:szCs w:val="28"/>
          <w:highlight w:val="none"/>
        </w:rPr>
        <w:t>）</w:t>
      </w:r>
      <w:r>
        <w:rPr>
          <w:rFonts w:hint="eastAsia" w:ascii="仿宋_GB2312" w:hAnsi="仿宋" w:eastAsia="仿宋_GB2312" w:cs="Times New Roman"/>
          <w:bCs/>
          <w:color w:val="auto"/>
          <w:sz w:val="28"/>
          <w:szCs w:val="28"/>
          <w:highlight w:val="none"/>
          <w:lang w:val="en-US" w:eastAsia="zh-CN"/>
        </w:rPr>
        <w:t> 服务及时性要求。按照甲方的有关制度规定及要求，制定项目进度计划，按期及时完成设备实验仪器设备运行维护（设备维护、培训、设备检定/校准等），实验室运行保障（固废清理、数据系统维护、设施维护、水电检修、日常保洁等），排水监测服务（排水监测劳务，水质、流量监测服务等）全部服务事项。</w:t>
      </w:r>
    </w:p>
    <w:p w14:paraId="57C6D30E">
      <w:pPr>
        <w:keepNext w:val="0"/>
        <w:keepLines w:val="0"/>
        <w:pageBreakBefore w:val="0"/>
        <w:widowControl/>
        <w:numPr>
          <w:ilvl w:val="-1"/>
          <w:numId w:val="0"/>
        </w:numPr>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仿宋_GB2312" w:hAnsi="仿宋" w:eastAsia="仿宋_GB2312" w:cs="Times New Roman"/>
          <w:bCs/>
          <w:color w:val="auto"/>
          <w:sz w:val="28"/>
          <w:szCs w:val="28"/>
          <w:highlight w:val="none"/>
          <w:lang w:val="en-US" w:eastAsia="zh-CN"/>
        </w:rPr>
      </w:pPr>
      <w:r>
        <w:rPr>
          <w:rFonts w:hint="eastAsia" w:ascii="仿宋_GB2312" w:hAnsi="仿宋" w:eastAsia="仿宋_GB2312"/>
          <w:bCs/>
          <w:color w:val="auto"/>
          <w:sz w:val="28"/>
          <w:szCs w:val="28"/>
          <w:highlight w:val="none"/>
        </w:rPr>
        <w:t>（</w:t>
      </w:r>
      <w:r>
        <w:rPr>
          <w:rFonts w:hint="eastAsia" w:ascii="仿宋_GB2312" w:hAnsi="仿宋" w:eastAsia="仿宋_GB2312"/>
          <w:bCs/>
          <w:color w:val="auto"/>
          <w:sz w:val="28"/>
          <w:szCs w:val="28"/>
          <w:highlight w:val="none"/>
          <w:lang w:eastAsia="zh-CN"/>
        </w:rPr>
        <w:t>四</w:t>
      </w:r>
      <w:r>
        <w:rPr>
          <w:rFonts w:hint="eastAsia" w:ascii="仿宋_GB2312" w:hAnsi="仿宋" w:eastAsia="仿宋_GB2312"/>
          <w:bCs/>
          <w:color w:val="auto"/>
          <w:sz w:val="28"/>
          <w:szCs w:val="28"/>
          <w:highlight w:val="none"/>
        </w:rPr>
        <w:t>）</w:t>
      </w:r>
      <w:r>
        <w:rPr>
          <w:rFonts w:hint="eastAsia" w:ascii="仿宋_GB2312" w:hAnsi="仿宋" w:eastAsia="仿宋_GB2312" w:cs="Times New Roman"/>
          <w:bCs/>
          <w:color w:val="auto"/>
          <w:sz w:val="28"/>
          <w:szCs w:val="28"/>
          <w:highlight w:val="none"/>
          <w:lang w:val="en-US" w:eastAsia="zh-CN"/>
        </w:rPr>
        <w:t>满足安全生产要求。乙方应建立安全生产制度，保障作业人员的工作安全，切实消除安全隐患。当发生安全事故时，所有责任由乙方承担。项目服务期内，乙方因各种原因，在工作过程中造成第三方的人身和财产损失，由乙方自主承担相应的法律和经济责任，与甲方无关；造成甲方经济损失的，由乙方承担，甲方保留追究其法律责任的权利。如因乙方未尽到自身安全责任造成造成的人员伤亡或者直接经济损失的，甲方有权终止合同，甲方保留追究乙方相关责任的权利。</w:t>
      </w:r>
    </w:p>
    <w:p w14:paraId="02B104A6">
      <w:pPr>
        <w:keepNext w:val="0"/>
        <w:keepLines w:val="0"/>
        <w:pageBreakBefore w:val="0"/>
        <w:widowControl/>
        <w:numPr>
          <w:ilvl w:val="-1"/>
          <w:numId w:val="0"/>
        </w:numPr>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仿宋_GB2312" w:hAnsi="仿宋" w:eastAsia="仿宋_GB2312" w:cs="Times New Roman"/>
          <w:bCs/>
          <w:color w:val="auto"/>
          <w:sz w:val="28"/>
          <w:szCs w:val="28"/>
          <w:highlight w:val="none"/>
          <w:lang w:val="en-US" w:eastAsia="zh-CN"/>
        </w:rPr>
      </w:pPr>
      <w:r>
        <w:rPr>
          <w:rFonts w:hint="eastAsia" w:ascii="仿宋_GB2312" w:hAnsi="仿宋" w:eastAsia="仿宋_GB2312"/>
          <w:bCs/>
          <w:color w:val="auto"/>
          <w:sz w:val="28"/>
          <w:szCs w:val="28"/>
          <w:highlight w:val="none"/>
        </w:rPr>
        <w:t>（</w:t>
      </w:r>
      <w:r>
        <w:rPr>
          <w:rFonts w:hint="eastAsia" w:ascii="仿宋_GB2312" w:hAnsi="仿宋" w:eastAsia="仿宋_GB2312"/>
          <w:bCs/>
          <w:color w:val="auto"/>
          <w:sz w:val="28"/>
          <w:szCs w:val="28"/>
          <w:highlight w:val="none"/>
          <w:lang w:eastAsia="zh-CN"/>
        </w:rPr>
        <w:t>五</w:t>
      </w:r>
      <w:r>
        <w:rPr>
          <w:rFonts w:hint="eastAsia" w:ascii="仿宋_GB2312" w:hAnsi="仿宋" w:eastAsia="仿宋_GB2312"/>
          <w:bCs/>
          <w:color w:val="auto"/>
          <w:sz w:val="28"/>
          <w:szCs w:val="28"/>
          <w:highlight w:val="none"/>
        </w:rPr>
        <w:t>）</w:t>
      </w:r>
      <w:r>
        <w:rPr>
          <w:rFonts w:hint="eastAsia" w:ascii="仿宋_GB2312" w:hAnsi="仿宋" w:eastAsia="仿宋_GB2312" w:cs="Times New Roman"/>
          <w:bCs/>
          <w:color w:val="auto"/>
          <w:sz w:val="28"/>
          <w:szCs w:val="28"/>
          <w:highlight w:val="none"/>
          <w:lang w:val="en-US" w:eastAsia="zh-CN"/>
        </w:rPr>
        <w:t>乙方必须配合甲方及对本项目实施的监督检查，即甲方不定期监督检查服务商的全过程工作。</w:t>
      </w:r>
    </w:p>
    <w:p w14:paraId="313E79DF">
      <w:pPr>
        <w:keepNext w:val="0"/>
        <w:keepLines w:val="0"/>
        <w:pageBreakBefore w:val="0"/>
        <w:widowControl/>
        <w:numPr>
          <w:ilvl w:val="-1"/>
          <w:numId w:val="0"/>
        </w:numPr>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仿宋_GB2312" w:hAnsi="仿宋" w:eastAsia="仿宋_GB2312" w:cs="Times New Roman"/>
          <w:bCs/>
          <w:color w:val="auto"/>
          <w:sz w:val="28"/>
          <w:szCs w:val="28"/>
          <w:highlight w:val="none"/>
          <w:lang w:eastAsia="zh-CN"/>
        </w:rPr>
      </w:pPr>
      <w:r>
        <w:rPr>
          <w:rFonts w:hint="eastAsia" w:ascii="仿宋_GB2312" w:hAnsi="仿宋" w:eastAsia="仿宋_GB2312"/>
          <w:bCs/>
          <w:color w:val="auto"/>
          <w:sz w:val="28"/>
          <w:szCs w:val="28"/>
          <w:highlight w:val="none"/>
        </w:rPr>
        <w:t>（</w:t>
      </w:r>
      <w:r>
        <w:rPr>
          <w:rFonts w:hint="eastAsia" w:ascii="仿宋_GB2312" w:hAnsi="仿宋" w:eastAsia="仿宋_GB2312"/>
          <w:bCs/>
          <w:color w:val="auto"/>
          <w:sz w:val="28"/>
          <w:szCs w:val="28"/>
          <w:highlight w:val="none"/>
          <w:lang w:eastAsia="zh-CN"/>
        </w:rPr>
        <w:t>六</w:t>
      </w:r>
      <w:r>
        <w:rPr>
          <w:rFonts w:hint="eastAsia" w:ascii="仿宋_GB2312" w:hAnsi="仿宋" w:eastAsia="仿宋_GB2312"/>
          <w:bCs/>
          <w:color w:val="auto"/>
          <w:sz w:val="28"/>
          <w:szCs w:val="28"/>
          <w:highlight w:val="none"/>
        </w:rPr>
        <w:t>）</w:t>
      </w:r>
      <w:r>
        <w:rPr>
          <w:rFonts w:hint="eastAsia" w:ascii="仿宋_GB2312" w:hAnsi="仿宋" w:eastAsia="仿宋_GB2312" w:cs="Times New Roman"/>
          <w:bCs/>
          <w:color w:val="auto"/>
          <w:sz w:val="28"/>
          <w:szCs w:val="28"/>
          <w:highlight w:val="none"/>
          <w:lang w:eastAsia="zh-CN"/>
        </w:rPr>
        <w:t>项目在实施过程中会出现不可预料的需求变更，服务商需积极配合甲方的需求变更，并按照变更后的需求继续进行方案实施。</w:t>
      </w:r>
    </w:p>
    <w:p w14:paraId="139C1A4D">
      <w:pPr>
        <w:keepNext w:val="0"/>
        <w:keepLines w:val="0"/>
        <w:pageBreakBefore w:val="0"/>
        <w:widowControl/>
        <w:numPr>
          <w:ilvl w:val="-1"/>
          <w:numId w:val="0"/>
        </w:numPr>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仿宋_GB2312" w:hAnsi="仿宋" w:eastAsia="仿宋_GB2312" w:cs="Times New Roman"/>
          <w:bCs/>
          <w:color w:val="auto"/>
          <w:sz w:val="28"/>
          <w:szCs w:val="28"/>
          <w:highlight w:val="none"/>
          <w:lang w:eastAsia="zh-CN"/>
        </w:rPr>
      </w:pPr>
      <w:r>
        <w:rPr>
          <w:rFonts w:hint="eastAsia" w:ascii="仿宋_GB2312" w:hAnsi="仿宋" w:eastAsia="仿宋_GB2312"/>
          <w:bCs/>
          <w:color w:val="auto"/>
          <w:sz w:val="28"/>
          <w:szCs w:val="28"/>
          <w:highlight w:val="none"/>
        </w:rPr>
        <w:t>（</w:t>
      </w:r>
      <w:r>
        <w:rPr>
          <w:rFonts w:hint="eastAsia" w:ascii="仿宋_GB2312" w:hAnsi="仿宋" w:eastAsia="仿宋_GB2312"/>
          <w:bCs/>
          <w:color w:val="auto"/>
          <w:sz w:val="28"/>
          <w:szCs w:val="28"/>
          <w:highlight w:val="none"/>
          <w:lang w:eastAsia="zh-CN"/>
        </w:rPr>
        <w:t>七</w:t>
      </w:r>
      <w:r>
        <w:rPr>
          <w:rFonts w:hint="eastAsia" w:ascii="仿宋_GB2312" w:hAnsi="仿宋" w:eastAsia="仿宋_GB2312"/>
          <w:bCs/>
          <w:color w:val="auto"/>
          <w:sz w:val="28"/>
          <w:szCs w:val="28"/>
          <w:highlight w:val="none"/>
        </w:rPr>
        <w:t>）</w:t>
      </w:r>
      <w:r>
        <w:rPr>
          <w:rFonts w:hint="eastAsia" w:ascii="仿宋_GB2312" w:hAnsi="仿宋" w:eastAsia="仿宋_GB2312" w:cs="Times New Roman"/>
          <w:bCs/>
          <w:color w:val="auto"/>
          <w:sz w:val="28"/>
          <w:szCs w:val="28"/>
          <w:highlight w:val="none"/>
          <w:lang w:eastAsia="zh-CN"/>
        </w:rPr>
        <w:t>乙方需提交所有实施方案流程及说明文档。服务需设有详细的技术资料档案和服务档案，将保存项目的详细资料以便于更好地提供服务。</w:t>
      </w:r>
    </w:p>
    <w:p w14:paraId="5224D073">
      <w:pPr>
        <w:autoSpaceDE w:val="0"/>
        <w:autoSpaceDN w:val="0"/>
        <w:adjustRightInd w:val="0"/>
        <w:snapToGrid w:val="0"/>
        <w:spacing w:line="360" w:lineRule="auto"/>
        <w:ind w:firstLine="562" w:firstLineChars="200"/>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七、知识产权</w:t>
      </w:r>
    </w:p>
    <w:p w14:paraId="4185B863">
      <w:pPr>
        <w:keepNext w:val="0"/>
        <w:keepLines w:val="0"/>
        <w:pageBreakBefore w:val="0"/>
        <w:widowControl/>
        <w:numPr>
          <w:ilvl w:val="-1"/>
          <w:numId w:val="0"/>
        </w:numPr>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仿宋_GB2312" w:hAnsi="仿宋" w:eastAsia="仿宋_GB2312" w:cs="Times New Roman"/>
          <w:bCs/>
          <w:color w:val="auto"/>
          <w:sz w:val="28"/>
          <w:szCs w:val="28"/>
          <w:highlight w:val="none"/>
          <w:lang w:val="en-US" w:eastAsia="zh-CN"/>
        </w:rPr>
      </w:pPr>
      <w:r>
        <w:rPr>
          <w:rFonts w:hint="eastAsia" w:ascii="仿宋_GB2312" w:hAnsi="仿宋" w:eastAsia="仿宋_GB2312" w:cs="Times New Roman"/>
          <w:bCs/>
          <w:color w:val="auto"/>
          <w:sz w:val="28"/>
          <w:szCs w:val="28"/>
          <w:highlight w:val="none"/>
          <w:lang w:val="en-US" w:eastAsia="zh-CN"/>
        </w:rPr>
        <w:t>（一）本项目知识产权归采甲方所有。</w:t>
      </w:r>
    </w:p>
    <w:p w14:paraId="4C20A4C7">
      <w:pPr>
        <w:keepNext w:val="0"/>
        <w:keepLines w:val="0"/>
        <w:pageBreakBefore w:val="0"/>
        <w:widowControl/>
        <w:numPr>
          <w:ilvl w:val="-1"/>
          <w:numId w:val="0"/>
        </w:numPr>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仿宋_GB2312" w:hAnsi="仿宋" w:eastAsia="仿宋_GB2312" w:cs="Times New Roman"/>
          <w:bCs/>
          <w:color w:val="auto"/>
          <w:sz w:val="28"/>
          <w:szCs w:val="28"/>
          <w:highlight w:val="none"/>
          <w:lang w:val="en-US" w:eastAsia="zh-CN"/>
        </w:rPr>
      </w:pPr>
      <w:r>
        <w:rPr>
          <w:rFonts w:hint="eastAsia" w:ascii="仿宋_GB2312" w:hAnsi="仿宋" w:eastAsia="仿宋_GB2312" w:cs="Times New Roman"/>
          <w:bCs/>
          <w:color w:val="auto"/>
          <w:sz w:val="28"/>
          <w:szCs w:val="28"/>
          <w:highlight w:val="none"/>
          <w:lang w:val="en-US" w:eastAsia="zh-CN"/>
        </w:rPr>
        <w:t xml:space="preserve">（二）乙方无论出于任何目的如在其他地方使用该成果，必须经甲方同意方可使用。否则，甲方有权要求终止涉及到该项目相关知识产权的任何使用活动并保留追究卖方相应的法律责任的权利。 </w:t>
      </w:r>
    </w:p>
    <w:p w14:paraId="00A4BFA3">
      <w:pPr>
        <w:keepNext w:val="0"/>
        <w:keepLines w:val="0"/>
        <w:pageBreakBefore w:val="0"/>
        <w:widowControl/>
        <w:numPr>
          <w:ilvl w:val="-1"/>
          <w:numId w:val="0"/>
        </w:numPr>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仿宋_GB2312" w:hAnsi="仿宋" w:eastAsia="仿宋_GB2312" w:cs="Times New Roman"/>
          <w:bCs/>
          <w:color w:val="auto"/>
          <w:sz w:val="28"/>
          <w:szCs w:val="28"/>
          <w:highlight w:val="none"/>
          <w:lang w:val="en-US" w:eastAsia="zh-CN"/>
        </w:rPr>
      </w:pPr>
      <w:r>
        <w:rPr>
          <w:rFonts w:hint="eastAsia" w:ascii="仿宋_GB2312" w:hAnsi="仿宋" w:eastAsia="仿宋_GB2312" w:cs="Times New Roman"/>
          <w:bCs/>
          <w:color w:val="auto"/>
          <w:sz w:val="28"/>
          <w:szCs w:val="28"/>
          <w:highlight w:val="none"/>
          <w:lang w:val="en-US" w:eastAsia="zh-CN"/>
        </w:rPr>
        <w:t>（三）乙方为执行本项目而提供的技术资料使用权归甲方所有。</w:t>
      </w:r>
    </w:p>
    <w:p w14:paraId="5D3616BA">
      <w:pPr>
        <w:autoSpaceDE w:val="0"/>
        <w:autoSpaceDN w:val="0"/>
        <w:adjustRightInd w:val="0"/>
        <w:snapToGrid w:val="0"/>
        <w:spacing w:line="360" w:lineRule="auto"/>
        <w:ind w:firstLine="562" w:firstLineChars="200"/>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八、保密规定</w:t>
      </w:r>
    </w:p>
    <w:p w14:paraId="210C9570">
      <w:pPr>
        <w:keepNext w:val="0"/>
        <w:keepLines w:val="0"/>
        <w:pageBreakBefore w:val="0"/>
        <w:widowControl/>
        <w:numPr>
          <w:ilvl w:val="-1"/>
          <w:numId w:val="0"/>
        </w:numPr>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仿宋_GB2312" w:hAnsi="仿宋" w:eastAsia="仿宋_GB2312" w:cs="Times New Roman"/>
          <w:bCs/>
          <w:color w:val="auto"/>
          <w:sz w:val="28"/>
          <w:szCs w:val="28"/>
          <w:highlight w:val="none"/>
          <w:lang w:val="en-US" w:eastAsia="zh-CN"/>
        </w:rPr>
      </w:pPr>
      <w:r>
        <w:rPr>
          <w:rFonts w:hint="eastAsia" w:ascii="仿宋_GB2312" w:hAnsi="仿宋" w:eastAsia="仿宋_GB2312"/>
          <w:bCs/>
          <w:color w:val="auto"/>
          <w:sz w:val="28"/>
          <w:szCs w:val="28"/>
          <w:highlight w:val="none"/>
          <w:lang w:val="en-US" w:eastAsia="zh-CN"/>
        </w:rPr>
        <w:t>（一）乙方应永久恪守因本项目而获知的甲方秘密信息及其它秘密资料。如将获知的秘密信息泄露给第三方，应赔偿因泄密而给对</w:t>
      </w:r>
      <w:r>
        <w:rPr>
          <w:rFonts w:hint="eastAsia" w:ascii="仿宋_GB2312" w:hAnsi="仿宋" w:eastAsia="仿宋_GB2312" w:cs="Times New Roman"/>
          <w:bCs/>
          <w:color w:val="auto"/>
          <w:sz w:val="28"/>
          <w:szCs w:val="28"/>
          <w:highlight w:val="none"/>
          <w:lang w:val="en-US" w:eastAsia="zh-CN"/>
        </w:rPr>
        <w:t>方造成的一切损失并承担相应的法律责任（包括刑事责任）。</w:t>
      </w:r>
    </w:p>
    <w:p w14:paraId="78B21194">
      <w:pPr>
        <w:keepNext w:val="0"/>
        <w:keepLines w:val="0"/>
        <w:pageBreakBefore w:val="0"/>
        <w:widowControl/>
        <w:numPr>
          <w:ilvl w:val="-1"/>
          <w:numId w:val="0"/>
        </w:numPr>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仿宋_GB2312" w:hAnsi="仿宋" w:eastAsia="仿宋_GB2312" w:cs="Times New Roman"/>
          <w:bCs/>
          <w:color w:val="auto"/>
          <w:sz w:val="28"/>
          <w:szCs w:val="28"/>
          <w:highlight w:val="none"/>
          <w:lang w:val="en-US" w:eastAsia="zh-CN"/>
        </w:rPr>
      </w:pPr>
      <w:r>
        <w:rPr>
          <w:rFonts w:hint="eastAsia" w:ascii="仿宋_GB2312" w:hAnsi="仿宋" w:eastAsia="仿宋_GB2312" w:cs="Times New Roman"/>
          <w:bCs/>
          <w:color w:val="auto"/>
          <w:sz w:val="28"/>
          <w:szCs w:val="28"/>
          <w:highlight w:val="none"/>
          <w:lang w:val="en-US" w:eastAsia="zh-CN"/>
        </w:rPr>
        <w:t>（二）本项目所指保密信息资料包括：在服务过程中，从甲方（或其主管部门、关联部门及下属机构）获得的与合作项目有关检测数据、设备信息等相关的技术、运营资料或其它资料；在项目合作过程中产生的原始记录、存储数据及影像资料、作业成果报告等。上述保密信息资料可以以数据、文字及记载上述内容的资料、光盘、软件、图书等有形媒介体现。</w:t>
      </w:r>
    </w:p>
    <w:p w14:paraId="4675F9F6">
      <w:pPr>
        <w:autoSpaceDE w:val="0"/>
        <w:autoSpaceDN w:val="0"/>
        <w:adjustRightInd w:val="0"/>
        <w:snapToGrid w:val="0"/>
        <w:spacing w:line="360" w:lineRule="auto"/>
        <w:ind w:firstLine="562" w:firstLineChars="200"/>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九、服务成果及履约验收要求</w:t>
      </w:r>
    </w:p>
    <w:p w14:paraId="53D1E970">
      <w:pPr>
        <w:keepNext w:val="0"/>
        <w:keepLines w:val="0"/>
        <w:pageBreakBefore w:val="0"/>
        <w:widowControl/>
        <w:numPr>
          <w:ilvl w:val="-1"/>
          <w:numId w:val="0"/>
        </w:numPr>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仿宋_GB2312" w:hAnsi="仿宋" w:eastAsia="仿宋_GB2312" w:cs="Times New Roman"/>
          <w:bCs/>
          <w:color w:val="auto"/>
          <w:sz w:val="28"/>
          <w:szCs w:val="28"/>
          <w:highlight w:val="none"/>
          <w:lang w:val="en-US" w:eastAsia="zh-CN"/>
        </w:rPr>
      </w:pPr>
      <w:r>
        <w:rPr>
          <w:rFonts w:hint="eastAsia" w:ascii="仿宋_GB2312" w:hAnsi="仿宋" w:eastAsia="仿宋_GB2312" w:cs="Times New Roman"/>
          <w:bCs/>
          <w:color w:val="auto"/>
          <w:sz w:val="28"/>
          <w:szCs w:val="28"/>
          <w:highlight w:val="none"/>
          <w:lang w:val="en-US" w:eastAsia="zh-CN"/>
        </w:rPr>
        <w:t>（一）成果交付要求。服务期结束后履约验收时乙方至少应提交以下成果资料，设备运维做好运维为记录（原始资料）、设备检定书及校准报告等（每台设备坚定书或校准报告，纸质版1份、电子版1份），检测报告（纸质版3份、电子版1份），固废清运（相关运输证明材料1份），项目服务开展总结报告等。</w:t>
      </w:r>
    </w:p>
    <w:p w14:paraId="70859A6A">
      <w:pPr>
        <w:keepNext w:val="0"/>
        <w:keepLines w:val="0"/>
        <w:pageBreakBefore w:val="0"/>
        <w:widowControl/>
        <w:numPr>
          <w:ilvl w:val="-1"/>
          <w:numId w:val="0"/>
        </w:numPr>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仿宋_GB2312" w:hAnsi="仿宋" w:eastAsia="仿宋_GB2312" w:cs="Times New Roman"/>
          <w:bCs/>
          <w:color w:val="auto"/>
          <w:sz w:val="28"/>
          <w:szCs w:val="28"/>
          <w:highlight w:val="none"/>
          <w:lang w:val="en-US" w:eastAsia="zh-CN"/>
        </w:rPr>
      </w:pPr>
      <w:r>
        <w:rPr>
          <w:rFonts w:hint="eastAsia" w:ascii="仿宋_GB2312" w:hAnsi="仿宋" w:eastAsia="仿宋_GB2312" w:cs="Times New Roman"/>
          <w:bCs/>
          <w:color w:val="auto"/>
          <w:sz w:val="28"/>
          <w:szCs w:val="28"/>
          <w:highlight w:val="none"/>
          <w:lang w:val="en-US" w:eastAsia="zh-CN"/>
        </w:rPr>
        <w:t>（二）履约验收方案及要求。</w:t>
      </w:r>
    </w:p>
    <w:p w14:paraId="772094DA">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仿宋_GB2312" w:hAnsi="仿宋" w:eastAsia="仿宋_GB2312" w:cs="Times New Roman"/>
          <w:bCs/>
          <w:color w:val="auto"/>
          <w:sz w:val="28"/>
          <w:szCs w:val="28"/>
          <w:highlight w:val="none"/>
          <w:lang w:eastAsia="zh-CN"/>
        </w:rPr>
      </w:pPr>
      <w:r>
        <w:rPr>
          <w:rFonts w:hint="eastAsia" w:ascii="仿宋_GB2312" w:hAnsi="仿宋" w:eastAsia="仿宋_GB2312" w:cs="Times New Roman"/>
          <w:bCs/>
          <w:color w:val="auto"/>
          <w:sz w:val="28"/>
          <w:szCs w:val="28"/>
          <w:highlight w:val="none"/>
          <w:lang w:val="en-US" w:eastAsia="zh-CN"/>
        </w:rPr>
        <w:t>1.乙方完成全部任务后，</w:t>
      </w:r>
      <w:r>
        <w:rPr>
          <w:rFonts w:hint="eastAsia" w:ascii="仿宋_GB2312" w:hAnsi="仿宋" w:eastAsia="仿宋_GB2312" w:cs="Times New Roman"/>
          <w:bCs/>
          <w:color w:val="auto"/>
          <w:sz w:val="28"/>
          <w:szCs w:val="28"/>
          <w:highlight w:val="none"/>
        </w:rPr>
        <w:t>向</w:t>
      </w:r>
      <w:r>
        <w:rPr>
          <w:rFonts w:hint="eastAsia" w:ascii="仿宋_GB2312" w:hAnsi="仿宋" w:eastAsia="仿宋_GB2312" w:cs="Times New Roman"/>
          <w:bCs/>
          <w:color w:val="auto"/>
          <w:sz w:val="28"/>
          <w:szCs w:val="28"/>
          <w:highlight w:val="none"/>
          <w:lang w:eastAsia="zh-CN"/>
        </w:rPr>
        <w:t>甲方</w:t>
      </w:r>
      <w:r>
        <w:rPr>
          <w:rFonts w:hint="eastAsia" w:ascii="仿宋_GB2312" w:hAnsi="仿宋" w:eastAsia="仿宋_GB2312" w:cs="Times New Roman"/>
          <w:bCs/>
          <w:color w:val="auto"/>
          <w:sz w:val="28"/>
          <w:szCs w:val="28"/>
          <w:highlight w:val="none"/>
        </w:rPr>
        <w:t>递交验收通知书，经</w:t>
      </w:r>
      <w:r>
        <w:rPr>
          <w:rFonts w:hint="eastAsia" w:ascii="仿宋_GB2312" w:hAnsi="仿宋" w:eastAsia="仿宋_GB2312" w:cs="Times New Roman"/>
          <w:bCs/>
          <w:color w:val="auto"/>
          <w:sz w:val="28"/>
          <w:szCs w:val="28"/>
          <w:highlight w:val="none"/>
          <w:lang w:eastAsia="zh-CN"/>
        </w:rPr>
        <w:t>甲方</w:t>
      </w:r>
      <w:r>
        <w:rPr>
          <w:rFonts w:hint="eastAsia" w:ascii="仿宋_GB2312" w:hAnsi="仿宋" w:eastAsia="仿宋_GB2312" w:cs="Times New Roman"/>
          <w:bCs/>
          <w:color w:val="auto"/>
          <w:sz w:val="28"/>
          <w:szCs w:val="28"/>
          <w:highlight w:val="none"/>
        </w:rPr>
        <w:t>确认后，组织进行系统验收。</w:t>
      </w:r>
      <w:r>
        <w:rPr>
          <w:rFonts w:hint="eastAsia" w:ascii="仿宋_GB2312" w:hAnsi="仿宋" w:eastAsia="仿宋_GB2312" w:cs="Times New Roman"/>
          <w:bCs/>
          <w:color w:val="auto"/>
          <w:sz w:val="28"/>
          <w:szCs w:val="28"/>
          <w:highlight w:val="none"/>
          <w:lang w:eastAsia="zh-CN"/>
        </w:rPr>
        <w:t>成立本项目验收小组（不少于</w:t>
      </w:r>
      <w:r>
        <w:rPr>
          <w:rFonts w:hint="eastAsia" w:ascii="仿宋_GB2312" w:hAnsi="仿宋" w:eastAsia="仿宋_GB2312" w:cs="Times New Roman"/>
          <w:bCs/>
          <w:color w:val="auto"/>
          <w:sz w:val="28"/>
          <w:szCs w:val="28"/>
          <w:highlight w:val="none"/>
          <w:lang w:val="en-US" w:eastAsia="zh-CN"/>
        </w:rPr>
        <w:t>5人且为奇数</w:t>
      </w:r>
      <w:r>
        <w:rPr>
          <w:rFonts w:hint="eastAsia" w:ascii="仿宋_GB2312" w:hAnsi="仿宋" w:eastAsia="仿宋_GB2312" w:cs="Times New Roman"/>
          <w:bCs/>
          <w:color w:val="auto"/>
          <w:sz w:val="28"/>
          <w:szCs w:val="28"/>
          <w:highlight w:val="none"/>
          <w:lang w:eastAsia="zh-CN"/>
        </w:rPr>
        <w:t>），召开验收会议，</w:t>
      </w:r>
      <w:r>
        <w:rPr>
          <w:rFonts w:hint="eastAsia" w:ascii="仿宋_GB2312" w:hAnsi="仿宋" w:eastAsia="仿宋_GB2312" w:cs="Times New Roman"/>
          <w:bCs/>
          <w:color w:val="auto"/>
          <w:sz w:val="28"/>
          <w:szCs w:val="28"/>
          <w:highlight w:val="none"/>
        </w:rPr>
        <w:t>验收合格后，出具验收报告</w:t>
      </w:r>
      <w:r>
        <w:rPr>
          <w:rFonts w:hint="eastAsia" w:ascii="仿宋_GB2312" w:hAnsi="仿宋" w:eastAsia="仿宋_GB2312" w:cs="Times New Roman"/>
          <w:bCs/>
          <w:color w:val="auto"/>
          <w:sz w:val="28"/>
          <w:szCs w:val="28"/>
          <w:highlight w:val="none"/>
          <w:lang w:eastAsia="zh-CN"/>
        </w:rPr>
        <w:t>（验收单）</w:t>
      </w:r>
      <w:r>
        <w:rPr>
          <w:rFonts w:hint="eastAsia" w:ascii="仿宋_GB2312" w:hAnsi="仿宋" w:eastAsia="仿宋_GB2312" w:cs="Times New Roman"/>
          <w:bCs/>
          <w:color w:val="auto"/>
          <w:sz w:val="28"/>
          <w:szCs w:val="28"/>
          <w:highlight w:val="none"/>
        </w:rPr>
        <w:t>并签字，验收报告</w:t>
      </w:r>
      <w:r>
        <w:rPr>
          <w:rFonts w:hint="eastAsia" w:ascii="仿宋_GB2312" w:hAnsi="仿宋" w:eastAsia="仿宋_GB2312" w:cs="Times New Roman"/>
          <w:bCs/>
          <w:color w:val="auto"/>
          <w:sz w:val="28"/>
          <w:szCs w:val="28"/>
          <w:highlight w:val="none"/>
          <w:lang w:eastAsia="zh-CN"/>
        </w:rPr>
        <w:t>（验收单）</w:t>
      </w:r>
      <w:r>
        <w:rPr>
          <w:rFonts w:hint="eastAsia" w:ascii="仿宋_GB2312" w:hAnsi="仿宋" w:eastAsia="仿宋_GB2312" w:cs="Times New Roman"/>
          <w:bCs/>
          <w:color w:val="auto"/>
          <w:sz w:val="28"/>
          <w:szCs w:val="28"/>
          <w:highlight w:val="none"/>
        </w:rPr>
        <w:t>应当列明各项标准的验收情况及项目总体</w:t>
      </w:r>
      <w:r>
        <w:rPr>
          <w:rFonts w:hint="eastAsia" w:ascii="仿宋_GB2312" w:hAnsi="仿宋" w:eastAsia="仿宋_GB2312" w:cs="Times New Roman"/>
          <w:bCs/>
          <w:color w:val="auto"/>
          <w:sz w:val="28"/>
          <w:szCs w:val="28"/>
          <w:highlight w:val="none"/>
          <w:lang w:eastAsia="zh-CN"/>
        </w:rPr>
        <w:t>绩效</w:t>
      </w:r>
      <w:r>
        <w:rPr>
          <w:rFonts w:hint="eastAsia" w:ascii="仿宋_GB2312" w:hAnsi="仿宋" w:eastAsia="仿宋_GB2312" w:cs="Times New Roman"/>
          <w:bCs/>
          <w:color w:val="auto"/>
          <w:sz w:val="28"/>
          <w:szCs w:val="28"/>
          <w:highlight w:val="none"/>
        </w:rPr>
        <w:t>评价</w:t>
      </w:r>
      <w:r>
        <w:rPr>
          <w:rFonts w:hint="eastAsia" w:ascii="仿宋_GB2312" w:hAnsi="仿宋" w:eastAsia="仿宋_GB2312" w:cs="Times New Roman"/>
          <w:bCs/>
          <w:color w:val="auto"/>
          <w:sz w:val="28"/>
          <w:szCs w:val="28"/>
          <w:highlight w:val="none"/>
          <w:lang w:eastAsia="zh-CN"/>
        </w:rPr>
        <w:t>，</w:t>
      </w:r>
      <w:r>
        <w:rPr>
          <w:rFonts w:hint="eastAsia" w:ascii="仿宋_GB2312" w:hAnsi="仿宋" w:eastAsia="仿宋_GB2312" w:cs="Times New Roman"/>
          <w:bCs/>
          <w:color w:val="auto"/>
          <w:sz w:val="28"/>
          <w:szCs w:val="28"/>
          <w:highlight w:val="none"/>
        </w:rPr>
        <w:t>作为对本次服务的最终认可</w:t>
      </w:r>
      <w:r>
        <w:rPr>
          <w:rFonts w:hint="eastAsia" w:ascii="仿宋_GB2312" w:hAnsi="仿宋" w:eastAsia="仿宋_GB2312" w:cs="Times New Roman"/>
          <w:bCs/>
          <w:color w:val="auto"/>
          <w:sz w:val="28"/>
          <w:szCs w:val="28"/>
          <w:highlight w:val="none"/>
          <w:lang w:eastAsia="zh-CN"/>
        </w:rPr>
        <w:t>及项目款项结算依据等</w:t>
      </w:r>
      <w:r>
        <w:rPr>
          <w:rFonts w:hint="eastAsia" w:ascii="仿宋_GB2312" w:hAnsi="仿宋" w:eastAsia="仿宋_GB2312" w:cs="Times New Roman"/>
          <w:bCs/>
          <w:color w:val="auto"/>
          <w:sz w:val="28"/>
          <w:szCs w:val="28"/>
          <w:highlight w:val="none"/>
        </w:rPr>
        <w:t>。</w:t>
      </w:r>
    </w:p>
    <w:p w14:paraId="639B2D94">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仿宋_GB2312" w:hAnsi="仿宋" w:eastAsia="仿宋_GB2312" w:cs="Times New Roman"/>
          <w:bCs/>
          <w:color w:val="auto"/>
          <w:sz w:val="28"/>
          <w:szCs w:val="28"/>
          <w:highlight w:val="none"/>
          <w:lang w:val="en-US" w:eastAsia="zh-CN"/>
        </w:rPr>
      </w:pPr>
      <w:r>
        <w:rPr>
          <w:rFonts w:hint="eastAsia" w:ascii="仿宋_GB2312" w:hAnsi="仿宋" w:eastAsia="仿宋_GB2312" w:cs="Times New Roman"/>
          <w:bCs/>
          <w:color w:val="auto"/>
          <w:sz w:val="28"/>
          <w:szCs w:val="28"/>
          <w:highlight w:val="none"/>
          <w:lang w:val="en-US" w:eastAsia="zh-CN"/>
        </w:rPr>
        <w:t>2.在项目实施过程中或验收时，如发现质量不符合规定，乙方负责无偿返工。</w:t>
      </w:r>
    </w:p>
    <w:p w14:paraId="5457B2D4">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仿宋_GB2312" w:hAnsi="仿宋" w:eastAsia="仿宋_GB2312" w:cs="Times New Roman"/>
          <w:bCs/>
          <w:color w:val="auto"/>
          <w:sz w:val="28"/>
          <w:szCs w:val="28"/>
          <w:highlight w:val="none"/>
          <w:lang w:val="en-US" w:eastAsia="zh-CN"/>
        </w:rPr>
      </w:pPr>
      <w:r>
        <w:rPr>
          <w:rFonts w:hint="eastAsia" w:ascii="仿宋_GB2312" w:hAnsi="仿宋" w:eastAsia="仿宋_GB2312" w:cs="Times New Roman"/>
          <w:bCs/>
          <w:color w:val="auto"/>
          <w:sz w:val="28"/>
          <w:szCs w:val="28"/>
          <w:highlight w:val="none"/>
          <w:lang w:val="en-US" w:eastAsia="zh-CN"/>
        </w:rPr>
        <w:t>3.乙方对设备检定和校准报告、检测报告及其他本项目相关的服务成果负责，服务技术质量保证的相关费用包含在合同价款中，甲方不另行支付。乙方所供的成果文件必须保证符合国家相关程序和相关规定，质量符合现行的国家及行业相关的技术规范和规定要求，确保真实性、可靠性。</w:t>
      </w:r>
    </w:p>
    <w:p w14:paraId="15E75A8E">
      <w:pPr>
        <w:keepNext w:val="0"/>
        <w:keepLines w:val="0"/>
        <w:pageBreakBefore w:val="0"/>
        <w:widowControl/>
        <w:numPr>
          <w:ilvl w:val="-1"/>
          <w:numId w:val="0"/>
        </w:numPr>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仿宋_GB2312" w:hAnsi="仿宋" w:eastAsia="仿宋_GB2312" w:cs="Times New Roman"/>
          <w:bCs/>
          <w:color w:val="auto"/>
          <w:sz w:val="28"/>
          <w:szCs w:val="28"/>
          <w:highlight w:val="none"/>
          <w:lang w:val="en-US" w:eastAsia="zh-CN"/>
        </w:rPr>
      </w:pPr>
      <w:r>
        <w:rPr>
          <w:rFonts w:hint="eastAsia" w:ascii="仿宋_GB2312" w:hAnsi="仿宋" w:eastAsia="仿宋_GB2312" w:cs="Times New Roman"/>
          <w:b w:val="0"/>
          <w:bCs/>
          <w:color w:val="auto"/>
          <w:sz w:val="28"/>
          <w:szCs w:val="28"/>
          <w:highlight w:val="none"/>
          <w:lang w:val="en-US" w:eastAsia="zh-CN"/>
        </w:rPr>
        <w:t>（三）</w:t>
      </w:r>
      <w:r>
        <w:rPr>
          <w:rFonts w:hint="eastAsia" w:ascii="仿宋_GB2312" w:hAnsi="仿宋" w:eastAsia="仿宋_GB2312" w:cs="Times New Roman"/>
          <w:bCs/>
          <w:color w:val="auto"/>
          <w:sz w:val="28"/>
          <w:szCs w:val="28"/>
          <w:highlight w:val="none"/>
          <w:lang w:val="en-US" w:eastAsia="zh-CN"/>
        </w:rPr>
        <w:t>如遇以下情况，履约保证金不予退还：</w:t>
      </w:r>
    </w:p>
    <w:p w14:paraId="6327BF6C">
      <w:pPr>
        <w:keepNext w:val="0"/>
        <w:keepLines w:val="0"/>
        <w:pageBreakBefore w:val="0"/>
        <w:widowControl/>
        <w:numPr>
          <w:ilvl w:val="-1"/>
          <w:numId w:val="0"/>
        </w:numPr>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仿宋_GB2312" w:hAnsi="仿宋" w:eastAsia="仿宋_GB2312" w:cs="Times New Roman"/>
          <w:bCs/>
          <w:color w:val="auto"/>
          <w:sz w:val="28"/>
          <w:szCs w:val="28"/>
          <w:highlight w:val="none"/>
          <w:lang w:val="en-US" w:eastAsia="zh-CN"/>
        </w:rPr>
      </w:pPr>
      <w:r>
        <w:rPr>
          <w:rFonts w:hint="eastAsia" w:ascii="仿宋_GB2312" w:hAnsi="仿宋" w:eastAsia="仿宋_GB2312" w:cs="Times New Roman"/>
          <w:bCs/>
          <w:color w:val="auto"/>
          <w:sz w:val="28"/>
          <w:szCs w:val="28"/>
          <w:highlight w:val="none"/>
          <w:lang w:val="en-US" w:eastAsia="zh-CN"/>
        </w:rPr>
        <w:t xml:space="preserve">1.合同签订后各项服务不能按合同期限要求完成的； </w:t>
      </w:r>
    </w:p>
    <w:p w14:paraId="2D3DA4F5">
      <w:pPr>
        <w:keepNext w:val="0"/>
        <w:keepLines w:val="0"/>
        <w:pageBreakBefore w:val="0"/>
        <w:widowControl/>
        <w:numPr>
          <w:ilvl w:val="-1"/>
          <w:numId w:val="0"/>
        </w:numPr>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仿宋_GB2312" w:hAnsi="仿宋" w:eastAsia="仿宋_GB2312" w:cs="Times New Roman"/>
          <w:bCs/>
          <w:color w:val="auto"/>
          <w:sz w:val="28"/>
          <w:szCs w:val="28"/>
          <w:highlight w:val="none"/>
          <w:lang w:val="en-US" w:eastAsia="zh-CN"/>
        </w:rPr>
      </w:pPr>
      <w:r>
        <w:rPr>
          <w:rFonts w:hint="eastAsia" w:ascii="仿宋_GB2312" w:hAnsi="仿宋" w:eastAsia="仿宋_GB2312" w:cs="Times New Roman"/>
          <w:bCs/>
          <w:color w:val="auto"/>
          <w:sz w:val="28"/>
          <w:szCs w:val="28"/>
          <w:highlight w:val="none"/>
          <w:lang w:val="en-US" w:eastAsia="zh-CN"/>
        </w:rPr>
        <w:t>2.发现问题经整改后仍不能按合同履约的；</w:t>
      </w:r>
    </w:p>
    <w:p w14:paraId="7B421B41">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560" w:firstLineChars="200"/>
        <w:jc w:val="left"/>
        <w:textAlignment w:val="auto"/>
        <w:rPr>
          <w:rFonts w:hint="eastAsia" w:ascii="仿宋_GB2312" w:hAnsi="仿宋" w:eastAsia="仿宋_GB2312" w:cs="Times New Roman"/>
          <w:b w:val="0"/>
          <w:bCs/>
          <w:color w:val="auto"/>
          <w:sz w:val="28"/>
          <w:szCs w:val="28"/>
          <w:highlight w:val="none"/>
          <w:lang w:val="en-US" w:eastAsia="zh-CN"/>
        </w:rPr>
      </w:pPr>
      <w:r>
        <w:rPr>
          <w:rFonts w:hint="eastAsia" w:ascii="仿宋_GB2312" w:hAnsi="仿宋" w:eastAsia="仿宋_GB2312" w:cs="Times New Roman"/>
          <w:bCs/>
          <w:color w:val="auto"/>
          <w:sz w:val="28"/>
          <w:szCs w:val="28"/>
          <w:highlight w:val="none"/>
          <w:lang w:val="en-US" w:eastAsia="zh-CN"/>
        </w:rPr>
        <w:t>3.服务质量经多次整改后仍验收不合格的。</w:t>
      </w:r>
    </w:p>
    <w:p w14:paraId="60C6F811">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bCs/>
          <w:color w:val="auto"/>
          <w:sz w:val="28"/>
          <w:szCs w:val="28"/>
          <w:highlight w:val="none"/>
          <w:lang w:val="en-US" w:eastAsia="zh-CN"/>
        </w:rPr>
        <w:t>十</w:t>
      </w:r>
      <w:r>
        <w:rPr>
          <w:rFonts w:hint="eastAsia" w:ascii="仿宋_GB2312" w:hAnsi="仿宋_GB2312" w:eastAsia="仿宋_GB2312" w:cs="仿宋_GB2312"/>
          <w:b/>
          <w:bCs/>
          <w:color w:val="auto"/>
          <w:sz w:val="28"/>
          <w:szCs w:val="28"/>
          <w:highlight w:val="none"/>
        </w:rPr>
        <w:t>、</w:t>
      </w:r>
      <w:r>
        <w:rPr>
          <w:rFonts w:hint="eastAsia" w:ascii="仿宋_GB2312" w:hAnsi="仿宋_GB2312" w:eastAsia="仿宋_GB2312" w:cs="仿宋_GB2312"/>
          <w:b/>
          <w:color w:val="auto"/>
          <w:sz w:val="28"/>
          <w:szCs w:val="28"/>
          <w:highlight w:val="none"/>
        </w:rPr>
        <w:t>违约责任</w:t>
      </w:r>
    </w:p>
    <w:p w14:paraId="37A5E4A8">
      <w:pPr>
        <w:autoSpaceDE w:val="0"/>
        <w:autoSpaceDN w:val="0"/>
        <w:adjustRightInd w:val="0"/>
        <w:snapToGrid w:val="0"/>
        <w:spacing w:line="360" w:lineRule="auto"/>
        <w:ind w:firstLine="630"/>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（一）按《中华人民共和国民法典》中的相关条款执行。</w:t>
      </w:r>
    </w:p>
    <w:p w14:paraId="117119DD">
      <w:pPr>
        <w:keepNext w:val="0"/>
        <w:keepLines w:val="0"/>
        <w:pageBreakBefore w:val="0"/>
        <w:widowControl/>
        <w:numPr>
          <w:ilvl w:val="-1"/>
          <w:numId w:val="0"/>
        </w:numPr>
        <w:kinsoku/>
        <w:wordWrap/>
        <w:overflowPunct/>
        <w:topLinePunct w:val="0"/>
        <w:autoSpaceDE w:val="0"/>
        <w:autoSpaceDN w:val="0"/>
        <w:bidi w:val="0"/>
        <w:adjustRightInd w:val="0"/>
        <w:snapToGrid w:val="0"/>
        <w:spacing w:line="360" w:lineRule="auto"/>
        <w:ind w:firstLine="630" w:firstLineChars="0"/>
        <w:jc w:val="left"/>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二）乙方向甲方提供的服务不符合磋商文件、响应文件及合同要求且拒不整改、违反保密协议及违反安全生产法律法规等，甲方有权解除合同，对已经发生未支付的费用可不予以支付，对已支付费乙方应无条件返还；由此给甲方造成的损失的，甲方有权进一步要求乙方赔偿损失，并追究乙方相关责任。</w:t>
      </w:r>
    </w:p>
    <w:p w14:paraId="39A671E4">
      <w:pPr>
        <w:keepNext w:val="0"/>
        <w:keepLines w:val="0"/>
        <w:pageBreakBefore w:val="0"/>
        <w:widowControl/>
        <w:numPr>
          <w:ilvl w:val="-1"/>
          <w:numId w:val="0"/>
        </w:numPr>
        <w:kinsoku/>
        <w:wordWrap/>
        <w:overflowPunct/>
        <w:topLinePunct w:val="0"/>
        <w:autoSpaceDE w:val="0"/>
        <w:autoSpaceDN w:val="0"/>
        <w:bidi w:val="0"/>
        <w:adjustRightInd w:val="0"/>
        <w:snapToGrid w:val="0"/>
        <w:spacing w:line="360" w:lineRule="auto"/>
        <w:ind w:firstLine="630" w:firstLineChars="0"/>
        <w:jc w:val="left"/>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三）乙方服务过程中出现严重的质量问题，经甲方或第三方核查属实的，该部分工作量全部作废，乙方应无条件限期重做；否则甲方有权解除合同，对已经发生未支付的费用可不予以支付，对已支付费乙方应无条件返还；由此给甲方造成的损失的，甲方有权进一步要求乙方赔偿损失，并追究乙方相关责任。</w:t>
      </w:r>
    </w:p>
    <w:p w14:paraId="28C79CFD">
      <w:pPr>
        <w:keepNext w:val="0"/>
        <w:keepLines w:val="0"/>
        <w:pageBreakBefore w:val="0"/>
        <w:widowControl/>
        <w:numPr>
          <w:ilvl w:val="-1"/>
          <w:numId w:val="0"/>
        </w:numPr>
        <w:kinsoku/>
        <w:wordWrap/>
        <w:overflowPunct/>
        <w:topLinePunct w:val="0"/>
        <w:autoSpaceDE w:val="0"/>
        <w:autoSpaceDN w:val="0"/>
        <w:bidi w:val="0"/>
        <w:adjustRightInd w:val="0"/>
        <w:snapToGrid w:val="0"/>
        <w:spacing w:line="360" w:lineRule="auto"/>
        <w:ind w:firstLine="630" w:firstLineChars="0"/>
        <w:jc w:val="left"/>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四）乙方应对提交的检定、校验、检测报告成果负责。成果达不到要求的，甲方有权督促乙方按照甲方提供的书面成果审查或审批意见进行补充完善，相关费用已含在合同价款中，甲方不再另外支付费用，如出现重大失误，乙方需承担由此造成的全部经济责任和法律责任，甲方对已经发生未支付的费用可不予以支付，对已支付费乙方应无条件返还。</w:t>
      </w:r>
    </w:p>
    <w:p w14:paraId="677A1D0C">
      <w:pPr>
        <w:keepNext w:val="0"/>
        <w:keepLines w:val="0"/>
        <w:pageBreakBefore w:val="0"/>
        <w:widowControl/>
        <w:numPr>
          <w:ilvl w:val="-1"/>
          <w:numId w:val="0"/>
        </w:numPr>
        <w:kinsoku/>
        <w:wordWrap/>
        <w:overflowPunct/>
        <w:topLinePunct w:val="0"/>
        <w:autoSpaceDE w:val="0"/>
        <w:autoSpaceDN w:val="0"/>
        <w:bidi w:val="0"/>
        <w:adjustRightInd w:val="0"/>
        <w:snapToGrid w:val="0"/>
        <w:spacing w:line="360" w:lineRule="auto"/>
        <w:ind w:firstLine="630" w:firstLineChars="0"/>
        <w:jc w:val="left"/>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五）乙方未按项目需求建立安全生产制度并严格落实的，或经甲方或第三方检查发现存在重大安全隐患的，甲方给予书面警告，乙方应无条件限期整改；不整改或整改不到位的，甲方有权终止合同，甲方保留追究乙方相关责任的权利。</w:t>
      </w:r>
    </w:p>
    <w:p w14:paraId="0683B465">
      <w:pPr>
        <w:keepNext w:val="0"/>
        <w:keepLines w:val="0"/>
        <w:pageBreakBefore w:val="0"/>
        <w:widowControl/>
        <w:numPr>
          <w:ilvl w:val="-1"/>
          <w:numId w:val="0"/>
        </w:numPr>
        <w:kinsoku/>
        <w:wordWrap/>
        <w:overflowPunct/>
        <w:topLinePunct w:val="0"/>
        <w:autoSpaceDE w:val="0"/>
        <w:autoSpaceDN w:val="0"/>
        <w:bidi w:val="0"/>
        <w:adjustRightInd w:val="0"/>
        <w:snapToGrid w:val="0"/>
        <w:spacing w:line="360" w:lineRule="auto"/>
        <w:ind w:firstLine="630" w:firstLineChars="0"/>
        <w:jc w:val="left"/>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（六）乙方未按项目项目响应文件或需求投入相应的人员、车辆、设备，甲方给予书面告知，乙方应无条件限期整改；不整改或整改不到位的甲方有权终止合同，甲方保留追究服务相关责任的权利。</w:t>
      </w:r>
    </w:p>
    <w:p w14:paraId="4CF95B60">
      <w:pPr>
        <w:autoSpaceDE w:val="0"/>
        <w:autoSpaceDN w:val="0"/>
        <w:adjustRightInd w:val="0"/>
        <w:snapToGrid w:val="0"/>
        <w:spacing w:line="360" w:lineRule="auto"/>
        <w:ind w:firstLine="630"/>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w:t>
      </w:r>
      <w:r>
        <w:rPr>
          <w:rFonts w:hint="eastAsia" w:ascii="仿宋_GB2312" w:hAnsi="仿宋_GB2312" w:eastAsia="仿宋_GB2312" w:cs="仿宋_GB2312"/>
          <w:bCs/>
          <w:color w:val="auto"/>
          <w:sz w:val="28"/>
          <w:szCs w:val="28"/>
          <w:highlight w:val="none"/>
          <w:lang w:eastAsia="zh-CN"/>
        </w:rPr>
        <w:t>七</w:t>
      </w:r>
      <w:r>
        <w:rPr>
          <w:rFonts w:hint="eastAsia" w:ascii="仿宋_GB2312" w:hAnsi="仿宋_GB2312" w:eastAsia="仿宋_GB2312" w:cs="仿宋_GB2312"/>
          <w:bCs/>
          <w:color w:val="auto"/>
          <w:sz w:val="28"/>
          <w:szCs w:val="28"/>
          <w:highlight w:val="none"/>
        </w:rPr>
        <w:t>）任何一方因不可抗力原因不能履行协议时，应尽快通知对方，双方均设法补偿。如仍无法履约协议，可协商延缓或撤销协议，双方责任免除。</w:t>
      </w:r>
    </w:p>
    <w:p w14:paraId="1E10E527">
      <w:pPr>
        <w:autoSpaceDE w:val="0"/>
        <w:autoSpaceDN w:val="0"/>
        <w:adjustRightInd w:val="0"/>
        <w:spacing w:line="360" w:lineRule="auto"/>
        <w:ind w:firstLine="562" w:firstLineChars="200"/>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lang w:val="en-US" w:eastAsia="zh-CN"/>
        </w:rPr>
        <w:t>十一</w:t>
      </w:r>
      <w:r>
        <w:rPr>
          <w:rFonts w:hint="eastAsia" w:ascii="仿宋_GB2312" w:hAnsi="仿宋_GB2312" w:eastAsia="仿宋_GB2312" w:cs="仿宋_GB2312"/>
          <w:b/>
          <w:bCs/>
          <w:color w:val="auto"/>
          <w:sz w:val="28"/>
          <w:szCs w:val="28"/>
          <w:highlight w:val="none"/>
        </w:rPr>
        <w:t>、合同争议解决的方式</w:t>
      </w:r>
    </w:p>
    <w:p w14:paraId="324F8D01">
      <w:pPr>
        <w:autoSpaceDE w:val="0"/>
        <w:autoSpaceDN w:val="0"/>
        <w:adjustRightInd w:val="0"/>
        <w:spacing w:line="360" w:lineRule="auto"/>
        <w:ind w:firstLine="560" w:firstLineChars="200"/>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本合同在履行过程中发生的争议，由甲、乙双方当事人协商解决，协商不成的按下列第</w:t>
      </w:r>
      <w:r>
        <w:rPr>
          <w:rFonts w:hint="eastAsia" w:ascii="仿宋_GB2312" w:hAnsi="仿宋_GB2312" w:eastAsia="仿宋_GB2312" w:cs="仿宋_GB2312"/>
          <w:bCs/>
          <w:color w:val="auto"/>
          <w:sz w:val="28"/>
          <w:szCs w:val="28"/>
          <w:highlight w:val="none"/>
          <w:u w:val="single"/>
        </w:rPr>
        <w:t>（二）</w:t>
      </w:r>
      <w:r>
        <w:rPr>
          <w:rFonts w:hint="eastAsia" w:ascii="仿宋_GB2312" w:hAnsi="仿宋_GB2312" w:eastAsia="仿宋_GB2312" w:cs="仿宋_GB2312"/>
          <w:bCs/>
          <w:color w:val="auto"/>
          <w:sz w:val="28"/>
          <w:szCs w:val="28"/>
          <w:highlight w:val="none"/>
        </w:rPr>
        <w:t>种方式解决：</w:t>
      </w:r>
    </w:p>
    <w:p w14:paraId="15D020AD">
      <w:pPr>
        <w:autoSpaceDE w:val="0"/>
        <w:autoSpaceDN w:val="0"/>
        <w:adjustRightInd w:val="0"/>
        <w:spacing w:line="360" w:lineRule="auto"/>
        <w:ind w:firstLine="560" w:firstLineChars="200"/>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（一）提交西安仲裁委员会仲裁；</w:t>
      </w:r>
    </w:p>
    <w:p w14:paraId="57748B0A">
      <w:pPr>
        <w:autoSpaceDE w:val="0"/>
        <w:autoSpaceDN w:val="0"/>
        <w:adjustRightInd w:val="0"/>
        <w:spacing w:line="360" w:lineRule="auto"/>
        <w:ind w:firstLine="560" w:firstLineChars="200"/>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（二）依法向甲方所在地人民法院起诉。</w:t>
      </w:r>
    </w:p>
    <w:p w14:paraId="068191D2">
      <w:pPr>
        <w:autoSpaceDE w:val="0"/>
        <w:autoSpaceDN w:val="0"/>
        <w:adjustRightInd w:val="0"/>
        <w:spacing w:line="360" w:lineRule="auto"/>
        <w:ind w:firstLine="562" w:firstLineChars="200"/>
        <w:rPr>
          <w:rFonts w:hint="eastAsia" w:ascii="仿宋_GB2312" w:hAnsi="仿宋_GB2312" w:eastAsia="仿宋_GB2312" w:cs="仿宋_GB2312"/>
          <w:b/>
          <w:bCs/>
          <w:color w:val="auto"/>
          <w:sz w:val="28"/>
          <w:szCs w:val="28"/>
          <w:highlight w:val="none"/>
        </w:rPr>
      </w:pPr>
      <w:r>
        <w:rPr>
          <w:rFonts w:hint="eastAsia" w:ascii="仿宋_GB2312" w:hAnsi="仿宋_GB2312" w:eastAsia="仿宋_GB2312" w:cs="仿宋_GB2312"/>
          <w:b/>
          <w:bCs/>
          <w:color w:val="auto"/>
          <w:sz w:val="28"/>
          <w:szCs w:val="28"/>
          <w:highlight w:val="none"/>
          <w:lang w:val="en-US" w:eastAsia="zh-CN"/>
        </w:rPr>
        <w:t>十二</w:t>
      </w:r>
      <w:r>
        <w:rPr>
          <w:rFonts w:hint="eastAsia" w:ascii="仿宋_GB2312" w:hAnsi="仿宋_GB2312" w:eastAsia="仿宋_GB2312" w:cs="仿宋_GB2312"/>
          <w:b/>
          <w:bCs/>
          <w:color w:val="auto"/>
          <w:sz w:val="28"/>
          <w:szCs w:val="28"/>
          <w:highlight w:val="none"/>
        </w:rPr>
        <w:t>、合同生效</w:t>
      </w:r>
    </w:p>
    <w:p w14:paraId="752032BE">
      <w:pPr>
        <w:autoSpaceDE w:val="0"/>
        <w:autoSpaceDN w:val="0"/>
        <w:adjustRightInd w:val="0"/>
        <w:spacing w:line="360" w:lineRule="auto"/>
        <w:ind w:firstLine="560" w:firstLineChars="200"/>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（一）本合同经双方签字盖章后生效。</w:t>
      </w:r>
    </w:p>
    <w:p w14:paraId="6D2B25C3">
      <w:pPr>
        <w:autoSpaceDE w:val="0"/>
        <w:autoSpaceDN w:val="0"/>
        <w:adjustRightInd w:val="0"/>
        <w:spacing w:line="360" w:lineRule="auto"/>
        <w:ind w:firstLine="560" w:firstLineChars="200"/>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（二）本合同须经甲、乙双方的法定代表人（授权代理人）在合同书上签字并加盖本单位公章后正式生效。</w:t>
      </w:r>
    </w:p>
    <w:p w14:paraId="0BC1989B">
      <w:pPr>
        <w:autoSpaceDE w:val="0"/>
        <w:autoSpaceDN w:val="0"/>
        <w:adjustRightInd w:val="0"/>
        <w:spacing w:line="360" w:lineRule="auto"/>
        <w:ind w:firstLine="560" w:firstLineChars="200"/>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（三）合同生效后，甲、乙双方须严格执行本合同条款的规定，全面履行合同，违者按《</w:t>
      </w:r>
      <w:r>
        <w:rPr>
          <w:rFonts w:hint="eastAsia" w:ascii="仿宋_GB2312" w:hAnsi="仿宋" w:eastAsia="仿宋_GB2312"/>
          <w:bCs/>
          <w:color w:val="auto"/>
          <w:sz w:val="28"/>
          <w:szCs w:val="28"/>
          <w:highlight w:val="none"/>
          <w:lang w:eastAsia="zh-CN"/>
        </w:rPr>
        <w:t>中华人民共和国民法典</w:t>
      </w:r>
      <w:r>
        <w:rPr>
          <w:rFonts w:hint="eastAsia" w:ascii="仿宋_GB2312" w:hAnsi="仿宋_GB2312" w:eastAsia="仿宋_GB2312" w:cs="仿宋_GB2312"/>
          <w:bCs/>
          <w:color w:val="auto"/>
          <w:sz w:val="28"/>
          <w:szCs w:val="28"/>
          <w:highlight w:val="none"/>
        </w:rPr>
        <w:t>》的有关规定承担相应责任。</w:t>
      </w:r>
    </w:p>
    <w:p w14:paraId="77B60B18">
      <w:pPr>
        <w:autoSpaceDE w:val="0"/>
        <w:autoSpaceDN w:val="0"/>
        <w:adjustRightInd w:val="0"/>
        <w:spacing w:line="360" w:lineRule="auto"/>
        <w:ind w:firstLine="560" w:firstLineChars="200"/>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（四）本合同一式</w:t>
      </w:r>
      <w:r>
        <w:rPr>
          <w:rFonts w:hint="eastAsia" w:ascii="仿宋_GB2312" w:hAnsi="仿宋_GB2312" w:eastAsia="仿宋_GB2312" w:cs="仿宋_GB2312"/>
          <w:bCs/>
          <w:color w:val="auto"/>
          <w:sz w:val="28"/>
          <w:szCs w:val="28"/>
          <w:highlight w:val="none"/>
          <w:u w:val="single"/>
        </w:rPr>
        <w:t xml:space="preserve">   </w:t>
      </w:r>
      <w:r>
        <w:rPr>
          <w:rFonts w:hint="eastAsia" w:ascii="仿宋_GB2312" w:hAnsi="仿宋_GB2312" w:eastAsia="仿宋_GB2312" w:cs="仿宋_GB2312"/>
          <w:bCs/>
          <w:color w:val="auto"/>
          <w:sz w:val="28"/>
          <w:szCs w:val="28"/>
          <w:highlight w:val="none"/>
        </w:rPr>
        <w:t>份，甲乙双方各执</w:t>
      </w:r>
      <w:r>
        <w:rPr>
          <w:rFonts w:hint="eastAsia" w:ascii="仿宋_GB2312" w:hAnsi="仿宋_GB2312" w:eastAsia="仿宋_GB2312" w:cs="仿宋_GB2312"/>
          <w:bCs/>
          <w:color w:val="auto"/>
          <w:sz w:val="28"/>
          <w:szCs w:val="28"/>
          <w:highlight w:val="none"/>
          <w:u w:val="single"/>
        </w:rPr>
        <w:t xml:space="preserve">    </w:t>
      </w:r>
      <w:r>
        <w:rPr>
          <w:rFonts w:hint="eastAsia" w:ascii="仿宋_GB2312" w:hAnsi="仿宋_GB2312" w:eastAsia="仿宋_GB2312" w:cs="仿宋_GB2312"/>
          <w:bCs/>
          <w:color w:val="auto"/>
          <w:sz w:val="28"/>
          <w:szCs w:val="28"/>
          <w:highlight w:val="none"/>
        </w:rPr>
        <w:t>份。</w:t>
      </w:r>
    </w:p>
    <w:p w14:paraId="4946DEA1">
      <w:pPr>
        <w:autoSpaceDE w:val="0"/>
        <w:autoSpaceDN w:val="0"/>
        <w:adjustRightInd w:val="0"/>
        <w:spacing w:line="360" w:lineRule="auto"/>
        <w:ind w:firstLine="560" w:firstLineChars="200"/>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（五）本合同如有未尽事宜，甲、乙双方协商解决。</w:t>
      </w:r>
    </w:p>
    <w:p w14:paraId="4AF14E11">
      <w:pPr>
        <w:autoSpaceDE w:val="0"/>
        <w:autoSpaceDN w:val="0"/>
        <w:adjustRightInd w:val="0"/>
        <w:snapToGrid w:val="0"/>
        <w:spacing w:line="360" w:lineRule="auto"/>
        <w:ind w:firstLine="560" w:firstLineChars="200"/>
        <w:rPr>
          <w:rFonts w:hint="eastAsia" w:ascii="仿宋_GB2312" w:hAnsi="仿宋_GB2312" w:eastAsia="仿宋_GB2312" w:cs="仿宋_GB2312"/>
          <w:color w:val="auto"/>
          <w:sz w:val="28"/>
          <w:szCs w:val="28"/>
        </w:rPr>
      </w:pPr>
    </w:p>
    <w:p w14:paraId="135B1D2F">
      <w:pPr>
        <w:autoSpaceDE w:val="0"/>
        <w:autoSpaceDN w:val="0"/>
        <w:adjustRightInd w:val="0"/>
        <w:snapToGrid w:val="0"/>
        <w:spacing w:line="360" w:lineRule="auto"/>
        <w:ind w:firstLine="700" w:firstLineChars="250"/>
        <w:rPr>
          <w:rFonts w:hint="eastAsia" w:ascii="仿宋_GB2312" w:hAnsi="仿宋" w:eastAsia="仿宋_GB2312"/>
          <w:color w:val="auto"/>
          <w:sz w:val="28"/>
          <w:szCs w:val="28"/>
        </w:rPr>
      </w:pPr>
    </w:p>
    <w:p w14:paraId="3FD355F2">
      <w:pPr>
        <w:pStyle w:val="13"/>
        <w:rPr>
          <w:rFonts w:hint="eastAsia"/>
          <w:color w:val="auto"/>
        </w:rPr>
      </w:pPr>
    </w:p>
    <w:tbl>
      <w:tblPr>
        <w:tblStyle w:val="8"/>
        <w:tblW w:w="0" w:type="auto"/>
        <w:jc w:val="center"/>
        <w:tblLayout w:type="fixed"/>
        <w:tblCellMar>
          <w:top w:w="0" w:type="dxa"/>
          <w:left w:w="108" w:type="dxa"/>
          <w:bottom w:w="0" w:type="dxa"/>
          <w:right w:w="108" w:type="dxa"/>
        </w:tblCellMar>
      </w:tblPr>
      <w:tblGrid>
        <w:gridCol w:w="4201"/>
        <w:gridCol w:w="4202"/>
      </w:tblGrid>
      <w:tr w14:paraId="7189F9A8">
        <w:tblPrEx>
          <w:tblCellMar>
            <w:top w:w="0" w:type="dxa"/>
            <w:left w:w="108" w:type="dxa"/>
            <w:bottom w:w="0" w:type="dxa"/>
            <w:right w:w="108" w:type="dxa"/>
          </w:tblCellMar>
        </w:tblPrEx>
        <w:trPr>
          <w:trHeight w:val="567" w:hRule="exact"/>
          <w:jc w:val="center"/>
        </w:trPr>
        <w:tc>
          <w:tcPr>
            <w:tcW w:w="4201" w:type="dxa"/>
            <w:noWrap w:val="0"/>
            <w:vAlign w:val="center"/>
          </w:tcPr>
          <w:p w14:paraId="795CEC71">
            <w:pPr>
              <w:autoSpaceDE w:val="0"/>
              <w:autoSpaceDN w:val="0"/>
              <w:adjustRightInd w:val="0"/>
              <w:rPr>
                <w:rFonts w:hint="eastAsia" w:ascii="仿宋_GB2312" w:hAnsi="宋体" w:eastAsia="仿宋_GB2312"/>
                <w:color w:val="auto"/>
                <w:spacing w:val="-20"/>
                <w:kern w:val="0"/>
                <w:sz w:val="28"/>
                <w:szCs w:val="28"/>
              </w:rPr>
            </w:pPr>
            <w:r>
              <w:rPr>
                <w:rFonts w:hint="eastAsia" w:ascii="仿宋_GB2312" w:hAnsi="宋体" w:eastAsia="仿宋_GB2312"/>
                <w:color w:val="auto"/>
                <w:spacing w:val="-20"/>
                <w:kern w:val="0"/>
                <w:sz w:val="28"/>
                <w:szCs w:val="28"/>
              </w:rPr>
              <w:t>甲  方</w:t>
            </w:r>
          </w:p>
        </w:tc>
        <w:tc>
          <w:tcPr>
            <w:tcW w:w="4202" w:type="dxa"/>
            <w:noWrap w:val="0"/>
            <w:vAlign w:val="center"/>
          </w:tcPr>
          <w:p w14:paraId="18054B32">
            <w:pPr>
              <w:autoSpaceDE w:val="0"/>
              <w:autoSpaceDN w:val="0"/>
              <w:adjustRightInd w:val="0"/>
              <w:rPr>
                <w:rFonts w:hint="eastAsia" w:ascii="仿宋_GB2312" w:hAnsi="宋体" w:eastAsia="仿宋_GB2312"/>
                <w:color w:val="auto"/>
                <w:spacing w:val="-20"/>
                <w:kern w:val="0"/>
                <w:sz w:val="28"/>
                <w:szCs w:val="28"/>
              </w:rPr>
            </w:pPr>
            <w:r>
              <w:rPr>
                <w:rFonts w:hint="eastAsia" w:ascii="仿宋_GB2312" w:hAnsi="宋体" w:eastAsia="仿宋_GB2312"/>
                <w:color w:val="auto"/>
                <w:spacing w:val="-20"/>
                <w:kern w:val="0"/>
                <w:sz w:val="28"/>
                <w:szCs w:val="28"/>
              </w:rPr>
              <w:t>乙  方</w:t>
            </w:r>
          </w:p>
        </w:tc>
      </w:tr>
      <w:tr w14:paraId="0D4EB59E">
        <w:tblPrEx>
          <w:tblCellMar>
            <w:top w:w="0" w:type="dxa"/>
            <w:left w:w="108" w:type="dxa"/>
            <w:bottom w:w="0" w:type="dxa"/>
            <w:right w:w="108" w:type="dxa"/>
          </w:tblCellMar>
        </w:tblPrEx>
        <w:trPr>
          <w:trHeight w:val="567" w:hRule="exact"/>
          <w:jc w:val="center"/>
        </w:trPr>
        <w:tc>
          <w:tcPr>
            <w:tcW w:w="4201" w:type="dxa"/>
            <w:noWrap w:val="0"/>
            <w:vAlign w:val="center"/>
          </w:tcPr>
          <w:p w14:paraId="39CAACED">
            <w:pPr>
              <w:autoSpaceDE w:val="0"/>
              <w:autoSpaceDN w:val="0"/>
              <w:adjustRightInd w:val="0"/>
              <w:ind w:firstLine="840" w:firstLineChars="350"/>
              <w:rPr>
                <w:rFonts w:hint="eastAsia" w:ascii="仿宋_GB2312" w:hAnsi="宋体" w:eastAsia="仿宋_GB2312"/>
                <w:color w:val="auto"/>
                <w:spacing w:val="-20"/>
                <w:kern w:val="0"/>
                <w:sz w:val="28"/>
                <w:szCs w:val="28"/>
              </w:rPr>
            </w:pPr>
            <w:r>
              <w:rPr>
                <w:rFonts w:hint="eastAsia" w:ascii="仿宋_GB2312" w:hAnsi="宋体" w:eastAsia="仿宋_GB2312"/>
                <w:color w:val="auto"/>
                <w:spacing w:val="-20"/>
                <w:kern w:val="0"/>
                <w:sz w:val="28"/>
                <w:szCs w:val="28"/>
              </w:rPr>
              <w:t>（盖章）</w:t>
            </w:r>
          </w:p>
        </w:tc>
        <w:tc>
          <w:tcPr>
            <w:tcW w:w="4202" w:type="dxa"/>
            <w:noWrap w:val="0"/>
            <w:vAlign w:val="center"/>
          </w:tcPr>
          <w:p w14:paraId="643F151F">
            <w:pPr>
              <w:autoSpaceDE w:val="0"/>
              <w:autoSpaceDN w:val="0"/>
              <w:adjustRightInd w:val="0"/>
              <w:ind w:firstLine="960" w:firstLineChars="400"/>
              <w:rPr>
                <w:rFonts w:hint="eastAsia" w:ascii="仿宋_GB2312" w:hAnsi="宋体" w:eastAsia="仿宋_GB2312"/>
                <w:color w:val="auto"/>
                <w:spacing w:val="-20"/>
                <w:kern w:val="0"/>
                <w:sz w:val="28"/>
                <w:szCs w:val="28"/>
              </w:rPr>
            </w:pPr>
            <w:r>
              <w:rPr>
                <w:rFonts w:hint="eastAsia" w:ascii="仿宋_GB2312" w:hAnsi="宋体" w:eastAsia="仿宋_GB2312"/>
                <w:color w:val="auto"/>
                <w:spacing w:val="-20"/>
                <w:kern w:val="0"/>
                <w:sz w:val="28"/>
                <w:szCs w:val="28"/>
              </w:rPr>
              <w:t>（盖章）</w:t>
            </w:r>
          </w:p>
        </w:tc>
      </w:tr>
      <w:tr w14:paraId="44BE0F4E">
        <w:tblPrEx>
          <w:tblCellMar>
            <w:top w:w="0" w:type="dxa"/>
            <w:left w:w="108" w:type="dxa"/>
            <w:bottom w:w="0" w:type="dxa"/>
            <w:right w:w="108" w:type="dxa"/>
          </w:tblCellMar>
        </w:tblPrEx>
        <w:trPr>
          <w:trHeight w:val="567" w:hRule="exact"/>
          <w:jc w:val="center"/>
        </w:trPr>
        <w:tc>
          <w:tcPr>
            <w:tcW w:w="4201" w:type="dxa"/>
            <w:noWrap w:val="0"/>
            <w:vAlign w:val="center"/>
          </w:tcPr>
          <w:p w14:paraId="344194F6">
            <w:pPr>
              <w:autoSpaceDE w:val="0"/>
              <w:autoSpaceDN w:val="0"/>
              <w:adjustRightInd w:val="0"/>
              <w:rPr>
                <w:rFonts w:hint="eastAsia" w:ascii="仿宋_GB2312" w:hAnsi="宋体" w:eastAsia="仿宋_GB2312"/>
                <w:color w:val="auto"/>
                <w:spacing w:val="-20"/>
                <w:kern w:val="0"/>
                <w:sz w:val="28"/>
                <w:szCs w:val="28"/>
              </w:rPr>
            </w:pPr>
            <w:r>
              <w:rPr>
                <w:rFonts w:hint="eastAsia" w:ascii="仿宋_GB2312" w:hAnsi="宋体" w:eastAsia="仿宋_GB2312"/>
                <w:color w:val="auto"/>
                <w:spacing w:val="-20"/>
                <w:kern w:val="0"/>
                <w:sz w:val="28"/>
                <w:szCs w:val="28"/>
              </w:rPr>
              <w:t xml:space="preserve">地址： </w:t>
            </w:r>
          </w:p>
        </w:tc>
        <w:tc>
          <w:tcPr>
            <w:tcW w:w="4202" w:type="dxa"/>
            <w:noWrap w:val="0"/>
            <w:vAlign w:val="center"/>
          </w:tcPr>
          <w:p w14:paraId="42D5CD50">
            <w:pPr>
              <w:autoSpaceDE w:val="0"/>
              <w:autoSpaceDN w:val="0"/>
              <w:adjustRightInd w:val="0"/>
              <w:rPr>
                <w:rFonts w:hint="eastAsia" w:ascii="仿宋_GB2312" w:hAnsi="宋体" w:eastAsia="仿宋_GB2312"/>
                <w:color w:val="auto"/>
                <w:spacing w:val="-20"/>
                <w:kern w:val="0"/>
                <w:sz w:val="28"/>
                <w:szCs w:val="28"/>
              </w:rPr>
            </w:pPr>
            <w:r>
              <w:rPr>
                <w:rFonts w:hint="eastAsia" w:ascii="仿宋_GB2312" w:hAnsi="宋体" w:eastAsia="仿宋_GB2312"/>
                <w:color w:val="auto"/>
                <w:spacing w:val="-20"/>
                <w:kern w:val="0"/>
                <w:sz w:val="28"/>
                <w:szCs w:val="28"/>
              </w:rPr>
              <w:t>地址：</w:t>
            </w:r>
          </w:p>
        </w:tc>
      </w:tr>
      <w:tr w14:paraId="49943A73">
        <w:tblPrEx>
          <w:tblCellMar>
            <w:top w:w="0" w:type="dxa"/>
            <w:left w:w="108" w:type="dxa"/>
            <w:bottom w:w="0" w:type="dxa"/>
            <w:right w:w="108" w:type="dxa"/>
          </w:tblCellMar>
        </w:tblPrEx>
        <w:trPr>
          <w:trHeight w:val="567" w:hRule="exact"/>
          <w:jc w:val="center"/>
        </w:trPr>
        <w:tc>
          <w:tcPr>
            <w:tcW w:w="4201" w:type="dxa"/>
            <w:noWrap w:val="0"/>
            <w:vAlign w:val="center"/>
          </w:tcPr>
          <w:p w14:paraId="38F7450C">
            <w:pPr>
              <w:autoSpaceDE w:val="0"/>
              <w:autoSpaceDN w:val="0"/>
              <w:adjustRightInd w:val="0"/>
              <w:rPr>
                <w:rFonts w:hint="eastAsia" w:ascii="仿宋_GB2312" w:hAnsi="宋体" w:eastAsia="仿宋_GB2312"/>
                <w:color w:val="auto"/>
                <w:spacing w:val="-20"/>
                <w:kern w:val="0"/>
                <w:sz w:val="28"/>
                <w:szCs w:val="28"/>
              </w:rPr>
            </w:pPr>
            <w:r>
              <w:rPr>
                <w:rFonts w:hint="eastAsia" w:ascii="仿宋_GB2312" w:hAnsi="宋体" w:eastAsia="仿宋_GB2312"/>
                <w:color w:val="auto"/>
                <w:spacing w:val="-20"/>
                <w:kern w:val="0"/>
                <w:sz w:val="28"/>
                <w:szCs w:val="28"/>
              </w:rPr>
              <w:t xml:space="preserve">法定代表人 </w:t>
            </w:r>
          </w:p>
        </w:tc>
        <w:tc>
          <w:tcPr>
            <w:tcW w:w="4202" w:type="dxa"/>
            <w:noWrap w:val="0"/>
            <w:vAlign w:val="center"/>
          </w:tcPr>
          <w:p w14:paraId="4634F2DC">
            <w:pPr>
              <w:autoSpaceDE w:val="0"/>
              <w:autoSpaceDN w:val="0"/>
              <w:adjustRightInd w:val="0"/>
              <w:rPr>
                <w:rFonts w:hint="eastAsia" w:ascii="仿宋_GB2312" w:hAnsi="宋体" w:eastAsia="仿宋_GB2312"/>
                <w:color w:val="auto"/>
                <w:spacing w:val="-20"/>
                <w:kern w:val="0"/>
                <w:sz w:val="28"/>
                <w:szCs w:val="28"/>
              </w:rPr>
            </w:pPr>
            <w:r>
              <w:rPr>
                <w:rFonts w:hint="eastAsia" w:ascii="仿宋_GB2312" w:hAnsi="宋体" w:eastAsia="仿宋_GB2312"/>
                <w:color w:val="auto"/>
                <w:spacing w:val="-20"/>
                <w:kern w:val="0"/>
                <w:sz w:val="28"/>
                <w:szCs w:val="28"/>
              </w:rPr>
              <w:t>法定代表人</w:t>
            </w:r>
          </w:p>
        </w:tc>
      </w:tr>
      <w:tr w14:paraId="73855FCF">
        <w:tblPrEx>
          <w:tblCellMar>
            <w:top w:w="0" w:type="dxa"/>
            <w:left w:w="108" w:type="dxa"/>
            <w:bottom w:w="0" w:type="dxa"/>
            <w:right w:w="108" w:type="dxa"/>
          </w:tblCellMar>
        </w:tblPrEx>
        <w:trPr>
          <w:trHeight w:val="567" w:hRule="exact"/>
          <w:jc w:val="center"/>
        </w:trPr>
        <w:tc>
          <w:tcPr>
            <w:tcW w:w="4201" w:type="dxa"/>
            <w:noWrap w:val="0"/>
            <w:vAlign w:val="center"/>
          </w:tcPr>
          <w:p w14:paraId="304F143F">
            <w:pPr>
              <w:autoSpaceDE w:val="0"/>
              <w:autoSpaceDN w:val="0"/>
              <w:adjustRightInd w:val="0"/>
              <w:rPr>
                <w:rFonts w:hint="eastAsia" w:ascii="仿宋_GB2312" w:hAnsi="宋体" w:eastAsia="仿宋_GB2312"/>
                <w:color w:val="auto"/>
                <w:spacing w:val="-20"/>
                <w:kern w:val="0"/>
                <w:sz w:val="28"/>
                <w:szCs w:val="28"/>
              </w:rPr>
            </w:pPr>
            <w:r>
              <w:rPr>
                <w:rFonts w:hint="eastAsia" w:ascii="仿宋_GB2312" w:hAnsi="宋体" w:eastAsia="仿宋_GB2312"/>
                <w:color w:val="auto"/>
                <w:spacing w:val="-20"/>
                <w:kern w:val="0"/>
                <w:sz w:val="28"/>
                <w:szCs w:val="28"/>
              </w:rPr>
              <w:t>或授权代表：</w:t>
            </w:r>
          </w:p>
        </w:tc>
        <w:tc>
          <w:tcPr>
            <w:tcW w:w="4202" w:type="dxa"/>
            <w:noWrap w:val="0"/>
            <w:vAlign w:val="center"/>
          </w:tcPr>
          <w:p w14:paraId="7A0C8122">
            <w:pPr>
              <w:autoSpaceDE w:val="0"/>
              <w:autoSpaceDN w:val="0"/>
              <w:adjustRightInd w:val="0"/>
              <w:rPr>
                <w:rFonts w:hint="eastAsia" w:ascii="仿宋_GB2312" w:hAnsi="宋体" w:eastAsia="仿宋_GB2312"/>
                <w:color w:val="auto"/>
                <w:spacing w:val="-20"/>
                <w:kern w:val="0"/>
                <w:sz w:val="28"/>
                <w:szCs w:val="28"/>
              </w:rPr>
            </w:pPr>
            <w:r>
              <w:rPr>
                <w:rFonts w:hint="eastAsia" w:ascii="仿宋_GB2312" w:hAnsi="宋体" w:eastAsia="仿宋_GB2312"/>
                <w:color w:val="auto"/>
                <w:spacing w:val="-20"/>
                <w:kern w:val="0"/>
                <w:sz w:val="28"/>
                <w:szCs w:val="28"/>
              </w:rPr>
              <w:t>或授权代表：</w:t>
            </w:r>
          </w:p>
        </w:tc>
      </w:tr>
      <w:tr w14:paraId="67255C45">
        <w:tblPrEx>
          <w:tblCellMar>
            <w:top w:w="0" w:type="dxa"/>
            <w:left w:w="108" w:type="dxa"/>
            <w:bottom w:w="0" w:type="dxa"/>
            <w:right w:w="108" w:type="dxa"/>
          </w:tblCellMar>
        </w:tblPrEx>
        <w:trPr>
          <w:trHeight w:val="567" w:hRule="exact"/>
          <w:jc w:val="center"/>
        </w:trPr>
        <w:tc>
          <w:tcPr>
            <w:tcW w:w="4201" w:type="dxa"/>
            <w:noWrap w:val="0"/>
            <w:vAlign w:val="center"/>
          </w:tcPr>
          <w:p w14:paraId="54837BCF">
            <w:pPr>
              <w:autoSpaceDE w:val="0"/>
              <w:autoSpaceDN w:val="0"/>
              <w:adjustRightInd w:val="0"/>
              <w:rPr>
                <w:rFonts w:hint="eastAsia" w:ascii="仿宋_GB2312" w:hAnsi="宋体" w:eastAsia="仿宋_GB2312"/>
                <w:color w:val="auto"/>
                <w:spacing w:val="-20"/>
                <w:kern w:val="0"/>
                <w:sz w:val="28"/>
                <w:szCs w:val="28"/>
              </w:rPr>
            </w:pPr>
            <w:r>
              <w:rPr>
                <w:rFonts w:hint="eastAsia" w:ascii="仿宋_GB2312" w:hAnsi="宋体" w:eastAsia="仿宋_GB2312"/>
                <w:color w:val="auto"/>
                <w:spacing w:val="-20"/>
                <w:kern w:val="0"/>
                <w:sz w:val="28"/>
                <w:szCs w:val="28"/>
              </w:rPr>
              <w:t>电话：</w:t>
            </w:r>
          </w:p>
        </w:tc>
        <w:tc>
          <w:tcPr>
            <w:tcW w:w="4202" w:type="dxa"/>
            <w:noWrap w:val="0"/>
            <w:vAlign w:val="center"/>
          </w:tcPr>
          <w:p w14:paraId="6206C51D">
            <w:pPr>
              <w:autoSpaceDE w:val="0"/>
              <w:autoSpaceDN w:val="0"/>
              <w:adjustRightInd w:val="0"/>
              <w:ind w:left="720" w:hanging="720" w:hangingChars="300"/>
              <w:rPr>
                <w:rFonts w:hint="eastAsia" w:ascii="仿宋_GB2312" w:hAnsi="宋体" w:eastAsia="仿宋_GB2312"/>
                <w:color w:val="auto"/>
                <w:spacing w:val="-20"/>
                <w:kern w:val="0"/>
                <w:sz w:val="28"/>
                <w:szCs w:val="28"/>
              </w:rPr>
            </w:pPr>
            <w:r>
              <w:rPr>
                <w:rFonts w:hint="eastAsia" w:ascii="仿宋_GB2312" w:hAnsi="宋体" w:eastAsia="仿宋_GB2312"/>
                <w:color w:val="auto"/>
                <w:spacing w:val="-20"/>
                <w:kern w:val="0"/>
                <w:sz w:val="28"/>
                <w:szCs w:val="28"/>
              </w:rPr>
              <w:t>电话：</w:t>
            </w:r>
          </w:p>
        </w:tc>
      </w:tr>
      <w:tr w14:paraId="35F3DE1A">
        <w:tblPrEx>
          <w:tblCellMar>
            <w:top w:w="0" w:type="dxa"/>
            <w:left w:w="108" w:type="dxa"/>
            <w:bottom w:w="0" w:type="dxa"/>
            <w:right w:w="108" w:type="dxa"/>
          </w:tblCellMar>
        </w:tblPrEx>
        <w:trPr>
          <w:trHeight w:val="567" w:hRule="exact"/>
          <w:jc w:val="center"/>
        </w:trPr>
        <w:tc>
          <w:tcPr>
            <w:tcW w:w="4201" w:type="dxa"/>
            <w:noWrap w:val="0"/>
            <w:vAlign w:val="center"/>
          </w:tcPr>
          <w:p w14:paraId="0DB57542">
            <w:pPr>
              <w:autoSpaceDE w:val="0"/>
              <w:autoSpaceDN w:val="0"/>
              <w:adjustRightInd w:val="0"/>
              <w:rPr>
                <w:rFonts w:hint="eastAsia" w:ascii="仿宋_GB2312" w:hAnsi="宋体" w:eastAsia="仿宋_GB2312"/>
                <w:color w:val="auto"/>
                <w:spacing w:val="-20"/>
                <w:kern w:val="0"/>
                <w:sz w:val="28"/>
                <w:szCs w:val="28"/>
              </w:rPr>
            </w:pPr>
            <w:r>
              <w:rPr>
                <w:rFonts w:hint="eastAsia" w:ascii="仿宋_GB2312" w:hAnsi="宋体" w:eastAsia="仿宋_GB2312"/>
                <w:color w:val="auto"/>
                <w:spacing w:val="-20"/>
                <w:kern w:val="0"/>
                <w:sz w:val="28"/>
                <w:szCs w:val="28"/>
              </w:rPr>
              <w:t>传真：</w:t>
            </w:r>
          </w:p>
        </w:tc>
        <w:tc>
          <w:tcPr>
            <w:tcW w:w="4202" w:type="dxa"/>
            <w:noWrap w:val="0"/>
            <w:vAlign w:val="center"/>
          </w:tcPr>
          <w:p w14:paraId="69D9D323">
            <w:pPr>
              <w:autoSpaceDE w:val="0"/>
              <w:autoSpaceDN w:val="0"/>
              <w:adjustRightInd w:val="0"/>
              <w:rPr>
                <w:rFonts w:hint="eastAsia" w:ascii="仿宋_GB2312" w:hAnsi="宋体" w:eastAsia="仿宋_GB2312"/>
                <w:color w:val="auto"/>
                <w:spacing w:val="-20"/>
                <w:kern w:val="0"/>
                <w:sz w:val="28"/>
                <w:szCs w:val="28"/>
              </w:rPr>
            </w:pPr>
            <w:r>
              <w:rPr>
                <w:rFonts w:hint="eastAsia" w:ascii="仿宋_GB2312" w:hAnsi="宋体" w:eastAsia="仿宋_GB2312"/>
                <w:color w:val="auto"/>
                <w:spacing w:val="-20"/>
                <w:kern w:val="0"/>
                <w:sz w:val="28"/>
                <w:szCs w:val="28"/>
              </w:rPr>
              <w:t>传真：</w:t>
            </w:r>
          </w:p>
        </w:tc>
      </w:tr>
      <w:tr w14:paraId="361A81A5">
        <w:tblPrEx>
          <w:tblCellMar>
            <w:top w:w="0" w:type="dxa"/>
            <w:left w:w="108" w:type="dxa"/>
            <w:bottom w:w="0" w:type="dxa"/>
            <w:right w:w="108" w:type="dxa"/>
          </w:tblCellMar>
        </w:tblPrEx>
        <w:trPr>
          <w:trHeight w:val="567" w:hRule="exact"/>
          <w:jc w:val="center"/>
        </w:trPr>
        <w:tc>
          <w:tcPr>
            <w:tcW w:w="4201" w:type="dxa"/>
            <w:noWrap w:val="0"/>
            <w:vAlign w:val="center"/>
          </w:tcPr>
          <w:p w14:paraId="48B47DD3">
            <w:pPr>
              <w:autoSpaceDE w:val="0"/>
              <w:autoSpaceDN w:val="0"/>
              <w:adjustRightInd w:val="0"/>
              <w:rPr>
                <w:rFonts w:hint="eastAsia" w:ascii="仿宋_GB2312" w:hAnsi="宋体" w:eastAsia="仿宋_GB2312"/>
                <w:color w:val="auto"/>
                <w:spacing w:val="-20"/>
                <w:kern w:val="0"/>
                <w:sz w:val="28"/>
                <w:szCs w:val="28"/>
              </w:rPr>
            </w:pPr>
            <w:r>
              <w:rPr>
                <w:rFonts w:hint="eastAsia" w:ascii="仿宋_GB2312" w:hAnsi="宋体" w:eastAsia="仿宋_GB2312"/>
                <w:color w:val="auto"/>
                <w:spacing w:val="-20"/>
                <w:kern w:val="0"/>
                <w:sz w:val="28"/>
                <w:szCs w:val="28"/>
              </w:rPr>
              <w:t>开户银行：</w:t>
            </w:r>
          </w:p>
        </w:tc>
        <w:tc>
          <w:tcPr>
            <w:tcW w:w="4202" w:type="dxa"/>
            <w:noWrap w:val="0"/>
            <w:vAlign w:val="center"/>
          </w:tcPr>
          <w:p w14:paraId="76DD9356">
            <w:pPr>
              <w:autoSpaceDE w:val="0"/>
              <w:autoSpaceDN w:val="0"/>
              <w:adjustRightInd w:val="0"/>
              <w:rPr>
                <w:rFonts w:hint="eastAsia" w:ascii="仿宋_GB2312" w:hAnsi="宋体" w:eastAsia="仿宋_GB2312"/>
                <w:color w:val="auto"/>
                <w:spacing w:val="-20"/>
                <w:kern w:val="0"/>
                <w:sz w:val="28"/>
                <w:szCs w:val="28"/>
              </w:rPr>
            </w:pPr>
            <w:r>
              <w:rPr>
                <w:rFonts w:hint="eastAsia" w:ascii="仿宋_GB2312" w:hAnsi="宋体" w:eastAsia="仿宋_GB2312"/>
                <w:color w:val="auto"/>
                <w:spacing w:val="-20"/>
                <w:kern w:val="0"/>
                <w:sz w:val="28"/>
                <w:szCs w:val="28"/>
              </w:rPr>
              <w:t>开户银行：</w:t>
            </w:r>
          </w:p>
        </w:tc>
      </w:tr>
      <w:tr w14:paraId="4BD36C30">
        <w:tblPrEx>
          <w:tblCellMar>
            <w:top w:w="0" w:type="dxa"/>
            <w:left w:w="108" w:type="dxa"/>
            <w:bottom w:w="0" w:type="dxa"/>
            <w:right w:w="108" w:type="dxa"/>
          </w:tblCellMar>
        </w:tblPrEx>
        <w:trPr>
          <w:trHeight w:val="567" w:hRule="exact"/>
          <w:jc w:val="center"/>
        </w:trPr>
        <w:tc>
          <w:tcPr>
            <w:tcW w:w="4201" w:type="dxa"/>
            <w:noWrap w:val="0"/>
            <w:vAlign w:val="center"/>
          </w:tcPr>
          <w:p w14:paraId="549D989E">
            <w:pPr>
              <w:autoSpaceDE w:val="0"/>
              <w:autoSpaceDN w:val="0"/>
              <w:adjustRightInd w:val="0"/>
              <w:rPr>
                <w:rFonts w:hint="eastAsia" w:ascii="仿宋_GB2312" w:hAnsi="宋体" w:eastAsia="仿宋_GB2312"/>
                <w:color w:val="auto"/>
                <w:spacing w:val="-20"/>
                <w:kern w:val="0"/>
                <w:sz w:val="28"/>
                <w:szCs w:val="28"/>
              </w:rPr>
            </w:pPr>
            <w:r>
              <w:rPr>
                <w:rFonts w:hint="eastAsia" w:ascii="仿宋_GB2312" w:hAnsi="宋体" w:eastAsia="仿宋_GB2312"/>
                <w:color w:val="auto"/>
                <w:spacing w:val="-20"/>
                <w:kern w:val="0"/>
                <w:sz w:val="28"/>
                <w:szCs w:val="28"/>
              </w:rPr>
              <w:t>日期：</w:t>
            </w:r>
          </w:p>
        </w:tc>
        <w:tc>
          <w:tcPr>
            <w:tcW w:w="4202" w:type="dxa"/>
            <w:noWrap w:val="0"/>
            <w:vAlign w:val="center"/>
          </w:tcPr>
          <w:p w14:paraId="7E930ACE">
            <w:pPr>
              <w:autoSpaceDE w:val="0"/>
              <w:autoSpaceDN w:val="0"/>
              <w:adjustRightInd w:val="0"/>
              <w:rPr>
                <w:rFonts w:hint="eastAsia" w:ascii="仿宋_GB2312" w:hAnsi="宋体" w:eastAsia="仿宋_GB2312"/>
                <w:color w:val="auto"/>
                <w:spacing w:val="-20"/>
                <w:kern w:val="0"/>
                <w:sz w:val="28"/>
                <w:szCs w:val="28"/>
              </w:rPr>
            </w:pPr>
            <w:r>
              <w:rPr>
                <w:rFonts w:hint="eastAsia" w:ascii="仿宋_GB2312" w:hAnsi="宋体" w:eastAsia="仿宋_GB2312"/>
                <w:color w:val="auto"/>
                <w:spacing w:val="-20"/>
                <w:kern w:val="0"/>
                <w:sz w:val="28"/>
                <w:szCs w:val="28"/>
              </w:rPr>
              <w:t>日期：</w:t>
            </w:r>
          </w:p>
        </w:tc>
      </w:tr>
    </w:tbl>
    <w:p w14:paraId="7857DA32">
      <w:pPr>
        <w:keepNext w:val="0"/>
        <w:keepLines w:val="0"/>
        <w:pageBreakBefore w:val="0"/>
        <w:widowControl w:val="0"/>
        <w:kinsoku/>
        <w:wordWrap/>
        <w:overflowPunct/>
        <w:topLinePunct w:val="0"/>
        <w:bidi w:val="0"/>
        <w:spacing w:line="560" w:lineRule="exact"/>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小标宋简体">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1091F26"/>
    <w:rsid w:val="029C1412"/>
    <w:rsid w:val="047E2BDC"/>
    <w:rsid w:val="04AD7ABA"/>
    <w:rsid w:val="07554228"/>
    <w:rsid w:val="088B0AD2"/>
    <w:rsid w:val="08B82EF3"/>
    <w:rsid w:val="0CA43C19"/>
    <w:rsid w:val="10C352A4"/>
    <w:rsid w:val="14B37887"/>
    <w:rsid w:val="1E8D5F3B"/>
    <w:rsid w:val="20045859"/>
    <w:rsid w:val="22AF0896"/>
    <w:rsid w:val="22FB2867"/>
    <w:rsid w:val="22FE48A1"/>
    <w:rsid w:val="23002CC8"/>
    <w:rsid w:val="290944D9"/>
    <w:rsid w:val="29450034"/>
    <w:rsid w:val="29E259F5"/>
    <w:rsid w:val="2CF40789"/>
    <w:rsid w:val="2D23061C"/>
    <w:rsid w:val="2DB155D6"/>
    <w:rsid w:val="2F193C67"/>
    <w:rsid w:val="30332969"/>
    <w:rsid w:val="305425A9"/>
    <w:rsid w:val="32F94991"/>
    <w:rsid w:val="34651AF2"/>
    <w:rsid w:val="34FC549D"/>
    <w:rsid w:val="366E3E9D"/>
    <w:rsid w:val="3A102E54"/>
    <w:rsid w:val="3B6E0E98"/>
    <w:rsid w:val="3DF24001"/>
    <w:rsid w:val="435720D9"/>
    <w:rsid w:val="44E664AF"/>
    <w:rsid w:val="459B04FB"/>
    <w:rsid w:val="46784A78"/>
    <w:rsid w:val="475F17EC"/>
    <w:rsid w:val="4D6132AA"/>
    <w:rsid w:val="4E0B7D9B"/>
    <w:rsid w:val="50CA2930"/>
    <w:rsid w:val="51F233A7"/>
    <w:rsid w:val="54C774C4"/>
    <w:rsid w:val="58907E91"/>
    <w:rsid w:val="58DF3ACC"/>
    <w:rsid w:val="59C3741A"/>
    <w:rsid w:val="5B1E7567"/>
    <w:rsid w:val="5C440896"/>
    <w:rsid w:val="623C6124"/>
    <w:rsid w:val="661821AE"/>
    <w:rsid w:val="680C37D3"/>
    <w:rsid w:val="68FC4253"/>
    <w:rsid w:val="690A53D6"/>
    <w:rsid w:val="6AF83D38"/>
    <w:rsid w:val="6E4E7318"/>
    <w:rsid w:val="6FC32419"/>
    <w:rsid w:val="70443EED"/>
    <w:rsid w:val="7312139A"/>
    <w:rsid w:val="773B10EA"/>
    <w:rsid w:val="78571E88"/>
    <w:rsid w:val="78F637DD"/>
    <w:rsid w:val="7B864284"/>
    <w:rsid w:val="7BBB198C"/>
    <w:rsid w:val="7CA10B3D"/>
    <w:rsid w:val="7E342B22"/>
    <w:rsid w:val="7EC62364"/>
    <w:rsid w:val="7EF37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1"/>
    <w:qFormat/>
    <w:uiPriority w:val="0"/>
    <w:pPr>
      <w:keepNext/>
      <w:widowControl w:val="0"/>
      <w:jc w:val="center"/>
      <w:outlineLvl w:val="0"/>
    </w:pPr>
    <w:rPr>
      <w:rFonts w:ascii="黑体" w:eastAsia="黑体"/>
      <w:sz w:val="28"/>
    </w:rPr>
  </w:style>
  <w:style w:type="paragraph" w:styleId="3">
    <w:name w:val="heading 2"/>
    <w:basedOn w:val="1"/>
    <w:next w:val="1"/>
    <w:qFormat/>
    <w:uiPriority w:val="0"/>
    <w:pPr>
      <w:keepNext/>
      <w:widowControl w:val="0"/>
      <w:spacing w:line="720" w:lineRule="exact"/>
      <w:outlineLvl w:val="1"/>
    </w:pPr>
    <w:rPr>
      <w:rFonts w:ascii="黑体" w:hAnsi="黑体" w:eastAsia="楷体_GB2312"/>
      <w:sz w:val="28"/>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pPr>
      <w:jc w:val="center"/>
    </w:pPr>
  </w:style>
  <w:style w:type="paragraph" w:styleId="7">
    <w:name w:val="footer"/>
    <w:basedOn w:val="1"/>
    <w:qFormat/>
    <w:uiPriority w:val="0"/>
    <w:pPr>
      <w:tabs>
        <w:tab w:val="center" w:pos="4153"/>
        <w:tab w:val="right" w:pos="8306"/>
      </w:tabs>
      <w:snapToGrid w:val="0"/>
      <w:jc w:val="left"/>
    </w:pPr>
    <w:rPr>
      <w:sz w:val="18"/>
    </w:rPr>
  </w:style>
  <w:style w:type="paragraph" w:customStyle="1" w:styleId="10">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character" w:customStyle="1" w:styleId="11">
    <w:name w:val="标题 1 Char"/>
    <w:link w:val="2"/>
    <w:qFormat/>
    <w:uiPriority w:val="0"/>
    <w:rPr>
      <w:rFonts w:ascii="黑体" w:eastAsia="黑体"/>
      <w:sz w:val="28"/>
    </w:rPr>
  </w:style>
  <w:style w:type="paragraph" w:customStyle="1" w:styleId="12">
    <w:name w:val="p0"/>
    <w:basedOn w:val="1"/>
    <w:qFormat/>
    <w:uiPriority w:val="0"/>
    <w:pPr>
      <w:widowControl/>
      <w:jc w:val="left"/>
    </w:pPr>
    <w:rPr>
      <w:rFonts w:ascii="Calibri" w:hAnsi="Calibri"/>
      <w:kern w:val="0"/>
      <w:szCs w:val="21"/>
    </w:rPr>
  </w:style>
  <w:style w:type="paragraph" w:customStyle="1" w:styleId="13">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Table Text"/>
    <w:basedOn w:val="1"/>
    <w:semiHidden/>
    <w:qFormat/>
    <w:uiPriority w:val="0"/>
    <w:rPr>
      <w:rFonts w:ascii="宋体" w:hAnsi="宋体" w:eastAsia="宋体" w:cs="宋体"/>
      <w:sz w:val="24"/>
      <w:szCs w:val="24"/>
      <w:lang w:val="en-US" w:eastAsia="en-US" w:bidi="ar-SA"/>
    </w:rPr>
  </w:style>
  <w:style w:type="table" w:customStyle="1" w:styleId="1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3555</Words>
  <Characters>3594</Characters>
  <Lines>0</Lines>
  <Paragraphs>0</Paragraphs>
  <TotalTime>0</TotalTime>
  <ScaleCrop>false</ScaleCrop>
  <LinksUpToDate>false</LinksUpToDate>
  <CharactersWithSpaces>3691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2023-07-26T09:00:00Z</dcterms:created>
  <dc:creator>hc618</dc:creator>
  <cp:lastModifiedBy>陕西华采招标有限公司</cp:lastModifiedBy>
  <cp:lastPrinted>2025-04-01T07:59:00Z</cp:lastPrinted>
  <dcterms:modified xsi:type="dcterms:W3CDTF">2025-09-02T10:58:41Z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9E724B8E9A8F48279104D4476B7E9153_13</vt:lpwstr>
  </property>
  <property fmtid="{D5CDD505-2E9C-101B-9397-08002B2CF9AE}" pid="4" name="KSOTemplateDocerSaveRecord">
    <vt:lpwstr>eyJoZGlkIjoiZWMxNWU5MTM1NDJhMzM3NzZlNjAyMmRiMjcyMmY4OWYiLCJ1c2VySWQiOiI5MzY1NjA0ODAifQ==</vt:lpwstr>
  </property>
</Properties>
</file>