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版本号：SXMX-BP-CS-25-00120250904001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综合提升改造项目文物影响评估项目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SXMX-BP-CS-25-001</w:t>
      </w:r>
      <w:r>
        <w:br/>
      </w:r>
      <w:r>
        <w:br/>
      </w:r>
      <w:r>
        <w:br/>
      </w:r>
    </w:p>
    <w:p>
      <w:pPr>
        <w:pStyle w:val="null3"/>
        <w:jc w:val="center"/>
        <w:outlineLvl w:val="2"/>
      </w:pPr>
      <w:r>
        <w:rPr>
          <w:rFonts w:ascii="仿宋_GB2312" w:hAnsi="仿宋_GB2312" w:cs="仿宋_GB2312" w:eastAsia="仿宋_GB2312"/>
          <w:sz w:val="28"/>
          <w:b/>
        </w:rPr>
        <w:t>西安半坡博物馆</w:t>
      </w:r>
    </w:p>
    <w:p>
      <w:pPr>
        <w:pStyle w:val="null3"/>
        <w:jc w:val="center"/>
        <w:outlineLvl w:val="2"/>
      </w:pPr>
      <w:r>
        <w:rPr>
          <w:rFonts w:ascii="仿宋_GB2312" w:hAnsi="仿宋_GB2312" w:cs="仿宋_GB2312" w:eastAsia="仿宋_GB2312"/>
          <w:sz w:val="28"/>
          <w:b/>
        </w:rPr>
        <w:t>四川铭信工程招标咨询有限公司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四川铭信工程招标咨询有限公司</w:t>
      </w:r>
      <w:r>
        <w:rPr>
          <w:rFonts w:ascii="仿宋_GB2312" w:hAnsi="仿宋_GB2312" w:cs="仿宋_GB2312" w:eastAsia="仿宋_GB2312"/>
        </w:rPr>
        <w:t>（以下简称“代理机构”）受</w:t>
      </w:r>
      <w:r>
        <w:rPr>
          <w:rFonts w:ascii="仿宋_GB2312" w:hAnsi="仿宋_GB2312" w:cs="仿宋_GB2312" w:eastAsia="仿宋_GB2312"/>
        </w:rPr>
        <w:t>西安半坡博物馆</w:t>
      </w:r>
      <w:r>
        <w:rPr>
          <w:rFonts w:ascii="仿宋_GB2312" w:hAnsi="仿宋_GB2312" w:cs="仿宋_GB2312" w:eastAsia="仿宋_GB2312"/>
        </w:rPr>
        <w:t>委托，拟对</w:t>
      </w:r>
      <w:r>
        <w:rPr>
          <w:rFonts w:ascii="仿宋_GB2312" w:hAnsi="仿宋_GB2312" w:cs="仿宋_GB2312" w:eastAsia="仿宋_GB2312"/>
        </w:rPr>
        <w:t>综合提升改造项目文物影响评估项目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SXMX-BP-CS-25-001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综合提升改造项目文物影响评估项目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按照甲方要求对拟提升改造区域进行文物影响评估，为今后建设项目的实施与相关文物资源的保护提供可靠的依据。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采购包1（西安半坡博物馆综合提升改造项目文物影响评估项目）：属于专门面向中小企业采购。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1、供应商资质要求：投标人需具有文物保护工程勘察设计乙级及以上资质；（提供扫描件或复印件并加盖公章）</w:t>
      </w:r>
    </w:p>
    <w:p>
      <w:pPr>
        <w:pStyle w:val="null3"/>
      </w:pPr>
      <w:r>
        <w:rPr>
          <w:rFonts w:ascii="仿宋_GB2312" w:hAnsi="仿宋_GB2312" w:cs="仿宋_GB2312" w:eastAsia="仿宋_GB2312"/>
        </w:rPr>
        <w:t>2、信誉要求：截止至响应文件递交截止时间之前，供应商未在“信用中国”网站（www.creditchina.gov.cn）中被列入“信用服务”查询栏目中失信被执行人以及重大税收违法失信主体名单；未被列“中国政府采购网(www.ccgp.gov.cn)”政府采购严重违法失信行为记录名单。</w:t>
      </w:r>
    </w:p>
    <w:p>
      <w:pPr>
        <w:pStyle w:val="null3"/>
      </w:pPr>
      <w:r>
        <w:rPr>
          <w:rFonts w:ascii="仿宋_GB2312" w:hAnsi="仿宋_GB2312" w:cs="仿宋_GB2312" w:eastAsia="仿宋_GB2312"/>
        </w:rPr>
        <w:t>3、磋商授权代表：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4、是否面向中、小企业采购：本项目为专门面向中、小企业项目，供应商应为中型企业或小型企业或微型企业。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西安半坡博物馆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西安市东郊半坡路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西安半坡博物馆经办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13521915727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四川铭信工程招标咨询有限公司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四川省成都市武侯区成都市高新区高朋大道21号，西安市高新区科技五路数字大厦1606室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18502987024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开户名称：四川铭信工程招标咨询有限公司</w:t>
            </w:r>
          </w:p>
          <w:p>
            <w:pPr>
              <w:pStyle w:val="null3"/>
            </w:pPr>
            <w:r>
              <w:rPr>
                <w:rFonts w:ascii="仿宋_GB2312" w:hAnsi="仿宋_GB2312" w:cs="仿宋_GB2312" w:eastAsia="仿宋_GB2312"/>
              </w:rPr>
              <w:t>开户银行：成都银行高升桥支行</w:t>
            </w:r>
          </w:p>
          <w:p>
            <w:pPr>
              <w:pStyle w:val="null3"/>
            </w:pPr>
            <w:r>
              <w:rPr>
                <w:rFonts w:ascii="仿宋_GB2312" w:hAnsi="仿宋_GB2312" w:cs="仿宋_GB2312" w:eastAsia="仿宋_GB2312"/>
              </w:rPr>
              <w:t>银行账号：1001300000379923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确定成交供应商后3日内，由成交供应商按国家计委颁发的《招标代理服务收费管理暂行办法》（计价格[2002]1980号）和国家发展改革委员会办公厅颁发的《关于招标代理服务收费有关问题的通知》（发改办价格[2003] 857号）的有关规定，向采购代理机构一次付清招标代理服务费。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西安半坡博物馆</w:t>
      </w:r>
      <w:r>
        <w:rPr>
          <w:rFonts w:ascii="仿宋_GB2312" w:hAnsi="仿宋_GB2312" w:cs="仿宋_GB2312" w:eastAsia="仿宋_GB2312"/>
        </w:rPr>
        <w:t>和</w:t>
      </w:r>
      <w:r>
        <w:rPr>
          <w:rFonts w:ascii="仿宋_GB2312" w:hAnsi="仿宋_GB2312" w:cs="仿宋_GB2312" w:eastAsia="仿宋_GB2312"/>
        </w:rPr>
        <w:t>四川铭信工程招标咨询有限公司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西安半坡博物馆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四川铭信工程招标咨询有限公司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西安半坡博物馆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四川铭信工程招标咨询有限公司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和磋商文件的要求、供应商提交的磋商响应文件、合同以及国家标准与行业规范的标准和规定执行;在实施过程中，如果国家或有关部门颁布了新的标准和规定，则供应商应采用新的标准和规定进行实施。</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四川铭信工程招标咨询有限公司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四川铭信工程招标咨询有限公司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四川铭信工程招标咨询有限公司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联系人：魏颖</w:t>
      </w:r>
    </w:p>
    <w:p>
      <w:pPr>
        <w:pStyle w:val="null3"/>
      </w:pPr>
      <w:r>
        <w:rPr>
          <w:rFonts w:ascii="仿宋_GB2312" w:hAnsi="仿宋_GB2312" w:cs="仿宋_GB2312" w:eastAsia="仿宋_GB2312"/>
        </w:rPr>
        <w:t>联系电话：18502987024</w:t>
      </w:r>
    </w:p>
    <w:p>
      <w:pPr>
        <w:pStyle w:val="null3"/>
      </w:pPr>
      <w:r>
        <w:rPr>
          <w:rFonts w:ascii="仿宋_GB2312" w:hAnsi="仿宋_GB2312" w:cs="仿宋_GB2312" w:eastAsia="仿宋_GB2312"/>
        </w:rPr>
        <w:t>地址：西安市高新区科技五路数字大厦1606室</w:t>
      </w:r>
    </w:p>
    <w:p>
      <w:pPr>
        <w:pStyle w:val="null3"/>
      </w:pPr>
      <w:r>
        <w:rPr>
          <w:rFonts w:ascii="仿宋_GB2312" w:hAnsi="仿宋_GB2312" w:cs="仿宋_GB2312" w:eastAsia="仿宋_GB2312"/>
        </w:rPr>
        <w:t>邮编：710100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按照甲方要求对拟提升改造区域进行文物影响评估，为今后建设项目的实施与相关文物资源的保护提供可靠的依据。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西安半坡博物馆综合提升改造项目文物影响评估项目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标的名称：西安半坡博物馆综合提升改造项目文物影响评估项目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次文物影响评估工作将严格依据国家文物保护相关法律法规及技术标准，针对西安半坡博物馆综合提升改造项目（含新建、改造及环境整治区域）开展全面、科学的评估。评估需通过现场勘察与数据采集，分析项目实施对遗址保存环境及整体风貌的影响，并就文物保护提出专业性建议与意见。最终成果《文物影响评估报告》须符合国家有关规范要求，内容客观、数据准确、结论清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和磋商文件的要求、供应商提交的磋商响应文件、合同以及国家标准与行业规范的标准和规定执行；在实施过程中，如果国家或有关部门颁布了新的标准和规定，则供应商应采用新的标准和规定进行实施。</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34.50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乙方完成报告编制并向甲方提交正式成果文件，且该成果文件通过甲方验收后，待下一批专项资金下达后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65.50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投标人需具有文物保护工程勘察设计乙级及以上资质；（提供扫描件或复印件并加盖公章）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在“信用中国”网站（www.creditchina.gov.cn）中被列入“信用服务”查询栏目中失信被执行人以及重大税收违法失信主体名单；未被列“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磋商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本项目为专门面向中、小企业项目，供应商应为中型企业或小型企业或微型企业。</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服务方案：根据本项目的服务内容，列出对文物影响评估报告等工作的整体思路，包含资料的收集、调查评估、编制和修改等，由磋商小组按评审优劣自主赋分。 完善、合理、齐全：[12-15)，一般：[6-12)，差：[0-6)。</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从拟投入本项目服务团队人员数量、组成结构、从业经验等方面进行综合比较，由磋商小组按评审优劣自主赋分。组织结构合理、专业配备齐全、人员分工明确、熟悉半坡遗址情况或参与相关工作：[8-10]，组织结构较合理、专业配备较齐全、人员分工明确一般、较熟悉半坡遗址情况或参与相关工作：[4-8），组织结构欠合理、专业配备欠齐全、人员分工明确差：[0-4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进度计划保证措施</w:t>
            </w:r>
          </w:p>
        </w:tc>
        <w:tc>
          <w:tcPr>
            <w:tcW w:type="dxa" w:w="2492"/>
          </w:tcPr>
          <w:p>
            <w:pPr>
              <w:pStyle w:val="null3"/>
            </w:pPr>
            <w:r>
              <w:rPr>
                <w:rFonts w:ascii="仿宋_GB2312" w:hAnsi="仿宋_GB2312" w:cs="仿宋_GB2312" w:eastAsia="仿宋_GB2312"/>
              </w:rPr>
              <w:t>根据项目需求，制定进度计划确保本项目能够保质保量如期完成，由磋商小组按评审优劣自主赋分。项目实施进度安排合理，保障措施科学、合理、衔接紧密：[8-10]，项目实施进度安排及保障措施较合理，衔接较紧密：[4-8）, 项目实施进度安排及保障措施合理性一般，衔接不紧密：[0-4）。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制定详细可行的质量保障措施，由磋商小组按评审优劣自主赋分。 详细、合理：[8-10]，一般：[4-8）,差：[0-4）。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对项目重点、难点等关键技术问题的认识、分析及解决方案</w:t>
            </w:r>
          </w:p>
        </w:tc>
        <w:tc>
          <w:tcPr>
            <w:tcW w:type="dxa" w:w="2492"/>
          </w:tcPr>
          <w:p>
            <w:pPr>
              <w:pStyle w:val="null3"/>
            </w:pPr>
            <w:r>
              <w:rPr>
                <w:rFonts w:ascii="仿宋_GB2312" w:hAnsi="仿宋_GB2312" w:cs="仿宋_GB2312" w:eastAsia="仿宋_GB2312"/>
              </w:rPr>
              <w:t>对项目重点、难点等关键技术问题的认识、分析及解决方案，由磋商小组按评审优劣自主赋分。重点突出、难点分析到位、解决方案合理且针对性强：[8-10]，一般：[4-8），差：[0-4）。</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服务承诺及服务措施</w:t>
            </w:r>
          </w:p>
        </w:tc>
        <w:tc>
          <w:tcPr>
            <w:tcW w:type="dxa" w:w="2492"/>
          </w:tcPr>
          <w:p>
            <w:pPr>
              <w:pStyle w:val="null3"/>
            </w:pPr>
            <w:r>
              <w:rPr>
                <w:rFonts w:ascii="仿宋_GB2312" w:hAnsi="仿宋_GB2312" w:cs="仿宋_GB2312" w:eastAsia="仿宋_GB2312"/>
              </w:rPr>
              <w:t>服务承诺及服务措施，包含后续相关服务内容详尽、合理，由磋商小组按评审优劣自主赋分。内容详尽、针对性强：[12-15]，一般：[6-12）,差: [0-6）。</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提供2021年11月至今同类项目业绩，以合同协议书为准，每份计2分，计满10分为止。（提供合同复印件加盖单位公章）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以本次满足竞争性磋商文件要求且最后报价最低的投标人的价格为磋商基准价，其价格为满分。其他投标人的报价得分按下列公式计算: 报价得分=（磋商基准价/最终磋商报价）×价格权值×100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详见附件：文评合同模板（9.4）.docx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