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79789B">
      <w:pPr>
        <w:pStyle w:val="4"/>
        <w:rPr>
          <w:rFonts w:hint="eastAsia"/>
          <w:color w:val="000000"/>
          <w:sz w:val="18"/>
          <w:highlight w:val="none"/>
        </w:rPr>
      </w:pPr>
    </w:p>
    <w:p w14:paraId="13AD4C28">
      <w:pPr>
        <w:pStyle w:val="4"/>
        <w:rPr>
          <w:rFonts w:hint="eastAsia"/>
          <w:color w:val="000000"/>
          <w:sz w:val="18"/>
          <w:highlight w:val="none"/>
        </w:rPr>
      </w:pPr>
    </w:p>
    <w:p w14:paraId="2FF18476">
      <w:pPr>
        <w:pStyle w:val="4"/>
        <w:rPr>
          <w:rFonts w:hint="eastAsia"/>
          <w:color w:val="000000"/>
          <w:sz w:val="18"/>
          <w:highlight w:val="none"/>
        </w:rPr>
      </w:pPr>
    </w:p>
    <w:p w14:paraId="172AC87C">
      <w:pPr>
        <w:pStyle w:val="4"/>
        <w:rPr>
          <w:rFonts w:hint="eastAsia"/>
          <w:color w:val="000000"/>
          <w:sz w:val="18"/>
          <w:highlight w:val="none"/>
        </w:rPr>
      </w:pPr>
    </w:p>
    <w:p w14:paraId="7CEB7E72">
      <w:pPr>
        <w:pStyle w:val="4"/>
        <w:rPr>
          <w:rFonts w:hint="eastAsia"/>
          <w:color w:val="000000"/>
          <w:sz w:val="18"/>
          <w:highlight w:val="none"/>
        </w:rPr>
      </w:pPr>
    </w:p>
    <w:p w14:paraId="2BB289D8">
      <w:pPr>
        <w:pStyle w:val="4"/>
        <w:rPr>
          <w:rFonts w:hint="eastAsia"/>
          <w:color w:val="000000"/>
          <w:sz w:val="18"/>
          <w:highlight w:val="none"/>
        </w:rPr>
      </w:pPr>
    </w:p>
    <w:p w14:paraId="39D0D94F">
      <w:pPr>
        <w:pStyle w:val="4"/>
        <w:rPr>
          <w:rFonts w:hint="eastAsia"/>
          <w:color w:val="000000"/>
          <w:sz w:val="18"/>
          <w:highlight w:val="none"/>
        </w:rPr>
      </w:pPr>
    </w:p>
    <w:p w14:paraId="24D821BD">
      <w:pPr>
        <w:jc w:val="center"/>
        <w:rPr>
          <w:rFonts w:hint="eastAsia" w:eastAsia="黑体"/>
          <w:b/>
          <w:bCs/>
          <w:color w:val="000000"/>
          <w:sz w:val="36"/>
          <w:highlight w:val="none"/>
        </w:rPr>
      </w:pPr>
      <w:r>
        <w:rPr>
          <w:rFonts w:hint="eastAsia" w:eastAsia="黑体"/>
          <w:b/>
          <w:bCs/>
          <w:color w:val="000000"/>
          <w:sz w:val="36"/>
          <w:highlight w:val="none"/>
          <w:lang w:eastAsia="zh-Hans"/>
        </w:rPr>
        <w:t>文物影响评估报告</w:t>
      </w:r>
    </w:p>
    <w:p w14:paraId="17A150AE">
      <w:pPr>
        <w:pStyle w:val="4"/>
        <w:jc w:val="center"/>
        <w:rPr>
          <w:rFonts w:hint="eastAsia" w:ascii="黑体" w:hAnsi="华文中宋" w:eastAsia="黑体"/>
          <w:b/>
          <w:bCs/>
          <w:color w:val="000000"/>
          <w:sz w:val="52"/>
          <w:highlight w:val="none"/>
        </w:rPr>
      </w:pPr>
      <w:r>
        <w:rPr>
          <w:rFonts w:hint="eastAsia" w:ascii="黑体" w:hAnsi="华文中宋" w:eastAsia="黑体"/>
          <w:b/>
          <w:bCs/>
          <w:color w:val="000000"/>
          <w:sz w:val="52"/>
          <w:highlight w:val="none"/>
        </w:rPr>
        <w:t>合 同 书</w:t>
      </w:r>
    </w:p>
    <w:p w14:paraId="7B1D1631">
      <w:pPr>
        <w:pStyle w:val="4"/>
        <w:jc w:val="center"/>
        <w:rPr>
          <w:rFonts w:hint="eastAsia" w:ascii="黑体" w:eastAsia="黑体"/>
          <w:color w:val="000000"/>
          <w:sz w:val="30"/>
          <w:highlight w:val="none"/>
        </w:rPr>
      </w:pPr>
      <w:bookmarkStart w:id="0" w:name="_GoBack"/>
      <w:bookmarkEnd w:id="0"/>
    </w:p>
    <w:p w14:paraId="2CA0CF1E">
      <w:pPr>
        <w:pStyle w:val="4"/>
        <w:tabs>
          <w:tab w:val="left" w:pos="2506"/>
        </w:tabs>
        <w:ind w:firstLine="1264" w:firstLineChars="300"/>
        <w:rPr>
          <w:rFonts w:hint="eastAsia" w:ascii="华文中宋" w:eastAsia="仿宋_GB2312"/>
          <w:b/>
          <w:bCs/>
          <w:color w:val="000000"/>
          <w:spacing w:val="60"/>
          <w:sz w:val="30"/>
          <w:highlight w:val="none"/>
        </w:rPr>
      </w:pPr>
    </w:p>
    <w:p w14:paraId="53981CBB">
      <w:pPr>
        <w:autoSpaceDE w:val="0"/>
        <w:autoSpaceDN w:val="0"/>
        <w:adjustRightInd w:val="0"/>
        <w:spacing w:line="360" w:lineRule="auto"/>
        <w:ind w:left="3189" w:leftChars="590" w:hanging="1950" w:hangingChars="463"/>
        <w:rPr>
          <w:rFonts w:hint="eastAsia" w:eastAsia="仿宋_GB2312"/>
          <w:b/>
          <w:bCs/>
          <w:color w:val="000000"/>
          <w:sz w:val="30"/>
          <w:highlight w:val="none"/>
          <w:lang w:eastAsia="zh-CN"/>
        </w:rPr>
      </w:pPr>
      <w:r>
        <w:rPr>
          <w:rFonts w:hint="eastAsia" w:ascii="华文中宋" w:eastAsia="仿宋_GB2312"/>
          <w:b/>
          <w:bCs/>
          <w:color w:val="000000"/>
          <w:spacing w:val="60"/>
          <w:sz w:val="30"/>
          <w:highlight w:val="none"/>
        </w:rPr>
        <w:t>项目名称</w:t>
      </w:r>
      <w:r>
        <w:rPr>
          <w:rFonts w:hint="eastAsia" w:eastAsia="仿宋_GB2312"/>
          <w:b/>
          <w:bCs/>
          <w:color w:val="000000"/>
          <w:sz w:val="30"/>
          <w:highlight w:val="none"/>
        </w:rPr>
        <w:t>：</w:t>
      </w:r>
      <w:r>
        <w:rPr>
          <w:rFonts w:hint="eastAsia" w:eastAsia="仿宋_GB2312"/>
          <w:b/>
          <w:bCs/>
          <w:color w:val="000000"/>
          <w:sz w:val="30"/>
          <w:highlight w:val="none"/>
          <w:lang w:val="en-US" w:eastAsia="zh-CN"/>
        </w:rPr>
        <w:t xml:space="preserve">西安半坡博物馆综合提升改造项目文物影响评估 </w:t>
      </w:r>
    </w:p>
    <w:p w14:paraId="7E1B680B">
      <w:pPr>
        <w:autoSpaceDE w:val="0"/>
        <w:autoSpaceDN w:val="0"/>
        <w:adjustRightInd w:val="0"/>
        <w:spacing w:line="360" w:lineRule="auto"/>
        <w:ind w:left="2633" w:leftChars="590" w:hanging="1394" w:hangingChars="463"/>
        <w:rPr>
          <w:rFonts w:hint="eastAsia" w:eastAsia="仿宋_GB2312"/>
          <w:b/>
          <w:bCs/>
          <w:color w:val="000000"/>
          <w:sz w:val="30"/>
          <w:highlight w:val="none"/>
        </w:rPr>
      </w:pPr>
    </w:p>
    <w:p w14:paraId="4688290F">
      <w:pPr>
        <w:tabs>
          <w:tab w:val="left" w:pos="2506"/>
        </w:tabs>
        <w:ind w:firstLine="1264" w:firstLineChars="300"/>
        <w:rPr>
          <w:rFonts w:hint="eastAsia" w:eastAsia="仿宋_GB2312"/>
          <w:b/>
          <w:bCs/>
          <w:color w:val="000000"/>
          <w:sz w:val="30"/>
          <w:highlight w:val="none"/>
        </w:rPr>
      </w:pPr>
      <w:r>
        <w:rPr>
          <w:rFonts w:hint="eastAsia" w:ascii="华文中宋" w:eastAsia="仿宋_GB2312"/>
          <w:b/>
          <w:bCs/>
          <w:color w:val="000000"/>
          <w:spacing w:val="60"/>
          <w:sz w:val="30"/>
          <w:highlight w:val="none"/>
        </w:rPr>
        <w:t>项目地址</w:t>
      </w:r>
      <w:r>
        <w:rPr>
          <w:rFonts w:hint="eastAsia" w:eastAsia="仿宋_GB2312"/>
          <w:b/>
          <w:bCs/>
          <w:color w:val="000000"/>
          <w:sz w:val="30"/>
          <w:highlight w:val="none"/>
        </w:rPr>
        <w:t>：陕西省西安市</w:t>
      </w:r>
    </w:p>
    <w:p w14:paraId="03B2C2E2">
      <w:pPr>
        <w:pStyle w:val="4"/>
        <w:ind w:firstLine="600" w:firstLineChars="200"/>
        <w:rPr>
          <w:rFonts w:hint="eastAsia" w:ascii="华文中宋" w:eastAsia="仿宋_GB2312"/>
          <w:b/>
          <w:bCs/>
          <w:color w:val="000000"/>
          <w:sz w:val="18"/>
          <w:szCs w:val="18"/>
          <w:highlight w:val="none"/>
        </w:rPr>
      </w:pPr>
      <w:r>
        <w:rPr>
          <w:rFonts w:hint="eastAsia" w:ascii="华文中宋" w:eastAsia="仿宋_GB2312"/>
          <w:color w:val="000000"/>
          <w:sz w:val="30"/>
          <w:highlight w:val="none"/>
        </w:rPr>
        <w:t xml:space="preserve"> </w:t>
      </w:r>
      <w:r>
        <w:rPr>
          <w:rFonts w:hint="eastAsia" w:ascii="华文中宋" w:eastAsia="仿宋_GB2312"/>
          <w:b/>
          <w:bCs/>
          <w:color w:val="000000"/>
          <w:sz w:val="30"/>
          <w:highlight w:val="none"/>
        </w:rPr>
        <w:t xml:space="preserve">                   </w:t>
      </w:r>
    </w:p>
    <w:p w14:paraId="17EAC564">
      <w:pPr>
        <w:pStyle w:val="4"/>
        <w:ind w:firstLine="361" w:firstLineChars="200"/>
        <w:rPr>
          <w:rFonts w:hint="eastAsia" w:ascii="华文中宋" w:eastAsia="仿宋_GB2312"/>
          <w:b/>
          <w:bCs/>
          <w:color w:val="000000"/>
          <w:sz w:val="18"/>
          <w:szCs w:val="18"/>
          <w:highlight w:val="none"/>
        </w:rPr>
      </w:pPr>
    </w:p>
    <w:p w14:paraId="499C4561">
      <w:pPr>
        <w:pStyle w:val="4"/>
        <w:tabs>
          <w:tab w:val="left" w:pos="2506"/>
        </w:tabs>
        <w:ind w:left="3543" w:leftChars="600" w:hanging="2283" w:hangingChars="542"/>
        <w:rPr>
          <w:rFonts w:hint="default" w:ascii="Times New Roman" w:hAnsi="Times New Roman" w:eastAsia="仿宋_GB2312" w:cs="Times New Roman"/>
          <w:b/>
          <w:bCs/>
          <w:color w:val="000000"/>
          <w:sz w:val="30"/>
          <w:szCs w:val="24"/>
          <w:highlight w:val="none"/>
          <w:lang w:val="en-US" w:eastAsia="zh-CN"/>
        </w:rPr>
      </w:pPr>
      <w:r>
        <w:rPr>
          <w:rFonts w:hint="eastAsia" w:ascii="华文中宋" w:eastAsia="仿宋_GB2312"/>
          <w:b/>
          <w:bCs/>
          <w:color w:val="000000"/>
          <w:spacing w:val="60"/>
          <w:sz w:val="30"/>
          <w:highlight w:val="none"/>
        </w:rPr>
        <w:t xml:space="preserve">甲    </w:t>
      </w:r>
      <w:r>
        <w:rPr>
          <w:rFonts w:hint="eastAsia" w:ascii="Times New Roman" w:hAnsi="Times New Roman" w:eastAsia="仿宋_GB2312" w:cs="Times New Roman"/>
          <w:b/>
          <w:bCs/>
          <w:color w:val="000000"/>
          <w:sz w:val="30"/>
          <w:szCs w:val="24"/>
          <w:highlight w:val="none"/>
        </w:rPr>
        <w:t>方：</w:t>
      </w:r>
      <w:r>
        <w:rPr>
          <w:rFonts w:hint="eastAsia" w:ascii="Times New Roman" w:hAnsi="Times New Roman" w:eastAsia="仿宋_GB2312" w:cs="Times New Roman"/>
          <w:b/>
          <w:bCs/>
          <w:color w:val="000000"/>
          <w:sz w:val="30"/>
          <w:szCs w:val="24"/>
          <w:highlight w:val="none"/>
          <w:lang w:val="en-US" w:eastAsia="zh-CN"/>
        </w:rPr>
        <w:t xml:space="preserve"> 西安半坡博物馆</w:t>
      </w:r>
    </w:p>
    <w:p w14:paraId="2365B742">
      <w:pPr>
        <w:pStyle w:val="4"/>
        <w:tabs>
          <w:tab w:val="left" w:pos="2506"/>
        </w:tabs>
        <w:ind w:left="2892" w:leftChars="600" w:hanging="1632" w:hangingChars="542"/>
        <w:rPr>
          <w:rFonts w:ascii="Times New Roman" w:hAnsi="Times New Roman" w:eastAsia="仿宋_GB2312" w:cs="Times New Roman"/>
          <w:b/>
          <w:bCs/>
          <w:color w:val="000000"/>
          <w:sz w:val="30"/>
          <w:szCs w:val="24"/>
          <w:highlight w:val="none"/>
        </w:rPr>
      </w:pPr>
    </w:p>
    <w:p w14:paraId="2EF8C61A">
      <w:pPr>
        <w:pStyle w:val="4"/>
        <w:tabs>
          <w:tab w:val="left" w:pos="2506"/>
        </w:tabs>
        <w:ind w:firstLine="1264" w:firstLineChars="300"/>
        <w:rPr>
          <w:rFonts w:hint="eastAsia" w:ascii="华文中宋" w:eastAsia="仿宋_GB2312"/>
          <w:b/>
          <w:bCs/>
          <w:color w:val="000000"/>
          <w:sz w:val="32"/>
          <w:highlight w:val="none"/>
        </w:rPr>
      </w:pPr>
      <w:r>
        <w:rPr>
          <w:rFonts w:hint="eastAsia" w:ascii="华文中宋" w:eastAsia="仿宋_GB2312"/>
          <w:b/>
          <w:bCs/>
          <w:color w:val="000000"/>
          <w:spacing w:val="60"/>
          <w:sz w:val="30"/>
          <w:highlight w:val="none"/>
        </w:rPr>
        <w:t xml:space="preserve">乙    </w:t>
      </w:r>
      <w:r>
        <w:rPr>
          <w:rFonts w:hint="eastAsia" w:ascii="Times New Roman" w:hAnsi="Times New Roman" w:eastAsia="仿宋_GB2312" w:cs="Times New Roman"/>
          <w:b/>
          <w:bCs/>
          <w:color w:val="000000"/>
          <w:sz w:val="30"/>
          <w:szCs w:val="24"/>
          <w:highlight w:val="none"/>
        </w:rPr>
        <w:t>方：</w:t>
      </w:r>
    </w:p>
    <w:p w14:paraId="60AF4FAB">
      <w:pPr>
        <w:pStyle w:val="4"/>
        <w:tabs>
          <w:tab w:val="left" w:pos="2506"/>
        </w:tabs>
        <w:ind w:firstLine="964" w:firstLineChars="300"/>
        <w:rPr>
          <w:rFonts w:hint="eastAsia" w:ascii="华文中宋" w:eastAsia="仿宋_GB2312"/>
          <w:b/>
          <w:bCs/>
          <w:color w:val="000000"/>
          <w:sz w:val="32"/>
          <w:highlight w:val="none"/>
        </w:rPr>
      </w:pPr>
    </w:p>
    <w:p w14:paraId="057D69A2">
      <w:pPr>
        <w:rPr>
          <w:rFonts w:hint="eastAsia" w:ascii="华文中宋" w:eastAsia="仿宋_GB2312"/>
          <w:b/>
          <w:bCs/>
          <w:color w:val="000000"/>
          <w:spacing w:val="60"/>
          <w:sz w:val="18"/>
          <w:szCs w:val="18"/>
          <w:highlight w:val="none"/>
        </w:rPr>
      </w:pPr>
    </w:p>
    <w:p w14:paraId="46B9C91F">
      <w:pPr>
        <w:rPr>
          <w:rFonts w:hint="eastAsia" w:ascii="华文中宋" w:eastAsia="仿宋_GB2312"/>
          <w:b/>
          <w:bCs/>
          <w:color w:val="000000"/>
          <w:spacing w:val="60"/>
          <w:sz w:val="18"/>
          <w:szCs w:val="18"/>
          <w:highlight w:val="none"/>
        </w:rPr>
      </w:pPr>
    </w:p>
    <w:p w14:paraId="149EB804">
      <w:pPr>
        <w:rPr>
          <w:rFonts w:hint="eastAsia" w:ascii="华文中宋" w:eastAsia="仿宋_GB2312"/>
          <w:b/>
          <w:bCs/>
          <w:color w:val="000000"/>
          <w:spacing w:val="60"/>
          <w:sz w:val="18"/>
          <w:szCs w:val="18"/>
          <w:highlight w:val="none"/>
        </w:rPr>
      </w:pPr>
    </w:p>
    <w:p w14:paraId="47C4528A">
      <w:pPr>
        <w:ind w:firstLine="1264" w:firstLineChars="300"/>
        <w:rPr>
          <w:rFonts w:hint="eastAsia" w:ascii="华文中宋" w:hAnsi="Courier New" w:eastAsia="仿宋_GB2312" w:cs="Courier New"/>
          <w:b/>
          <w:bCs/>
          <w:color w:val="000000"/>
          <w:sz w:val="32"/>
          <w:szCs w:val="21"/>
          <w:highlight w:val="none"/>
        </w:rPr>
      </w:pPr>
      <w:r>
        <w:rPr>
          <w:rFonts w:hint="eastAsia" w:ascii="华文中宋" w:eastAsia="仿宋_GB2312"/>
          <w:b/>
          <w:bCs/>
          <w:color w:val="000000"/>
          <w:spacing w:val="60"/>
          <w:sz w:val="30"/>
          <w:highlight w:val="none"/>
        </w:rPr>
        <w:t>签订日期</w:t>
      </w:r>
      <w:r>
        <w:rPr>
          <w:rFonts w:hint="eastAsia" w:eastAsia="仿宋_GB2312"/>
          <w:color w:val="000000"/>
          <w:spacing w:val="120"/>
          <w:sz w:val="32"/>
          <w:highlight w:val="none"/>
        </w:rPr>
        <w:t>：</w:t>
      </w:r>
      <w:r>
        <w:rPr>
          <w:rFonts w:hint="eastAsia" w:ascii="华文中宋" w:hAnsi="Courier New" w:eastAsia="仿宋_GB2312" w:cs="Courier New"/>
          <w:b/>
          <w:bCs/>
          <w:color w:val="000000"/>
          <w:sz w:val="32"/>
          <w:szCs w:val="21"/>
          <w:highlight w:val="none"/>
        </w:rPr>
        <w:t>202</w:t>
      </w:r>
      <w:r>
        <w:rPr>
          <w:rFonts w:hint="eastAsia" w:ascii="华文中宋" w:hAnsi="Courier New" w:eastAsia="仿宋_GB2312" w:cs="Courier New"/>
          <w:b/>
          <w:bCs/>
          <w:color w:val="000000"/>
          <w:sz w:val="32"/>
          <w:szCs w:val="21"/>
          <w:highlight w:val="none"/>
          <w:lang w:val="en-US" w:eastAsia="zh-CN"/>
        </w:rPr>
        <w:t>5</w:t>
      </w:r>
      <w:r>
        <w:rPr>
          <w:rFonts w:hint="eastAsia" w:ascii="华文中宋" w:hAnsi="Courier New" w:eastAsia="仿宋_GB2312" w:cs="Courier New"/>
          <w:b/>
          <w:bCs/>
          <w:color w:val="000000"/>
          <w:sz w:val="32"/>
          <w:szCs w:val="21"/>
          <w:highlight w:val="none"/>
        </w:rPr>
        <w:t>年  月   日</w:t>
      </w:r>
    </w:p>
    <w:p w14:paraId="0537C45E">
      <w:pPr>
        <w:ind w:firstLine="964" w:firstLineChars="300"/>
        <w:rPr>
          <w:rFonts w:hint="eastAsia" w:ascii="华文中宋" w:hAnsi="Courier New" w:eastAsia="仿宋_GB2312" w:cs="Courier New"/>
          <w:b/>
          <w:bCs/>
          <w:color w:val="000000"/>
          <w:sz w:val="32"/>
          <w:szCs w:val="21"/>
          <w:highlight w:val="none"/>
        </w:rPr>
      </w:pPr>
    </w:p>
    <w:p w14:paraId="307914F3">
      <w:pPr>
        <w:ind w:firstLine="964" w:firstLineChars="300"/>
        <w:rPr>
          <w:rFonts w:hint="eastAsia" w:ascii="华文中宋" w:hAnsi="Courier New" w:eastAsia="仿宋_GB2312" w:cs="Courier New"/>
          <w:b/>
          <w:bCs/>
          <w:color w:val="000000"/>
          <w:sz w:val="32"/>
          <w:szCs w:val="21"/>
          <w:highlight w:val="none"/>
        </w:rPr>
      </w:pPr>
    </w:p>
    <w:p w14:paraId="5FCA03A9">
      <w:pPr>
        <w:pStyle w:val="4"/>
        <w:spacing w:line="600" w:lineRule="exact"/>
        <w:ind w:firstLine="562" w:firstLineChars="200"/>
        <w:rPr>
          <w:rFonts w:hint="eastAsia" w:ascii="楷体_GB2312" w:eastAsia="楷体_GB2312"/>
          <w:b/>
          <w:bCs/>
          <w:color w:val="000000"/>
          <w:sz w:val="28"/>
          <w:highlight w:val="none"/>
          <w:u w:val="single"/>
        </w:rPr>
      </w:pPr>
      <w:r>
        <w:rPr>
          <w:rFonts w:hint="eastAsia" w:ascii="楷体_GB2312" w:eastAsia="楷体_GB2312"/>
          <w:b/>
          <w:bCs/>
          <w:color w:val="000000"/>
          <w:sz w:val="28"/>
          <w:highlight w:val="none"/>
        </w:rPr>
        <w:t>甲方：</w:t>
      </w:r>
      <w:r>
        <w:rPr>
          <w:rFonts w:hint="eastAsia" w:ascii="楷体_GB2312" w:eastAsia="楷体_GB2312"/>
          <w:b/>
          <w:bCs/>
          <w:color w:val="000000"/>
          <w:sz w:val="28"/>
          <w:szCs w:val="28"/>
          <w:highlight w:val="none"/>
          <w:u w:val="single"/>
        </w:rPr>
        <w:t xml:space="preserve"> </w:t>
      </w:r>
      <w:r>
        <w:rPr>
          <w:rFonts w:hint="eastAsia" w:ascii="楷体_GB2312" w:eastAsia="楷体_GB2312"/>
          <w:b/>
          <w:bCs/>
          <w:color w:val="000000"/>
          <w:sz w:val="28"/>
          <w:highlight w:val="none"/>
          <w:u w:val="single"/>
          <w:lang w:val="en-US" w:eastAsia="zh-CN"/>
        </w:rPr>
        <w:t>西安半坡博物馆</w:t>
      </w:r>
      <w:r>
        <w:rPr>
          <w:rFonts w:hint="eastAsia" w:ascii="楷体_GB2312" w:eastAsia="楷体_GB2312"/>
          <w:b/>
          <w:bCs/>
          <w:color w:val="000000"/>
          <w:sz w:val="28"/>
          <w:highlight w:val="none"/>
          <w:u w:val="single"/>
        </w:rPr>
        <w:t xml:space="preserve"> </w:t>
      </w:r>
    </w:p>
    <w:p w14:paraId="3CC56DEA">
      <w:pPr>
        <w:pStyle w:val="4"/>
        <w:spacing w:line="600" w:lineRule="exact"/>
        <w:ind w:firstLine="562" w:firstLineChars="200"/>
        <w:rPr>
          <w:rFonts w:hint="eastAsia" w:ascii="楷体_GB2312" w:eastAsia="楷体_GB2312"/>
          <w:b/>
          <w:bCs/>
          <w:color w:val="000000"/>
          <w:sz w:val="28"/>
          <w:highlight w:val="none"/>
          <w:u w:val="single"/>
        </w:rPr>
      </w:pPr>
      <w:r>
        <w:rPr>
          <w:rFonts w:hint="eastAsia" w:ascii="楷体_GB2312" w:eastAsia="楷体_GB2312"/>
          <w:b/>
          <w:bCs/>
          <w:color w:val="000000"/>
          <w:sz w:val="28"/>
          <w:highlight w:val="none"/>
        </w:rPr>
        <w:t>乙方：</w:t>
      </w:r>
      <w:r>
        <w:rPr>
          <w:rFonts w:hint="eastAsia" w:ascii="楷体_GB2312" w:eastAsia="楷体_GB2312"/>
          <w:b/>
          <w:bCs/>
          <w:color w:val="000000"/>
          <w:sz w:val="28"/>
          <w:highlight w:val="none"/>
          <w:u w:val="single"/>
        </w:rPr>
        <w:t xml:space="preserve"> </w:t>
      </w:r>
      <w:r>
        <w:rPr>
          <w:rFonts w:hint="eastAsia" w:ascii="楷体_GB2312" w:eastAsia="楷体_GB2312"/>
          <w:b/>
          <w:bCs/>
          <w:color w:val="000000"/>
          <w:sz w:val="28"/>
          <w:highlight w:val="none"/>
          <w:u w:val="single"/>
          <w:lang w:eastAsia="zh-CN"/>
        </w:rPr>
        <w:t>XXX</w:t>
      </w:r>
      <w:r>
        <w:rPr>
          <w:rFonts w:hint="eastAsia" w:ascii="楷体_GB2312" w:eastAsia="楷体_GB2312"/>
          <w:b/>
          <w:bCs/>
          <w:color w:val="000000"/>
          <w:sz w:val="28"/>
          <w:highlight w:val="none"/>
          <w:u w:val="single"/>
        </w:rPr>
        <w:t xml:space="preserve"> </w:t>
      </w:r>
    </w:p>
    <w:p w14:paraId="40E59EBD">
      <w:pPr>
        <w:autoSpaceDE w:val="0"/>
        <w:autoSpaceDN w:val="0"/>
        <w:adjustRightInd w:val="0"/>
        <w:spacing w:line="600" w:lineRule="exact"/>
        <w:ind w:firstLine="560" w:firstLineChars="200"/>
        <w:rPr>
          <w:rFonts w:hint="eastAsia" w:eastAsia="仿宋_GB2312"/>
          <w:b/>
          <w:bCs/>
          <w:color w:val="000000"/>
          <w:sz w:val="30"/>
          <w:highlight w:val="none"/>
        </w:rPr>
      </w:pPr>
      <w:r>
        <w:rPr>
          <w:rFonts w:hint="eastAsia" w:ascii="楷体_GB2312" w:eastAsia="楷体_GB2312"/>
          <w:color w:val="000000"/>
          <w:sz w:val="28"/>
          <w:highlight w:val="none"/>
        </w:rPr>
        <w:t>甲方委托乙方承担</w:t>
      </w:r>
      <w:r>
        <w:rPr>
          <w:rFonts w:hint="eastAsia" w:ascii="楷体_GB2312" w:eastAsia="楷体_GB2312"/>
          <w:b/>
          <w:bCs/>
          <w:color w:val="000000"/>
          <w:sz w:val="28"/>
          <w:highlight w:val="none"/>
          <w:u w:val="single"/>
        </w:rPr>
        <w:t>《</w:t>
      </w:r>
      <w:r>
        <w:rPr>
          <w:rFonts w:hint="eastAsia" w:ascii="楷体_GB2312" w:eastAsia="楷体_GB2312"/>
          <w:b/>
          <w:bCs/>
          <w:color w:val="000000"/>
          <w:sz w:val="28"/>
          <w:highlight w:val="none"/>
          <w:u w:val="single"/>
          <w:lang w:val="en-US" w:eastAsia="zh-CN"/>
        </w:rPr>
        <w:t>文物影响评估</w:t>
      </w:r>
      <w:r>
        <w:rPr>
          <w:rFonts w:hint="eastAsia" w:ascii="楷体_GB2312" w:eastAsia="楷体_GB2312"/>
          <w:b/>
          <w:bCs/>
          <w:color w:val="000000"/>
          <w:sz w:val="28"/>
          <w:highlight w:val="none"/>
          <w:u w:val="single"/>
        </w:rPr>
        <w:t>》</w:t>
      </w:r>
      <w:r>
        <w:rPr>
          <w:rFonts w:hint="eastAsia" w:ascii="楷体_GB2312" w:eastAsia="楷体_GB2312"/>
          <w:color w:val="000000"/>
          <w:sz w:val="28"/>
          <w:highlight w:val="none"/>
        </w:rPr>
        <w:t>的编制，项目地点为</w:t>
      </w:r>
      <w:r>
        <w:rPr>
          <w:rFonts w:hint="eastAsia" w:ascii="楷体_GB2312" w:eastAsia="楷体_GB2312"/>
          <w:b/>
          <w:bCs/>
          <w:color w:val="000000"/>
          <w:sz w:val="28"/>
          <w:highlight w:val="none"/>
          <w:u w:val="single"/>
          <w:lang w:val="en-US" w:eastAsia="zh-CN"/>
        </w:rPr>
        <w:t>西安半坡博物馆</w:t>
      </w:r>
      <w:r>
        <w:rPr>
          <w:rFonts w:hint="eastAsia" w:ascii="楷体_GB2312" w:eastAsia="楷体_GB2312"/>
          <w:b/>
          <w:bCs/>
          <w:color w:val="000000"/>
          <w:sz w:val="28"/>
          <w:highlight w:val="none"/>
          <w:u w:val="single"/>
        </w:rPr>
        <w:t>。</w:t>
      </w:r>
    </w:p>
    <w:p w14:paraId="18E0CB04">
      <w:pPr>
        <w:pStyle w:val="4"/>
        <w:spacing w:line="600" w:lineRule="exact"/>
        <w:ind w:firstLine="560" w:firstLineChars="200"/>
        <w:rPr>
          <w:rFonts w:hint="eastAsia" w:ascii="楷体_GB2312" w:eastAsia="楷体_GB2312"/>
          <w:color w:val="000000"/>
          <w:sz w:val="28"/>
          <w:highlight w:val="none"/>
        </w:rPr>
      </w:pPr>
      <w:r>
        <w:rPr>
          <w:rFonts w:hint="eastAsia" w:ascii="楷体_GB2312" w:eastAsia="楷体_GB2312"/>
          <w:color w:val="000000"/>
          <w:sz w:val="28"/>
          <w:highlight w:val="none"/>
        </w:rPr>
        <w:t>现经双方协商一致，签订本合同，共同执行。</w:t>
      </w:r>
    </w:p>
    <w:p w14:paraId="6233394E">
      <w:pPr>
        <w:pStyle w:val="4"/>
        <w:spacing w:line="600" w:lineRule="exact"/>
        <w:outlineLvl w:val="0"/>
        <w:rPr>
          <w:rFonts w:hint="eastAsia" w:ascii="楷体_GB2312" w:eastAsia="楷体_GB2312"/>
          <w:b/>
          <w:bCs/>
          <w:color w:val="000000"/>
          <w:sz w:val="28"/>
          <w:highlight w:val="none"/>
        </w:rPr>
      </w:pPr>
      <w:r>
        <w:rPr>
          <w:rFonts w:hint="eastAsia" w:ascii="黑体" w:eastAsia="黑体"/>
          <w:b/>
          <w:bCs/>
          <w:color w:val="000000"/>
          <w:sz w:val="28"/>
          <w:highlight w:val="none"/>
        </w:rPr>
        <w:t>第一条  本合同签订依据</w:t>
      </w:r>
    </w:p>
    <w:p w14:paraId="73B734B6">
      <w:pPr>
        <w:pStyle w:val="4"/>
        <w:numPr>
          <w:ilvl w:val="1"/>
          <w:numId w:val="1"/>
        </w:numPr>
        <w:spacing w:line="600" w:lineRule="exact"/>
        <w:rPr>
          <w:rFonts w:hint="eastAsia" w:ascii="楷体_GB2312" w:eastAsia="楷体_GB2312"/>
          <w:sz w:val="28"/>
          <w:highlight w:val="none"/>
        </w:rPr>
      </w:pPr>
      <w:r>
        <w:rPr>
          <w:rFonts w:ascii="楷体_GB2312" w:eastAsia="楷体_GB2312"/>
          <w:sz w:val="28"/>
          <w:highlight w:val="none"/>
        </w:rPr>
        <w:t>《</w:t>
      </w:r>
      <w:r>
        <w:rPr>
          <w:rFonts w:ascii="楷体_GB2312" w:eastAsia="楷体_GB2312"/>
          <w:sz w:val="28"/>
          <w:highlight w:val="none"/>
        </w:rPr>
        <w:fldChar w:fldCharType="begin"/>
      </w:r>
      <w:r>
        <w:rPr>
          <w:rFonts w:ascii="楷体_GB2312" w:eastAsia="楷体_GB2312"/>
          <w:sz w:val="28"/>
          <w:highlight w:val="none"/>
        </w:rPr>
        <w:instrText xml:space="preserve"> HYPERLINK "https://baike.baidu.com/item/%E4%B8%AD%E5%8D%8E%E4%BA%BA%E6%B0%91%E5%85%B1%E5%92%8C%E5%9B%BD%E6%B0%91%E6%B3%95%E5%85%B8/19435116" \t "_blank" </w:instrText>
      </w:r>
      <w:r>
        <w:rPr>
          <w:rFonts w:ascii="楷体_GB2312" w:eastAsia="楷体_GB2312"/>
          <w:sz w:val="28"/>
          <w:highlight w:val="none"/>
        </w:rPr>
        <w:fldChar w:fldCharType="separate"/>
      </w:r>
      <w:r>
        <w:rPr>
          <w:rFonts w:ascii="楷体_GB2312" w:eastAsia="楷体_GB2312"/>
          <w:sz w:val="28"/>
          <w:highlight w:val="none"/>
        </w:rPr>
        <w:t>中华人民共和国民法典</w:t>
      </w:r>
      <w:r>
        <w:rPr>
          <w:rFonts w:ascii="楷体_GB2312" w:eastAsia="楷体_GB2312"/>
          <w:sz w:val="28"/>
          <w:highlight w:val="none"/>
        </w:rPr>
        <w:fldChar w:fldCharType="end"/>
      </w:r>
      <w:r>
        <w:rPr>
          <w:rFonts w:ascii="楷体_GB2312" w:eastAsia="楷体_GB2312"/>
          <w:sz w:val="28"/>
          <w:highlight w:val="none"/>
        </w:rPr>
        <w:t>》</w:t>
      </w:r>
      <w:r>
        <w:rPr>
          <w:rFonts w:hint="eastAsia" w:ascii="楷体_GB2312" w:eastAsia="楷体_GB2312"/>
          <w:sz w:val="28"/>
          <w:highlight w:val="none"/>
        </w:rPr>
        <w:t>。</w:t>
      </w:r>
    </w:p>
    <w:p w14:paraId="6F909B7D">
      <w:pPr>
        <w:pStyle w:val="4"/>
        <w:spacing w:line="600" w:lineRule="exact"/>
        <w:outlineLvl w:val="0"/>
        <w:rPr>
          <w:rFonts w:hint="eastAsia" w:ascii="黑体" w:eastAsia="黑体"/>
          <w:color w:val="000000"/>
          <w:sz w:val="28"/>
          <w:highlight w:val="none"/>
        </w:rPr>
      </w:pPr>
      <w:r>
        <w:rPr>
          <w:rFonts w:hint="eastAsia" w:ascii="黑体" w:eastAsia="黑体"/>
          <w:b/>
          <w:bCs/>
          <w:color w:val="000000"/>
          <w:sz w:val="28"/>
          <w:highlight w:val="none"/>
        </w:rPr>
        <w:t>第二条  编制依据</w:t>
      </w:r>
    </w:p>
    <w:p w14:paraId="7E4FF011">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2.1 甲方给乙方的委托书或中标文件。</w:t>
      </w:r>
    </w:p>
    <w:p w14:paraId="2C582C21">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2.2 甲方提交的基础资料。</w:t>
      </w:r>
    </w:p>
    <w:p w14:paraId="3014267F">
      <w:pPr>
        <w:pStyle w:val="4"/>
        <w:spacing w:line="600" w:lineRule="exact"/>
        <w:ind w:firstLine="600"/>
        <w:rPr>
          <w:rFonts w:hint="eastAsia" w:ascii="楷体_GB2312" w:eastAsia="楷体_GB2312"/>
          <w:color w:val="000000"/>
          <w:sz w:val="28"/>
          <w:highlight w:val="none"/>
        </w:rPr>
      </w:pPr>
      <w:r>
        <w:rPr>
          <w:rFonts w:hint="eastAsia" w:ascii="楷体_GB2312" w:eastAsia="楷体_GB2312"/>
          <w:color w:val="000000"/>
          <w:sz w:val="28"/>
          <w:highlight w:val="none"/>
        </w:rPr>
        <w:t>2.3 乙方采用的主要技术标准是：</w:t>
      </w:r>
    </w:p>
    <w:p w14:paraId="0F84E3AA">
      <w:pPr>
        <w:pStyle w:val="2"/>
        <w:shd w:val="clear" w:color="auto" w:fill="FFFFFF"/>
        <w:spacing w:before="0" w:beforeAutospacing="0" w:after="15" w:afterAutospacing="0" w:line="600" w:lineRule="exact"/>
        <w:ind w:firstLine="422" w:firstLineChars="150"/>
        <w:rPr>
          <w:rFonts w:hint="eastAsia" w:ascii="Arial" w:hAnsi="Arial" w:cs="Arial"/>
          <w:b w:val="0"/>
          <w:bCs w:val="0"/>
          <w:color w:val="000000"/>
          <w:highlight w:val="none"/>
        </w:rPr>
      </w:pPr>
      <w:r>
        <w:rPr>
          <w:rFonts w:hint="eastAsia" w:ascii="楷体_GB2312" w:hAnsi="Times New Roman" w:eastAsia="楷体_GB2312"/>
          <w:color w:val="000000"/>
          <w:kern w:val="2"/>
          <w:sz w:val="28"/>
          <w:szCs w:val="24"/>
          <w:highlight w:val="none"/>
          <w:u w:val="single"/>
        </w:rPr>
        <w:t>《中华人民共和国文物保护法》等</w:t>
      </w:r>
      <w:r>
        <w:rPr>
          <w:rFonts w:hint="eastAsia" w:ascii="楷体_GB2312" w:eastAsia="楷体_GB2312"/>
          <w:b w:val="0"/>
          <w:color w:val="000000"/>
          <w:sz w:val="28"/>
          <w:highlight w:val="none"/>
          <w:u w:val="single"/>
        </w:rPr>
        <w:t>。</w:t>
      </w:r>
    </w:p>
    <w:p w14:paraId="4E86994A">
      <w:pPr>
        <w:pStyle w:val="4"/>
        <w:spacing w:line="600" w:lineRule="exact"/>
        <w:outlineLvl w:val="0"/>
        <w:rPr>
          <w:rFonts w:hint="eastAsia" w:ascii="楷体_GB2312" w:eastAsia="楷体_GB2312"/>
          <w:color w:val="000000"/>
          <w:sz w:val="28"/>
          <w:highlight w:val="none"/>
        </w:rPr>
      </w:pPr>
      <w:r>
        <w:rPr>
          <w:rFonts w:hint="eastAsia" w:ascii="黑体" w:eastAsia="黑体"/>
          <w:b/>
          <w:bCs/>
          <w:color w:val="000000"/>
          <w:sz w:val="28"/>
          <w:highlight w:val="none"/>
        </w:rPr>
        <w:t xml:space="preserve">第三条  合同文件的优先次序    </w:t>
      </w:r>
    </w:p>
    <w:p w14:paraId="17ABC72B">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构成本合同的文件可视为是能互相说明的，如果合同文件存在歧义或不一致，则根据如下优先次序来判断：</w:t>
      </w:r>
    </w:p>
    <w:p w14:paraId="3457659F">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3.1 合同书。</w:t>
      </w:r>
    </w:p>
    <w:p w14:paraId="627D9A95">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3.2 中标函(文件)（若有）。</w:t>
      </w:r>
    </w:p>
    <w:p w14:paraId="696F9F3B">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3.3 甲方要求及委托书。</w:t>
      </w:r>
    </w:p>
    <w:p w14:paraId="4A1E97AF">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3.4 投标书。</w:t>
      </w:r>
    </w:p>
    <w:p w14:paraId="19B3EB25">
      <w:pPr>
        <w:pStyle w:val="4"/>
        <w:spacing w:line="600" w:lineRule="exact"/>
        <w:rPr>
          <w:rFonts w:hint="eastAsia" w:ascii="黑体" w:eastAsia="黑体"/>
          <w:b/>
          <w:bCs/>
          <w:color w:val="000000"/>
          <w:sz w:val="28"/>
          <w:highlight w:val="none"/>
        </w:rPr>
      </w:pPr>
      <w:r>
        <w:rPr>
          <w:rFonts w:hint="eastAsia" w:ascii="黑体" w:eastAsia="黑体"/>
          <w:b/>
          <w:bCs/>
          <w:color w:val="000000"/>
          <w:sz w:val="28"/>
          <w:highlight w:val="none"/>
        </w:rPr>
        <w:t>第四条  本合同项目的名称</w:t>
      </w:r>
      <w:r>
        <w:rPr>
          <w:rFonts w:hint="eastAsia" w:ascii="黑体" w:eastAsia="黑体"/>
          <w:b/>
          <w:bCs/>
          <w:color w:val="000000"/>
          <w:sz w:val="28"/>
          <w:highlight w:val="none"/>
          <w:lang w:eastAsia="zh-Hans"/>
        </w:rPr>
        <w:t>及</w:t>
      </w:r>
      <w:r>
        <w:rPr>
          <w:rFonts w:hint="eastAsia" w:ascii="黑体" w:eastAsia="黑体"/>
          <w:b/>
          <w:bCs/>
          <w:color w:val="000000"/>
          <w:sz w:val="28"/>
          <w:highlight w:val="none"/>
        </w:rPr>
        <w:t>内容</w:t>
      </w:r>
    </w:p>
    <w:p w14:paraId="5238317C">
      <w:pPr>
        <w:pStyle w:val="4"/>
        <w:spacing w:line="600" w:lineRule="exact"/>
        <w:ind w:firstLine="560"/>
        <w:rPr>
          <w:rFonts w:hint="eastAsia" w:ascii="楷体_GB2312" w:eastAsia="楷体_GB2312"/>
          <w:bCs/>
          <w:color w:val="000000"/>
          <w:sz w:val="28"/>
          <w:highlight w:val="none"/>
          <w:u w:val="single"/>
        </w:rPr>
      </w:pPr>
      <w:r>
        <w:rPr>
          <w:rFonts w:hint="eastAsia" w:ascii="楷体_GB2312" w:eastAsia="楷体_GB2312"/>
          <w:color w:val="000000"/>
          <w:sz w:val="28"/>
          <w:highlight w:val="none"/>
          <w:u w:val="single"/>
        </w:rPr>
        <w:t>名称：</w:t>
      </w:r>
      <w:r>
        <w:rPr>
          <w:rFonts w:hint="eastAsia" w:ascii="楷体_GB2312" w:eastAsia="楷体_GB2312"/>
          <w:bCs/>
          <w:color w:val="FF0000"/>
          <w:sz w:val="28"/>
          <w:highlight w:val="none"/>
          <w:u w:val="single"/>
          <w:lang w:val="en-US" w:eastAsia="zh-CN"/>
        </w:rPr>
        <w:t>西安半坡博物馆综合提升改造项目文物影响评估</w:t>
      </w:r>
      <w:r>
        <w:rPr>
          <w:rFonts w:hint="eastAsia" w:ascii="楷体_GB2312" w:eastAsia="楷体_GB2312"/>
          <w:bCs/>
          <w:color w:val="000000"/>
          <w:sz w:val="28"/>
          <w:highlight w:val="none"/>
          <w:u w:val="single"/>
        </w:rPr>
        <w:t xml:space="preserve"> </w:t>
      </w:r>
    </w:p>
    <w:p w14:paraId="1F8E3EC2">
      <w:pPr>
        <w:pStyle w:val="4"/>
        <w:spacing w:line="600" w:lineRule="exact"/>
        <w:ind w:firstLine="560"/>
        <w:rPr>
          <w:rFonts w:ascii="楷体_GB2312" w:eastAsia="楷体_GB2312"/>
          <w:bCs/>
          <w:color w:val="000000"/>
          <w:sz w:val="28"/>
          <w:highlight w:val="none"/>
          <w:u w:val="single"/>
        </w:rPr>
      </w:pPr>
      <w:r>
        <w:rPr>
          <w:rFonts w:hint="eastAsia" w:ascii="楷体_GB2312" w:eastAsia="楷体_GB2312"/>
          <w:bCs/>
          <w:color w:val="000000"/>
          <w:sz w:val="28"/>
          <w:highlight w:val="none"/>
          <w:u w:val="single"/>
        </w:rPr>
        <w:t>规模：</w:t>
      </w:r>
      <w:r>
        <w:rPr>
          <w:rFonts w:hint="eastAsia" w:ascii="楷体_GB2312" w:eastAsia="楷体_GB2312"/>
          <w:bCs/>
          <w:color w:val="FF0000"/>
          <w:sz w:val="28"/>
          <w:highlight w:val="none"/>
          <w:u w:val="single"/>
        </w:rPr>
        <w:t>项目涉及</w:t>
      </w:r>
      <w:r>
        <w:rPr>
          <w:rFonts w:hint="eastAsia" w:ascii="楷体_GB2312" w:eastAsia="楷体_GB2312"/>
          <w:bCs/>
          <w:color w:val="FF0000"/>
          <w:sz w:val="28"/>
          <w:highlight w:val="none"/>
          <w:u w:val="single"/>
          <w:lang w:val="en-US" w:eastAsia="zh-CN"/>
        </w:rPr>
        <w:t>西安半坡博物馆综合提升改造</w:t>
      </w:r>
      <w:r>
        <w:rPr>
          <w:rFonts w:hint="eastAsia" w:ascii="楷体_GB2312" w:eastAsia="楷体_GB2312"/>
          <w:bCs/>
          <w:color w:val="FF0000"/>
          <w:sz w:val="28"/>
          <w:highlight w:val="none"/>
          <w:u w:val="single"/>
        </w:rPr>
        <w:t>工程</w:t>
      </w:r>
      <w:r>
        <w:rPr>
          <w:rFonts w:hint="eastAsia" w:ascii="楷体_GB2312" w:eastAsia="楷体_GB2312"/>
          <w:bCs/>
          <w:color w:val="000000"/>
          <w:sz w:val="28"/>
          <w:highlight w:val="none"/>
          <w:u w:val="single"/>
        </w:rPr>
        <w:t>。</w:t>
      </w:r>
    </w:p>
    <w:p w14:paraId="2588F6B0">
      <w:pPr>
        <w:pStyle w:val="4"/>
        <w:spacing w:line="600" w:lineRule="exact"/>
        <w:ind w:firstLine="560"/>
        <w:rPr>
          <w:rFonts w:hint="eastAsia" w:ascii="楷体_GB2312" w:eastAsia="楷体_GB2312"/>
          <w:bCs/>
          <w:color w:val="000000"/>
          <w:sz w:val="28"/>
          <w:highlight w:val="none"/>
          <w:u w:val="single"/>
        </w:rPr>
      </w:pPr>
      <w:r>
        <w:rPr>
          <w:rFonts w:hint="eastAsia" w:ascii="楷体_GB2312" w:eastAsia="楷体_GB2312"/>
          <w:bCs/>
          <w:color w:val="000000"/>
          <w:sz w:val="28"/>
          <w:highlight w:val="none"/>
          <w:u w:val="single"/>
        </w:rPr>
        <w:t xml:space="preserve">阶段：国保单位的文物影响评估                     </w:t>
      </w:r>
    </w:p>
    <w:p w14:paraId="10F2D302">
      <w:pPr>
        <w:pStyle w:val="4"/>
        <w:spacing w:line="600" w:lineRule="exact"/>
        <w:ind w:firstLine="560" w:firstLineChars="200"/>
        <w:rPr>
          <w:rFonts w:hint="eastAsia" w:ascii="楷体_GB2312" w:eastAsia="楷体_GB2312"/>
          <w:color w:val="000000"/>
          <w:sz w:val="28"/>
          <w:highlight w:val="none"/>
          <w:u w:val="single"/>
        </w:rPr>
      </w:pPr>
      <w:r>
        <w:rPr>
          <w:rFonts w:hint="eastAsia" w:ascii="楷体_GB2312" w:eastAsia="楷体_GB2312"/>
          <w:color w:val="FF0000"/>
          <w:sz w:val="28"/>
          <w:highlight w:val="none"/>
          <w:u w:val="single"/>
        </w:rPr>
        <w:t>内容：</w:t>
      </w:r>
      <w:r>
        <w:rPr>
          <w:rFonts w:hint="eastAsia" w:ascii="楷体_GB2312" w:eastAsia="楷体_GB2312"/>
          <w:color w:val="FF0000"/>
          <w:sz w:val="28"/>
          <w:highlight w:val="none"/>
          <w:u w:val="single"/>
          <w:lang w:eastAsia="zh-Hans"/>
        </w:rPr>
        <w:t>本</w:t>
      </w:r>
      <w:r>
        <w:rPr>
          <w:rFonts w:hint="eastAsia" w:ascii="楷体_GB2312" w:eastAsia="楷体_GB2312"/>
          <w:color w:val="FF0000"/>
          <w:sz w:val="28"/>
          <w:highlight w:val="none"/>
          <w:u w:val="single"/>
        </w:rPr>
        <w:t>项目</w:t>
      </w:r>
      <w:r>
        <w:rPr>
          <w:rFonts w:hint="eastAsia" w:ascii="楷体_GB2312" w:eastAsia="楷体_GB2312"/>
          <w:color w:val="FF0000"/>
          <w:sz w:val="28"/>
          <w:highlight w:val="none"/>
          <w:u w:val="single"/>
          <w:lang w:eastAsia="zh-Hans"/>
        </w:rPr>
        <w:t>文物影响评估报告要求的所有内容</w:t>
      </w:r>
      <w:r>
        <w:rPr>
          <w:rFonts w:hint="eastAsia" w:ascii="楷体_GB2312" w:eastAsia="楷体_GB2312"/>
          <w:color w:val="FF0000"/>
          <w:sz w:val="28"/>
          <w:highlight w:val="none"/>
          <w:u w:val="single"/>
        </w:rPr>
        <w:t>。</w:t>
      </w:r>
      <w:r>
        <w:rPr>
          <w:rFonts w:hint="eastAsia" w:ascii="楷体_GB2312" w:eastAsia="楷体_GB2312"/>
          <w:color w:val="FF0000"/>
          <w:sz w:val="28"/>
          <w:highlight w:val="none"/>
          <w:u w:val="single"/>
          <w:lang w:val="en-US" w:eastAsia="zh-CN"/>
        </w:rPr>
        <w:t>包括：</w:t>
      </w:r>
      <w:r>
        <w:rPr>
          <w:rFonts w:hint="eastAsia" w:ascii="楷体_GB2312" w:eastAsia="楷体_GB2312"/>
          <w:color w:val="FF0000"/>
          <w:sz w:val="28"/>
          <w:highlight w:val="none"/>
          <w:u w:val="single"/>
        </w:rPr>
        <w:t>新增建构筑物</w:t>
      </w:r>
      <w:r>
        <w:rPr>
          <w:rFonts w:hint="eastAsia" w:ascii="楷体_GB2312" w:eastAsia="楷体_GB2312"/>
          <w:color w:val="FF0000"/>
          <w:sz w:val="28"/>
          <w:highlight w:val="none"/>
          <w:u w:val="single"/>
          <w:lang w:eastAsia="zh-CN"/>
        </w:rPr>
        <w:t>、</w:t>
      </w:r>
      <w:r>
        <w:rPr>
          <w:rFonts w:hint="eastAsia" w:ascii="楷体_GB2312" w:eastAsia="楷体_GB2312"/>
          <w:color w:val="FF0000"/>
          <w:sz w:val="28"/>
          <w:highlight w:val="none"/>
          <w:u w:val="single"/>
        </w:rPr>
        <w:t>修缮与改造提升</w:t>
      </w:r>
      <w:r>
        <w:rPr>
          <w:rFonts w:hint="eastAsia" w:ascii="楷体_GB2312" w:eastAsia="楷体_GB2312"/>
          <w:color w:val="FF0000"/>
          <w:sz w:val="28"/>
          <w:highlight w:val="none"/>
          <w:u w:val="single"/>
          <w:lang w:eastAsia="zh-CN"/>
        </w:rPr>
        <w:t>、</w:t>
      </w:r>
      <w:r>
        <w:rPr>
          <w:rFonts w:hint="eastAsia" w:ascii="楷体_GB2312" w:eastAsia="楷体_GB2312"/>
          <w:color w:val="FF0000"/>
          <w:sz w:val="28"/>
          <w:highlight w:val="none"/>
          <w:u w:val="single"/>
        </w:rPr>
        <w:t>环境整治</w:t>
      </w:r>
      <w:r>
        <w:rPr>
          <w:rFonts w:hint="eastAsia" w:ascii="楷体_GB2312" w:eastAsia="楷体_GB2312"/>
          <w:color w:val="FF0000"/>
          <w:sz w:val="28"/>
          <w:highlight w:val="none"/>
          <w:u w:val="single"/>
          <w:lang w:eastAsia="zh-CN"/>
        </w:rPr>
        <w:t>、</w:t>
      </w:r>
      <w:r>
        <w:rPr>
          <w:rFonts w:hint="eastAsia" w:ascii="楷体_GB2312" w:eastAsia="楷体_GB2312"/>
          <w:color w:val="FF0000"/>
          <w:sz w:val="28"/>
          <w:highlight w:val="none"/>
          <w:u w:val="single"/>
          <w:lang w:val="en-US" w:eastAsia="zh-CN"/>
        </w:rPr>
        <w:t>暖通空调系统改造及</w:t>
      </w:r>
      <w:r>
        <w:rPr>
          <w:rFonts w:hint="eastAsia" w:ascii="楷体_GB2312" w:eastAsia="楷体_GB2312"/>
          <w:color w:val="FF0000"/>
          <w:sz w:val="28"/>
          <w:highlight w:val="none"/>
          <w:u w:val="single"/>
        </w:rPr>
        <w:t xml:space="preserve">后续根据设计方案的调整可能增加的评估内容。                         </w:t>
      </w:r>
      <w:r>
        <w:rPr>
          <w:rFonts w:hint="eastAsia" w:ascii="楷体_GB2312" w:eastAsia="楷体_GB2312"/>
          <w:color w:val="000000"/>
          <w:sz w:val="28"/>
          <w:highlight w:val="none"/>
          <w:u w:val="single"/>
        </w:rPr>
        <w:t xml:space="preserve">                              </w:t>
      </w:r>
    </w:p>
    <w:p w14:paraId="11F13EA9">
      <w:pPr>
        <w:pStyle w:val="4"/>
        <w:spacing w:line="600" w:lineRule="exact"/>
        <w:outlineLvl w:val="0"/>
        <w:rPr>
          <w:rFonts w:hint="eastAsia" w:ascii="楷体_GB2312" w:eastAsia="楷体_GB2312"/>
          <w:color w:val="000000"/>
          <w:sz w:val="28"/>
          <w:highlight w:val="none"/>
          <w:u w:val="single"/>
        </w:rPr>
      </w:pPr>
      <w:r>
        <w:rPr>
          <w:rFonts w:hint="eastAsia" w:ascii="黑体" w:eastAsia="黑体"/>
          <w:b/>
          <w:bCs/>
          <w:color w:val="000000"/>
          <w:sz w:val="28"/>
          <w:highlight w:val="none"/>
        </w:rPr>
        <w:t>第五条  甲方向乙方提交的有关资料</w:t>
      </w:r>
    </w:p>
    <w:p w14:paraId="5932919D">
      <w:pPr>
        <w:pStyle w:val="4"/>
        <w:spacing w:line="600" w:lineRule="exact"/>
        <w:ind w:firstLine="560" w:firstLineChars="200"/>
        <w:outlineLvl w:val="0"/>
        <w:rPr>
          <w:rFonts w:hint="eastAsia" w:ascii="楷体_GB2312" w:eastAsia="楷体_GB2312"/>
          <w:color w:val="000000"/>
          <w:sz w:val="28"/>
          <w:highlight w:val="none"/>
          <w:u w:val="single"/>
        </w:rPr>
      </w:pPr>
      <w:r>
        <w:rPr>
          <w:rFonts w:hint="eastAsia" w:ascii="楷体_GB2312" w:eastAsia="楷体_GB2312"/>
          <w:color w:val="000000"/>
          <w:sz w:val="28"/>
          <w:highlight w:val="none"/>
          <w:u w:val="single"/>
        </w:rPr>
        <w:t>1．盖章版的项目设计方案；</w:t>
      </w:r>
    </w:p>
    <w:p w14:paraId="7103E0D7">
      <w:pPr>
        <w:pStyle w:val="4"/>
        <w:spacing w:line="600" w:lineRule="exact"/>
        <w:ind w:firstLine="560" w:firstLineChars="200"/>
        <w:outlineLvl w:val="0"/>
        <w:rPr>
          <w:rFonts w:ascii="楷体_GB2312" w:eastAsia="楷体_GB2312"/>
          <w:color w:val="000000"/>
          <w:sz w:val="28"/>
          <w:highlight w:val="none"/>
          <w:u w:val="single"/>
        </w:rPr>
      </w:pPr>
      <w:r>
        <w:rPr>
          <w:rFonts w:hint="eastAsia" w:ascii="楷体_GB2312" w:eastAsia="楷体_GB2312"/>
          <w:color w:val="000000"/>
          <w:sz w:val="28"/>
          <w:highlight w:val="none"/>
          <w:u w:val="single"/>
        </w:rPr>
        <w:t>2．评估工程范围内最新符合国家大地2000坐标系标准的1:1000或1:500的地形图（dwg或gis格式文件）；</w:t>
      </w:r>
    </w:p>
    <w:p w14:paraId="0755C3C8">
      <w:pPr>
        <w:pStyle w:val="4"/>
        <w:spacing w:line="600" w:lineRule="exact"/>
        <w:ind w:firstLine="560" w:firstLineChars="200"/>
        <w:outlineLvl w:val="0"/>
        <w:rPr>
          <w:rFonts w:ascii="楷体_GB2312" w:eastAsia="楷体_GB2312"/>
          <w:color w:val="000000"/>
          <w:sz w:val="28"/>
          <w:highlight w:val="none"/>
          <w:u w:val="single"/>
        </w:rPr>
      </w:pPr>
      <w:r>
        <w:rPr>
          <w:rFonts w:hint="eastAsia" w:ascii="楷体_GB2312" w:eastAsia="楷体_GB2312"/>
          <w:color w:val="000000"/>
          <w:sz w:val="28"/>
          <w:highlight w:val="none"/>
          <w:u w:val="single"/>
        </w:rPr>
        <w:t xml:space="preserve">3．评估项目用地范围内的完整考古勘探报告，及已考古发掘的报告等； </w:t>
      </w:r>
    </w:p>
    <w:p w14:paraId="772FBDB1">
      <w:pPr>
        <w:pStyle w:val="4"/>
        <w:spacing w:line="600" w:lineRule="exact"/>
        <w:ind w:firstLine="560" w:firstLineChars="200"/>
        <w:outlineLvl w:val="0"/>
        <w:rPr>
          <w:rFonts w:hint="eastAsia" w:ascii="楷体_GB2312" w:eastAsia="楷体_GB2312"/>
          <w:color w:val="000000"/>
          <w:sz w:val="28"/>
          <w:highlight w:val="none"/>
          <w:u w:val="single"/>
        </w:rPr>
      </w:pPr>
      <w:r>
        <w:rPr>
          <w:rFonts w:hint="eastAsia" w:ascii="楷体_GB2312" w:eastAsia="楷体_GB2312"/>
          <w:color w:val="000000"/>
          <w:sz w:val="28"/>
          <w:highlight w:val="none"/>
          <w:u w:val="single"/>
        </w:rPr>
        <w:t>4．评估项目用地范围内的现场照片及航拍片；</w:t>
      </w:r>
    </w:p>
    <w:p w14:paraId="6D06D826">
      <w:pPr>
        <w:pStyle w:val="4"/>
        <w:spacing w:line="600" w:lineRule="exact"/>
        <w:ind w:firstLine="560" w:firstLineChars="200"/>
        <w:outlineLvl w:val="0"/>
        <w:rPr>
          <w:rFonts w:ascii="楷体_GB2312" w:eastAsia="楷体_GB2312"/>
          <w:color w:val="000000"/>
          <w:sz w:val="28"/>
          <w:highlight w:val="none"/>
          <w:u w:val="single"/>
        </w:rPr>
      </w:pPr>
      <w:r>
        <w:rPr>
          <w:rFonts w:hint="eastAsia" w:ascii="楷体_GB2312" w:eastAsia="楷体_GB2312"/>
          <w:color w:val="000000"/>
          <w:sz w:val="28"/>
          <w:highlight w:val="none"/>
          <w:u w:val="single"/>
        </w:rPr>
        <w:t>5．评估项目的相关立项或审批文件，可行性研究报告；</w:t>
      </w:r>
    </w:p>
    <w:p w14:paraId="4DACCC81">
      <w:pPr>
        <w:pStyle w:val="4"/>
        <w:spacing w:line="600" w:lineRule="exact"/>
        <w:ind w:firstLine="560" w:firstLineChars="200"/>
        <w:outlineLvl w:val="0"/>
        <w:rPr>
          <w:rFonts w:hint="eastAsia" w:ascii="楷体_GB2312" w:eastAsia="楷体_GB2312"/>
          <w:sz w:val="28"/>
          <w:highlight w:val="none"/>
          <w:u w:val="single"/>
        </w:rPr>
      </w:pPr>
      <w:r>
        <w:rPr>
          <w:rFonts w:hint="eastAsia" w:ascii="楷体_GB2312" w:eastAsia="楷体_GB2312"/>
          <w:sz w:val="28"/>
          <w:highlight w:val="none"/>
          <w:u w:val="single"/>
        </w:rPr>
        <w:t>6. 评估项目用地范围内的国土空间用地（gis格式）；</w:t>
      </w:r>
    </w:p>
    <w:p w14:paraId="791156B5">
      <w:pPr>
        <w:pStyle w:val="4"/>
        <w:spacing w:line="600" w:lineRule="exact"/>
        <w:ind w:firstLine="560" w:firstLineChars="200"/>
        <w:outlineLvl w:val="0"/>
        <w:rPr>
          <w:rFonts w:hint="eastAsia" w:ascii="楷体_GB2312" w:eastAsia="楷体_GB2312"/>
          <w:color w:val="000000"/>
          <w:sz w:val="28"/>
          <w:highlight w:val="none"/>
          <w:u w:val="single"/>
        </w:rPr>
      </w:pPr>
      <w:r>
        <w:rPr>
          <w:rFonts w:hint="eastAsia" w:ascii="楷体_GB2312" w:eastAsia="楷体_GB2312"/>
          <w:sz w:val="28"/>
          <w:highlight w:val="none"/>
          <w:u w:val="single"/>
        </w:rPr>
        <w:t>7. 相关历史文献、村庄基本情况、搬迁人口户数统计等相关资料</w:t>
      </w:r>
    </w:p>
    <w:p w14:paraId="3966ABC0">
      <w:pPr>
        <w:pStyle w:val="4"/>
        <w:spacing w:line="600" w:lineRule="exact"/>
        <w:outlineLvl w:val="0"/>
        <w:rPr>
          <w:rFonts w:hint="eastAsia" w:ascii="黑体" w:eastAsia="黑体"/>
          <w:b/>
          <w:bCs/>
          <w:color w:val="000000"/>
          <w:sz w:val="28"/>
          <w:highlight w:val="none"/>
        </w:rPr>
      </w:pPr>
      <w:r>
        <w:rPr>
          <w:rFonts w:hint="eastAsia" w:ascii="黑体" w:eastAsia="黑体"/>
          <w:b/>
          <w:bCs/>
          <w:color w:val="000000"/>
          <w:sz w:val="28"/>
          <w:highlight w:val="none"/>
        </w:rPr>
        <w:t>第六条  乙方向甲方交付的报告、份数及时间。</w:t>
      </w:r>
    </w:p>
    <w:p w14:paraId="1E73812C">
      <w:pPr>
        <w:pStyle w:val="4"/>
        <w:spacing w:line="600" w:lineRule="exact"/>
        <w:ind w:left="1960" w:hanging="1960" w:hangingChars="700"/>
        <w:rPr>
          <w:rFonts w:hint="eastAsia" w:ascii="楷体_GB2312" w:eastAsia="楷体_GB2312"/>
          <w:color w:val="000000"/>
          <w:sz w:val="28"/>
          <w:highlight w:val="none"/>
          <w:u w:val="single"/>
        </w:rPr>
      </w:pPr>
      <w:r>
        <w:rPr>
          <w:rFonts w:hint="eastAsia" w:ascii="楷体_GB2312" w:eastAsia="楷体_GB2312"/>
          <w:color w:val="000000"/>
          <w:sz w:val="28"/>
          <w:highlight w:val="none"/>
        </w:rPr>
        <w:t xml:space="preserve">   </w:t>
      </w:r>
      <w:r>
        <w:rPr>
          <w:rFonts w:hint="eastAsia" w:ascii="楷体_GB2312" w:eastAsia="楷体_GB2312"/>
          <w:color w:val="C00000"/>
          <w:sz w:val="28"/>
          <w:highlight w:val="none"/>
        </w:rPr>
        <w:t xml:space="preserve"> </w:t>
      </w:r>
      <w:r>
        <w:rPr>
          <w:rFonts w:hint="eastAsia" w:ascii="楷体_GB2312" w:eastAsia="楷体_GB2312"/>
          <w:color w:val="C00000"/>
          <w:sz w:val="28"/>
          <w:highlight w:val="none"/>
          <w:u w:val="single"/>
          <w:lang w:eastAsia="zh-Hans"/>
        </w:rPr>
        <w:t>报告名称</w:t>
      </w:r>
      <w:r>
        <w:rPr>
          <w:rFonts w:hint="eastAsia" w:ascii="楷体_GB2312" w:eastAsia="楷体_GB2312"/>
          <w:color w:val="C00000"/>
          <w:sz w:val="28"/>
          <w:highlight w:val="none"/>
          <w:u w:val="single"/>
        </w:rPr>
        <w:t>：《</w:t>
      </w:r>
      <w:r>
        <w:rPr>
          <w:rFonts w:hint="eastAsia" w:ascii="楷体_GB2312" w:eastAsia="楷体_GB2312"/>
          <w:color w:val="C00000"/>
          <w:sz w:val="28"/>
          <w:highlight w:val="none"/>
          <w:u w:val="single"/>
          <w:lang w:val="en-US" w:eastAsia="zh-CN"/>
        </w:rPr>
        <w:t>西安半坡博物馆综合提升改造项目文物影响评估报告</w:t>
      </w:r>
      <w:r>
        <w:rPr>
          <w:rFonts w:hint="eastAsia" w:ascii="楷体_GB2312" w:eastAsia="楷体_GB2312"/>
          <w:color w:val="C00000"/>
          <w:sz w:val="28"/>
          <w:highlight w:val="none"/>
          <w:u w:val="single"/>
        </w:rPr>
        <w:t xml:space="preserve">》 </w:t>
      </w:r>
    </w:p>
    <w:p w14:paraId="2CA5F056">
      <w:pPr>
        <w:pStyle w:val="4"/>
        <w:spacing w:line="600" w:lineRule="exact"/>
        <w:ind w:left="1960" w:hanging="1960" w:hangingChars="700"/>
        <w:rPr>
          <w:rFonts w:hint="eastAsia" w:ascii="楷体_GB2312" w:eastAsia="楷体_GB2312"/>
          <w:color w:val="000000"/>
          <w:sz w:val="28"/>
          <w:highlight w:val="none"/>
          <w:u w:val="single"/>
        </w:rPr>
      </w:pPr>
      <w:r>
        <w:rPr>
          <w:rFonts w:hint="eastAsia" w:ascii="楷体_GB2312" w:eastAsia="楷体_GB2312"/>
          <w:color w:val="000000"/>
          <w:sz w:val="28"/>
          <w:highlight w:val="none"/>
        </w:rPr>
        <w:t xml:space="preserve">    </w:t>
      </w:r>
      <w:r>
        <w:rPr>
          <w:rFonts w:hint="eastAsia" w:ascii="楷体_GB2312" w:eastAsia="楷体_GB2312"/>
          <w:bCs/>
          <w:sz w:val="28"/>
          <w:highlight w:val="none"/>
          <w:u w:val="single"/>
        </w:rPr>
        <w:t>份数：纸质报告6套，电子版一份。</w:t>
      </w:r>
      <w:r>
        <w:rPr>
          <w:rFonts w:hint="eastAsia" w:ascii="楷体_GB2312" w:eastAsia="楷体_GB2312"/>
          <w:color w:val="000000"/>
          <w:sz w:val="28"/>
          <w:highlight w:val="none"/>
          <w:u w:val="single"/>
        </w:rPr>
        <w:t xml:space="preserve">                             </w:t>
      </w:r>
    </w:p>
    <w:p w14:paraId="0E0562FE">
      <w:pPr>
        <w:pStyle w:val="4"/>
        <w:spacing w:line="600" w:lineRule="exact"/>
        <w:ind w:firstLine="560"/>
        <w:rPr>
          <w:rFonts w:hint="eastAsia" w:ascii="楷体_GB2312" w:eastAsia="楷体_GB2312"/>
          <w:color w:val="000000"/>
          <w:sz w:val="28"/>
          <w:highlight w:val="none"/>
          <w:u w:val="single"/>
        </w:rPr>
      </w:pPr>
      <w:r>
        <w:rPr>
          <w:rFonts w:hint="eastAsia" w:ascii="楷体_GB2312" w:eastAsia="楷体_GB2312"/>
          <w:color w:val="000000"/>
          <w:sz w:val="28"/>
          <w:highlight w:val="none"/>
          <w:u w:val="single"/>
        </w:rPr>
        <w:t>时间：</w:t>
      </w:r>
      <w:r>
        <w:rPr>
          <w:rFonts w:hint="eastAsia" w:ascii="楷体_GB2312" w:eastAsia="楷体_GB2312"/>
          <w:bCs/>
          <w:sz w:val="28"/>
          <w:highlight w:val="none"/>
          <w:u w:val="single"/>
        </w:rPr>
        <w:t>合同签订后，甲方向乙方提交本合同第五条约定的基础材料，并按本合同第八条约定支付编制费后</w:t>
      </w:r>
      <w:r>
        <w:rPr>
          <w:rFonts w:hint="eastAsia" w:ascii="楷体_GB2312" w:eastAsia="楷体_GB2312"/>
          <w:bCs/>
          <w:color w:val="FF0000"/>
          <w:sz w:val="28"/>
          <w:highlight w:val="none"/>
          <w:u w:val="single"/>
          <w:lang w:val="en-US" w:eastAsia="zh-CN"/>
        </w:rPr>
        <w:t>xxx</w:t>
      </w:r>
      <w:r>
        <w:rPr>
          <w:rFonts w:hint="eastAsia" w:ascii="楷体_GB2312" w:eastAsia="楷体_GB2312"/>
          <w:bCs/>
          <w:color w:val="FF0000"/>
          <w:sz w:val="28"/>
          <w:highlight w:val="none"/>
          <w:u w:val="single"/>
        </w:rPr>
        <w:t>个工作日</w:t>
      </w:r>
      <w:r>
        <w:rPr>
          <w:rFonts w:hint="eastAsia" w:ascii="楷体_GB2312" w:eastAsia="楷体_GB2312"/>
          <w:bCs/>
          <w:sz w:val="28"/>
          <w:highlight w:val="none"/>
          <w:u w:val="single"/>
        </w:rPr>
        <w:t>提交初稿</w:t>
      </w:r>
      <w:r>
        <w:rPr>
          <w:rFonts w:hint="eastAsia" w:ascii="楷体_GB2312" w:eastAsia="楷体_GB2312"/>
          <w:color w:val="000000"/>
          <w:sz w:val="28"/>
          <w:highlight w:val="none"/>
          <w:u w:val="single"/>
        </w:rPr>
        <w:t>。</w:t>
      </w:r>
    </w:p>
    <w:p w14:paraId="191A9694">
      <w:pPr>
        <w:pStyle w:val="4"/>
        <w:spacing w:line="600" w:lineRule="exact"/>
        <w:rPr>
          <w:rFonts w:hint="eastAsia" w:ascii="楷体_GB2312" w:eastAsia="楷体_GB2312"/>
          <w:b/>
          <w:bCs/>
          <w:color w:val="000000"/>
          <w:sz w:val="28"/>
          <w:highlight w:val="none"/>
        </w:rPr>
      </w:pPr>
      <w:r>
        <w:rPr>
          <w:rFonts w:hint="eastAsia" w:ascii="黑体" w:eastAsia="黑体"/>
          <w:b/>
          <w:bCs/>
          <w:color w:val="000000"/>
          <w:sz w:val="28"/>
          <w:highlight w:val="none"/>
        </w:rPr>
        <w:t>第七条  费用</w:t>
      </w:r>
    </w:p>
    <w:p w14:paraId="09AF77F6">
      <w:pPr>
        <w:pStyle w:val="4"/>
        <w:spacing w:line="600" w:lineRule="exact"/>
        <w:ind w:firstLine="555"/>
        <w:rPr>
          <w:rFonts w:hint="eastAsia" w:ascii="楷体_GB2312" w:eastAsia="楷体_GB2312"/>
          <w:color w:val="000000"/>
          <w:sz w:val="28"/>
          <w:szCs w:val="28"/>
          <w:highlight w:val="none"/>
        </w:rPr>
      </w:pPr>
      <w:r>
        <w:rPr>
          <w:rFonts w:hint="eastAsia" w:ascii="楷体_GB2312" w:eastAsia="楷体_GB2312"/>
          <w:color w:val="FF0000"/>
          <w:sz w:val="28"/>
          <w:szCs w:val="28"/>
          <w:highlight w:val="none"/>
        </w:rPr>
        <w:t>按照收费标准，双方最终确定本合同总价款（含税6%）为</w:t>
      </w:r>
      <w:r>
        <w:rPr>
          <w:rFonts w:ascii="Arial" w:hAnsi="Arial" w:eastAsia="楷体_GB2312" w:cs="Arial"/>
          <w:color w:val="FF0000"/>
          <w:sz w:val="28"/>
          <w:szCs w:val="28"/>
          <w:highlight w:val="none"/>
        </w:rPr>
        <w:t>¥</w:t>
      </w:r>
      <w:r>
        <w:rPr>
          <w:rFonts w:hint="eastAsia" w:ascii="楷体_GB2312" w:eastAsia="楷体_GB2312"/>
          <w:color w:val="FF0000"/>
          <w:sz w:val="28"/>
          <w:szCs w:val="28"/>
          <w:highlight w:val="none"/>
          <w:u w:val="single"/>
          <w:lang w:val="en-US" w:eastAsia="zh-CN"/>
        </w:rPr>
        <w:t>xxx</w:t>
      </w:r>
      <w:r>
        <w:rPr>
          <w:rFonts w:hint="eastAsia" w:ascii="楷体_GB2312" w:eastAsia="楷体_GB2312"/>
          <w:color w:val="FF0000"/>
          <w:sz w:val="28"/>
          <w:szCs w:val="28"/>
          <w:highlight w:val="none"/>
        </w:rPr>
        <w:t>元（人民币</w:t>
      </w:r>
      <w:r>
        <w:rPr>
          <w:rFonts w:hint="eastAsia" w:ascii="楷体_GB2312" w:eastAsia="楷体_GB2312"/>
          <w:b/>
          <w:bCs/>
          <w:color w:val="FF0000"/>
          <w:sz w:val="28"/>
          <w:szCs w:val="28"/>
          <w:highlight w:val="none"/>
          <w:u w:val="single"/>
        </w:rPr>
        <w:t>大写：</w:t>
      </w:r>
      <w:r>
        <w:rPr>
          <w:rFonts w:hint="eastAsia" w:ascii="楷体_GB2312" w:eastAsia="楷体_GB2312"/>
          <w:b/>
          <w:bCs/>
          <w:color w:val="FF0000"/>
          <w:sz w:val="28"/>
          <w:szCs w:val="28"/>
          <w:highlight w:val="none"/>
          <w:u w:val="single"/>
          <w:lang w:val="en-US" w:eastAsia="zh-CN"/>
        </w:rPr>
        <w:t>xxx</w:t>
      </w:r>
      <w:r>
        <w:rPr>
          <w:rFonts w:hint="eastAsia" w:ascii="楷体_GB2312" w:eastAsia="楷体_GB2312"/>
          <w:b/>
          <w:bCs/>
          <w:color w:val="FF0000"/>
          <w:sz w:val="28"/>
          <w:szCs w:val="28"/>
          <w:highlight w:val="none"/>
          <w:u w:val="single"/>
        </w:rPr>
        <w:t>整</w:t>
      </w:r>
      <w:r>
        <w:rPr>
          <w:rFonts w:hint="eastAsia" w:ascii="楷体_GB2312" w:eastAsia="楷体_GB2312"/>
          <w:color w:val="FF0000"/>
          <w:sz w:val="28"/>
          <w:szCs w:val="28"/>
          <w:highlight w:val="none"/>
        </w:rPr>
        <w:t>）包含报告书编制费、税金等所有费用。</w:t>
      </w:r>
    </w:p>
    <w:p w14:paraId="4E127895">
      <w:pPr>
        <w:pStyle w:val="4"/>
        <w:spacing w:line="600" w:lineRule="exact"/>
        <w:outlineLvl w:val="0"/>
        <w:rPr>
          <w:rFonts w:hint="eastAsia" w:ascii="楷体_GB2312" w:eastAsia="楷体_GB2312"/>
          <w:color w:val="000000"/>
          <w:sz w:val="28"/>
          <w:highlight w:val="none"/>
        </w:rPr>
      </w:pPr>
      <w:r>
        <w:rPr>
          <w:rFonts w:hint="eastAsia" w:ascii="黑体" w:eastAsia="黑体"/>
          <w:b/>
          <w:bCs/>
          <w:color w:val="000000"/>
          <w:sz w:val="28"/>
          <w:highlight w:val="none"/>
        </w:rPr>
        <w:t>第八条  支付方式</w:t>
      </w:r>
    </w:p>
    <w:p w14:paraId="71FADE4F">
      <w:pPr>
        <w:pStyle w:val="9"/>
        <w:spacing w:line="360" w:lineRule="auto"/>
        <w:ind w:firstLine="560" w:firstLineChars="200"/>
        <w:rPr>
          <w:rFonts w:hint="eastAsia" w:ascii="宋体" w:hAnsi="宋体" w:eastAsia="宋体" w:cs="宋体"/>
          <w:bCs/>
          <w:color w:val="FF0000"/>
          <w:sz w:val="21"/>
          <w:szCs w:val="21"/>
          <w:highlight w:val="none"/>
          <w:lang w:val="en-US" w:eastAsia="zh-CN"/>
        </w:rPr>
      </w:pPr>
      <w:r>
        <w:rPr>
          <w:rFonts w:hint="eastAsia" w:ascii="楷体_GB2312" w:eastAsia="楷体_GB2312"/>
          <w:color w:val="FF0000"/>
          <w:sz w:val="28"/>
          <w:szCs w:val="28"/>
          <w:highlight w:val="none"/>
        </w:rPr>
        <w:t>8.1</w:t>
      </w:r>
      <w:r>
        <w:rPr>
          <w:rFonts w:hint="eastAsia" w:ascii="楷体_GB2312" w:hAnsi="Courier New" w:eastAsia="楷体_GB2312" w:cs="Courier New"/>
          <w:color w:val="FF0000"/>
          <w:kern w:val="2"/>
          <w:sz w:val="28"/>
          <w:szCs w:val="28"/>
          <w:highlight w:val="none"/>
          <w:lang w:val="en-US" w:eastAsia="zh-CN" w:bidi="ar-SA"/>
        </w:rPr>
        <w:t xml:space="preserve"> 本合同签订后20日内，甲方预付乙方合同款的34.5%作为预付款；</w:t>
      </w:r>
      <w:r>
        <w:rPr>
          <w:rFonts w:hint="eastAsia" w:ascii="楷体_GB2312" w:hAnsi="Courier New" w:eastAsia="楷体_GB2312" w:cs="Courier New"/>
          <w:color w:val="FF0000"/>
          <w:sz w:val="28"/>
          <w:szCs w:val="28"/>
          <w:highlight w:val="none"/>
        </w:rPr>
        <w:t>甲方收到乙方开具发票后付款。</w:t>
      </w:r>
    </w:p>
    <w:p w14:paraId="104A020D">
      <w:pPr>
        <w:pStyle w:val="4"/>
        <w:spacing w:line="600" w:lineRule="exact"/>
        <w:ind w:firstLine="560" w:firstLineChars="200"/>
        <w:rPr>
          <w:rFonts w:hint="eastAsia" w:ascii="楷体_GB2312" w:hAnsi="Courier New" w:eastAsia="楷体_GB2312" w:cs="Courier New"/>
          <w:color w:val="FF0000"/>
          <w:sz w:val="28"/>
          <w:szCs w:val="28"/>
          <w:highlight w:val="none"/>
          <w:lang w:val="en-US" w:eastAsia="zh-CN"/>
        </w:rPr>
      </w:pPr>
      <w:r>
        <w:rPr>
          <w:rFonts w:hint="eastAsia" w:ascii="楷体_GB2312" w:eastAsia="楷体_GB2312"/>
          <w:color w:val="FF0000"/>
          <w:sz w:val="28"/>
          <w:szCs w:val="28"/>
          <w:highlight w:val="none"/>
        </w:rPr>
        <w:t>8.2</w:t>
      </w:r>
      <w:r>
        <w:rPr>
          <w:rFonts w:hint="eastAsia" w:ascii="楷体_GB2312" w:eastAsia="楷体_GB2312"/>
          <w:color w:val="FF0000"/>
          <w:sz w:val="28"/>
          <w:szCs w:val="28"/>
          <w:highlight w:val="none"/>
          <w:lang w:val="en-US" w:eastAsia="zh-CN"/>
        </w:rPr>
        <w:t xml:space="preserve"> </w:t>
      </w:r>
      <w:r>
        <w:rPr>
          <w:rFonts w:hint="eastAsia" w:ascii="楷体_GB2312" w:hAnsi="Courier New" w:eastAsia="楷体_GB2312" w:cs="Courier New"/>
          <w:color w:val="FF0000"/>
          <w:sz w:val="28"/>
          <w:szCs w:val="28"/>
          <w:highlight w:val="none"/>
          <w:lang w:val="en-US" w:eastAsia="zh-CN"/>
        </w:rPr>
        <w:t>乙方完成报告编制</w:t>
      </w:r>
      <w:r>
        <w:rPr>
          <w:rFonts w:hint="eastAsia" w:ascii="楷体_GB2312" w:hAnsi="Courier New" w:eastAsia="楷体_GB2312" w:cs="Courier New"/>
          <w:color w:val="FF0000"/>
          <w:sz w:val="28"/>
          <w:szCs w:val="28"/>
          <w:highlight w:val="none"/>
        </w:rPr>
        <w:t>并向甲方提交正式成果文件，且该成果文件通过甲方验收后，</w:t>
      </w:r>
      <w:r>
        <w:rPr>
          <w:rFonts w:hint="eastAsia" w:ascii="楷体_GB2312" w:hAnsi="Courier New" w:eastAsia="楷体_GB2312" w:cs="Courier New"/>
          <w:color w:val="FF0000"/>
          <w:sz w:val="28"/>
          <w:szCs w:val="28"/>
          <w:highlight w:val="none"/>
          <w:lang w:val="en-US" w:eastAsia="zh-CN"/>
        </w:rPr>
        <w:t>待下一批专项资金下达后20日内支付剩余合同款项；</w:t>
      </w:r>
      <w:r>
        <w:rPr>
          <w:rFonts w:hint="eastAsia" w:ascii="楷体_GB2312" w:hAnsi="Courier New" w:eastAsia="楷体_GB2312" w:cs="Courier New"/>
          <w:color w:val="FF0000"/>
          <w:sz w:val="28"/>
          <w:szCs w:val="28"/>
          <w:highlight w:val="none"/>
        </w:rPr>
        <w:t>甲方收到乙方开具发票后付款</w:t>
      </w:r>
      <w:r>
        <w:rPr>
          <w:rFonts w:hint="eastAsia" w:ascii="楷体_GB2312" w:hAnsi="Courier New" w:eastAsia="楷体_GB2312" w:cs="Courier New"/>
          <w:color w:val="FF0000"/>
          <w:sz w:val="28"/>
          <w:szCs w:val="28"/>
          <w:highlight w:val="none"/>
          <w:lang w:val="en-US" w:eastAsia="zh-CN"/>
        </w:rPr>
        <w:t>。</w:t>
      </w:r>
    </w:p>
    <w:p w14:paraId="416AD73F">
      <w:pPr>
        <w:pStyle w:val="4"/>
        <w:spacing w:line="600" w:lineRule="exact"/>
        <w:ind w:firstLine="560" w:firstLineChars="200"/>
        <w:rPr>
          <w:rFonts w:hint="eastAsia" w:ascii="楷体_GB2312" w:eastAsia="楷体_GB2312"/>
          <w:color w:val="FF0000"/>
          <w:sz w:val="28"/>
          <w:szCs w:val="28"/>
          <w:highlight w:val="none"/>
        </w:rPr>
      </w:pPr>
      <w:r>
        <w:rPr>
          <w:rFonts w:hint="eastAsia" w:ascii="楷体_GB2312" w:eastAsia="楷体_GB2312"/>
          <w:color w:val="FF0000"/>
          <w:sz w:val="28"/>
          <w:szCs w:val="28"/>
          <w:highlight w:val="none"/>
        </w:rPr>
        <w:t>8.3</w:t>
      </w:r>
      <w:r>
        <w:rPr>
          <w:rFonts w:hint="eastAsia" w:ascii="楷体_GB2312" w:eastAsia="楷体_GB2312"/>
          <w:color w:val="FF0000"/>
          <w:sz w:val="28"/>
          <w:szCs w:val="28"/>
          <w:highlight w:val="none"/>
          <w:lang w:val="en-US" w:eastAsia="zh-CN"/>
        </w:rPr>
        <w:t xml:space="preserve"> </w:t>
      </w:r>
      <w:r>
        <w:rPr>
          <w:rFonts w:hint="eastAsia" w:ascii="楷体_GB2312" w:eastAsia="楷体_GB2312"/>
          <w:color w:val="FF0000"/>
          <w:sz w:val="28"/>
          <w:szCs w:val="28"/>
          <w:highlight w:val="none"/>
        </w:rPr>
        <w:t>甲方付款前，乙方应当提供合法有效的增值税专用发票，乙方开票迟延或者不符合规定，则甲方付款顺延且不承担任何责任。</w:t>
      </w:r>
    </w:p>
    <w:p w14:paraId="6BEDE81A">
      <w:pPr>
        <w:pStyle w:val="4"/>
        <w:spacing w:line="600" w:lineRule="exact"/>
        <w:ind w:firstLine="560" w:firstLineChars="200"/>
        <w:rPr>
          <w:rFonts w:hint="eastAsia" w:ascii="楷体_GB2312" w:eastAsia="楷体_GB2312"/>
          <w:color w:val="000000"/>
          <w:sz w:val="28"/>
          <w:szCs w:val="28"/>
          <w:highlight w:val="none"/>
        </w:rPr>
      </w:pPr>
      <w:r>
        <w:rPr>
          <w:rFonts w:hint="eastAsia" w:ascii="楷体_GB2312" w:eastAsia="楷体_GB2312"/>
          <w:color w:val="FF0000"/>
          <w:sz w:val="28"/>
          <w:szCs w:val="28"/>
          <w:highlight w:val="none"/>
        </w:rPr>
        <w:t>8.4</w:t>
      </w:r>
      <w:r>
        <w:rPr>
          <w:rFonts w:hint="eastAsia" w:ascii="楷体_GB2312" w:eastAsia="楷体_GB2312"/>
          <w:color w:val="FF0000"/>
          <w:sz w:val="28"/>
          <w:szCs w:val="28"/>
          <w:highlight w:val="none"/>
          <w:lang w:val="en-US" w:eastAsia="zh-CN"/>
        </w:rPr>
        <w:t xml:space="preserve"> </w:t>
      </w:r>
      <w:r>
        <w:rPr>
          <w:rFonts w:hint="eastAsia" w:ascii="楷体_GB2312" w:eastAsia="楷体_GB2312"/>
          <w:color w:val="FF0000"/>
          <w:sz w:val="28"/>
          <w:szCs w:val="28"/>
          <w:highlight w:val="none"/>
        </w:rPr>
        <w:t>双方约定通过银行结算有关费用。</w:t>
      </w:r>
    </w:p>
    <w:p w14:paraId="594CB2F5">
      <w:pPr>
        <w:pStyle w:val="4"/>
        <w:spacing w:line="600" w:lineRule="exact"/>
        <w:outlineLvl w:val="0"/>
        <w:rPr>
          <w:rFonts w:hint="eastAsia" w:ascii="楷体_GB2312" w:eastAsia="楷体_GB2312"/>
          <w:b/>
          <w:bCs/>
          <w:color w:val="000000"/>
          <w:sz w:val="28"/>
          <w:highlight w:val="none"/>
        </w:rPr>
      </w:pPr>
      <w:r>
        <w:rPr>
          <w:rFonts w:hint="eastAsia" w:ascii="黑体" w:eastAsia="黑体"/>
          <w:b/>
          <w:bCs/>
          <w:color w:val="000000"/>
          <w:sz w:val="28"/>
          <w:highlight w:val="none"/>
        </w:rPr>
        <w:t>第九条  双方责任</w:t>
      </w:r>
    </w:p>
    <w:p w14:paraId="1143F970">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9.1 甲方责任</w:t>
      </w:r>
    </w:p>
    <w:p w14:paraId="78A76CE4">
      <w:pPr>
        <w:pStyle w:val="4"/>
        <w:spacing w:line="600" w:lineRule="exact"/>
        <w:rPr>
          <w:rFonts w:hint="eastAsia" w:ascii="楷体_GB2312" w:eastAsia="楷体_GB2312"/>
          <w:sz w:val="28"/>
          <w:highlight w:val="none"/>
        </w:rPr>
      </w:pPr>
      <w:r>
        <w:rPr>
          <w:rFonts w:hint="eastAsia" w:ascii="楷体_GB2312" w:eastAsia="楷体_GB2312"/>
          <w:color w:val="000000"/>
          <w:sz w:val="28"/>
          <w:highlight w:val="none"/>
        </w:rPr>
        <w:t xml:space="preserve">    </w:t>
      </w:r>
      <w:r>
        <w:rPr>
          <w:rFonts w:hint="eastAsia" w:ascii="楷体_GB2312" w:eastAsia="楷体_GB2312"/>
          <w:sz w:val="28"/>
          <w:highlight w:val="none"/>
        </w:rPr>
        <w:t xml:space="preserve">9.1.1 </w:t>
      </w:r>
      <w:r>
        <w:rPr>
          <w:rFonts w:hint="eastAsia" w:ascii="楷体_GB2312" w:eastAsia="楷体_GB2312"/>
          <w:sz w:val="28"/>
          <w:highlight w:val="none"/>
        </w:rPr>
        <w:t>甲方按本合同第五条规定的内容，在规定的时间内向乙方提交基础资料及文件，甲方对其提交的所有资料的完整性、正确性及时限负责。甲方不得要求乙方违反国家有关标准进行编制。</w:t>
      </w:r>
    </w:p>
    <w:p w14:paraId="1BAC05FA">
      <w:pPr>
        <w:pStyle w:val="4"/>
        <w:spacing w:line="600" w:lineRule="exact"/>
        <w:rPr>
          <w:rFonts w:hint="eastAsia" w:ascii="楷体_GB2312" w:eastAsia="楷体_GB2312"/>
          <w:sz w:val="28"/>
          <w:highlight w:val="none"/>
        </w:rPr>
      </w:pPr>
      <w:r>
        <w:rPr>
          <w:rFonts w:hint="eastAsia" w:ascii="楷体_GB2312" w:eastAsia="楷体_GB2312"/>
          <w:sz w:val="28"/>
          <w:highlight w:val="none"/>
        </w:rPr>
        <w:t xml:space="preserve">    甲方提交上述资料及文件超过规定期限3天以内，乙方按本合同第六条规定的交付咨询报告时间顺延；甲方交付上述资料及文件超过规定期限3天以上时，乙方有权重新确定提交咨询报告的时间。</w:t>
      </w:r>
    </w:p>
    <w:p w14:paraId="1AD58C62">
      <w:pPr>
        <w:pStyle w:val="4"/>
        <w:spacing w:line="600" w:lineRule="exact"/>
        <w:rPr>
          <w:rFonts w:hint="eastAsia" w:ascii="楷体_GB2312" w:eastAsia="楷体_GB2312"/>
          <w:sz w:val="28"/>
          <w:highlight w:val="none"/>
        </w:rPr>
      </w:pPr>
      <w:r>
        <w:rPr>
          <w:rFonts w:hint="eastAsia" w:ascii="楷体_GB2312" w:eastAsia="楷体_GB2312"/>
          <w:sz w:val="28"/>
          <w:highlight w:val="none"/>
        </w:rPr>
        <w:t xml:space="preserve">    9.1.2在双方约定提交基础资料及文件时限内，甲方变更委托编制项目、规模、条件或因提交的资料错误，或对所提交资料作较大修改，以致造成乙方编制返工时，双方除另行协商签订补充协议、重新明确有关条款外，甲方应按乙方所耗工作量（以乙方核定为准）向乙方支付返工费。</w:t>
      </w:r>
    </w:p>
    <w:p w14:paraId="11C16D27">
      <w:pPr>
        <w:pStyle w:val="4"/>
        <w:spacing w:line="600" w:lineRule="exact"/>
        <w:ind w:firstLine="540"/>
        <w:rPr>
          <w:rFonts w:hint="eastAsia" w:ascii="楷体_GB2312" w:eastAsia="楷体_GB2312"/>
          <w:sz w:val="28"/>
          <w:highlight w:val="none"/>
        </w:rPr>
      </w:pPr>
    </w:p>
    <w:p w14:paraId="243681FC">
      <w:pPr>
        <w:pStyle w:val="4"/>
        <w:spacing w:line="600" w:lineRule="exact"/>
        <w:ind w:firstLine="540"/>
        <w:rPr>
          <w:rFonts w:hint="eastAsia" w:ascii="楷体_GB2312" w:eastAsia="楷体_GB2312"/>
          <w:sz w:val="28"/>
          <w:highlight w:val="none"/>
        </w:rPr>
      </w:pPr>
      <w:r>
        <w:rPr>
          <w:rFonts w:hint="eastAsia" w:ascii="楷体_GB2312" w:eastAsia="楷体_GB2312"/>
          <w:sz w:val="28"/>
          <w:highlight w:val="none"/>
        </w:rPr>
        <w:t xml:space="preserve">9.1.3 </w:t>
      </w:r>
      <w:r>
        <w:rPr>
          <w:rFonts w:hint="eastAsia" w:ascii="楷体_GB2312" w:eastAsia="楷体_GB2312"/>
          <w:sz w:val="28"/>
          <w:highlight w:val="none"/>
        </w:rPr>
        <w:t>在合同履行期间，甲方要求终止或解除合同，乙方未开始编制工作的，不收取甲方费用，已经收取得费用应予退还。已开始编制工作的，甲方应根据乙方的实际工作量（以甲方确定为准）向乙方支付费用</w:t>
      </w:r>
      <w:r>
        <w:rPr>
          <w:rFonts w:hint="eastAsia" w:ascii="楷体_GB2312" w:eastAsia="楷体_GB2312"/>
          <w:sz w:val="28"/>
          <w:highlight w:val="none"/>
        </w:rPr>
        <w:t>；已开始编制工作的，甲方应根据乙方的实际工作量（以乙方核定为准）分以下两种情况向乙方支付费用：不足一半时，按该阶段编制费的一半支付；超过一半时（包括一半在内），则全额支付该项目编制费。</w:t>
      </w:r>
    </w:p>
    <w:p w14:paraId="19F2B8B3">
      <w:pPr>
        <w:pStyle w:val="4"/>
        <w:spacing w:line="600" w:lineRule="exact"/>
        <w:rPr>
          <w:rFonts w:hint="eastAsia" w:ascii="楷体_GB2312" w:eastAsia="楷体_GB2312"/>
          <w:sz w:val="28"/>
          <w:highlight w:val="none"/>
        </w:rPr>
      </w:pPr>
      <w:r>
        <w:rPr>
          <w:rFonts w:hint="eastAsia" w:ascii="楷体_GB2312" w:eastAsia="楷体_GB2312"/>
          <w:sz w:val="28"/>
          <w:highlight w:val="none"/>
        </w:rPr>
        <w:t xml:space="preserve">    9.1.4</w:t>
      </w:r>
      <w:r>
        <w:rPr>
          <w:rFonts w:hint="eastAsia" w:ascii="楷体_GB2312" w:eastAsia="楷体_GB2312"/>
          <w:sz w:val="28"/>
          <w:highlight w:val="none"/>
        </w:rPr>
        <w:t>甲方应按本合同规定的金额和日期向乙方支付编制费。逾期超过30天以上时，乙方有权暂停履行下阶段工作。遇有甲方的上级或设计审批部门对咨询报告不审批或本合同项目停缓建，甲方根据情况暂停或解除合同，且甲方停止支付剩余费用。</w:t>
      </w:r>
    </w:p>
    <w:p w14:paraId="07144684">
      <w:pPr>
        <w:pStyle w:val="4"/>
        <w:spacing w:line="600" w:lineRule="exact"/>
        <w:rPr>
          <w:rFonts w:hint="eastAsia" w:ascii="楷体_GB2312" w:eastAsia="楷体_GB2312"/>
          <w:sz w:val="28"/>
          <w:highlight w:val="none"/>
        </w:rPr>
      </w:pPr>
      <w:r>
        <w:rPr>
          <w:rFonts w:hint="eastAsia" w:ascii="楷体_GB2312" w:eastAsia="楷体_GB2312"/>
          <w:sz w:val="28"/>
          <w:highlight w:val="none"/>
        </w:rPr>
        <w:t xml:space="preserve">    9.1.5 </w:t>
      </w:r>
      <w:r>
        <w:rPr>
          <w:rFonts w:hint="eastAsia" w:ascii="楷体_GB2312" w:eastAsia="楷体_GB2312"/>
          <w:sz w:val="28"/>
          <w:highlight w:val="none"/>
        </w:rPr>
        <w:t>甲方要求乙方比合同规定时间提前交付咨询报告时，双方可协商处置。但无论协商与否，乙方不得超过合同约定的履行期限。</w:t>
      </w:r>
    </w:p>
    <w:p w14:paraId="3308C4A1">
      <w:pPr>
        <w:pStyle w:val="4"/>
        <w:spacing w:line="600" w:lineRule="exact"/>
        <w:rPr>
          <w:rFonts w:hint="eastAsia" w:ascii="楷体_GB2312" w:eastAsia="楷体_GB2312"/>
          <w:color w:val="000000"/>
          <w:sz w:val="28"/>
          <w:highlight w:val="none"/>
        </w:rPr>
      </w:pPr>
      <w:r>
        <w:rPr>
          <w:rFonts w:hint="eastAsia" w:ascii="楷体_GB2312" w:eastAsia="楷体_GB2312"/>
          <w:sz w:val="28"/>
          <w:highlight w:val="none"/>
        </w:rPr>
        <w:t xml:space="preserve">    9.1.6 咨询报告中选用的国家标准图、部标准图及地方标准图由甲方负责解决。</w:t>
      </w:r>
    </w:p>
    <w:p w14:paraId="77249112">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9.2 乙方责任    </w:t>
      </w:r>
    </w:p>
    <w:p w14:paraId="16F67BF0">
      <w:pPr>
        <w:pStyle w:val="4"/>
        <w:spacing w:line="600" w:lineRule="exact"/>
        <w:rPr>
          <w:rFonts w:hint="eastAsia" w:ascii="楷体_GB2312" w:eastAsia="楷体_GB2312"/>
          <w:sz w:val="28"/>
          <w:highlight w:val="none"/>
        </w:rPr>
      </w:pPr>
      <w:r>
        <w:rPr>
          <w:rFonts w:hint="eastAsia" w:ascii="楷体_GB2312" w:eastAsia="楷体_GB2312"/>
          <w:color w:val="000000"/>
          <w:sz w:val="28"/>
          <w:highlight w:val="none"/>
        </w:rPr>
        <w:t xml:space="preserve">    </w:t>
      </w:r>
      <w:r>
        <w:rPr>
          <w:rFonts w:hint="eastAsia" w:ascii="楷体_GB2312" w:eastAsia="楷体_GB2312"/>
          <w:sz w:val="28"/>
          <w:highlight w:val="none"/>
        </w:rPr>
        <w:t>9.2.1 乙方保证在符合编制条件的情况下，按国家规定和合同约定的技术规范、标准进行编制，按本合同第六条规定的内容、时间及份数向甲方交付咨询报告(如出现包括但不限于9.1.1、9.1．2、9．1．4、9.1.5规定有关交付咨询报告顺延的情况除外)，并对提交的咨询报告的质量负责。</w:t>
      </w:r>
    </w:p>
    <w:p w14:paraId="10147C6B">
      <w:pPr>
        <w:pStyle w:val="4"/>
        <w:spacing w:line="600" w:lineRule="exact"/>
        <w:ind w:firstLine="570"/>
        <w:rPr>
          <w:rFonts w:hint="eastAsia" w:ascii="楷体_GB2312" w:eastAsia="楷体_GB2312"/>
          <w:sz w:val="28"/>
          <w:highlight w:val="none"/>
          <w:lang w:val="en-US" w:eastAsia="zh-CN"/>
        </w:rPr>
      </w:pPr>
      <w:r>
        <w:rPr>
          <w:rFonts w:hint="eastAsia" w:ascii="楷体_GB2312" w:eastAsia="楷体_GB2312"/>
          <w:sz w:val="28"/>
          <w:highlight w:val="none"/>
        </w:rPr>
        <w:t xml:space="preserve">9.2.2 </w:t>
      </w:r>
      <w:r>
        <w:rPr>
          <w:rFonts w:hint="eastAsia" w:ascii="楷体_GB2312" w:eastAsia="楷体_GB2312"/>
          <w:sz w:val="28"/>
          <w:highlight w:val="none"/>
        </w:rPr>
        <w:t>乙方因自身原因致使咨询报告出现遗漏或错误的，乙方负责修改或补充，造成甲方损失的，应赔偿甲方相应损失；如因甲方原因导致乙方修改或者补充咨询报告的，甲方应另行支付相应的费用。</w:t>
      </w:r>
      <w:r>
        <w:rPr>
          <w:rFonts w:hint="eastAsia" w:ascii="楷体_GB2312" w:eastAsia="楷体_GB2312"/>
          <w:sz w:val="28"/>
          <w:highlight w:val="none"/>
          <w:lang w:val="en-US" w:eastAsia="zh-CN"/>
        </w:rPr>
        <w:t xml:space="preserve"> </w:t>
      </w:r>
      <w:r>
        <w:rPr>
          <w:rFonts w:hint="eastAsia" w:ascii="楷体_GB2312" w:eastAsia="楷体_GB2312"/>
          <w:sz w:val="28"/>
          <w:highlight w:val="none"/>
          <w:lang w:val="en-US" w:eastAsia="zh-CN"/>
        </w:rPr>
        <w:t xml:space="preserve">  </w:t>
      </w:r>
    </w:p>
    <w:p w14:paraId="1714E96A">
      <w:pPr>
        <w:pStyle w:val="4"/>
        <w:spacing w:line="600" w:lineRule="exact"/>
        <w:ind w:firstLine="570"/>
        <w:rPr>
          <w:rFonts w:hint="eastAsia" w:ascii="楷体_GB2312" w:eastAsia="楷体_GB2312"/>
          <w:sz w:val="28"/>
          <w:highlight w:val="none"/>
        </w:rPr>
      </w:pPr>
      <w:r>
        <w:rPr>
          <w:rFonts w:hint="eastAsia" w:ascii="楷体_GB2312" w:eastAsia="楷体_GB2312"/>
          <w:sz w:val="28"/>
          <w:highlight w:val="none"/>
        </w:rPr>
        <w:t>9.2.3由于乙方原因，延误了咨询报告交付时间，每延迟一天，应当向甲方支付该项目应收编制费的千分之二支付违约金；乙方逾期交付编制成果超过30天的，甲方有权解除本合同。</w:t>
      </w:r>
    </w:p>
    <w:p w14:paraId="53435903">
      <w:pPr>
        <w:pStyle w:val="3"/>
        <w:spacing w:line="600" w:lineRule="exact"/>
        <w:rPr>
          <w:rFonts w:hint="eastAsia" w:ascii="楷体_GB2312" w:hAnsi="Courier New" w:eastAsia="楷体_GB2312" w:cs="Courier New"/>
          <w:sz w:val="28"/>
          <w:szCs w:val="21"/>
          <w:highlight w:val="none"/>
        </w:rPr>
      </w:pPr>
      <w:r>
        <w:rPr>
          <w:rFonts w:hint="eastAsia" w:ascii="楷体_GB2312" w:hAnsi="Courier New" w:eastAsia="楷体_GB2312" w:cs="Courier New"/>
          <w:sz w:val="28"/>
          <w:szCs w:val="21"/>
          <w:highlight w:val="none"/>
        </w:rPr>
        <w:t xml:space="preserve">    9.2.4本合同生效后，双方必须按照合同约定履行义务，不得单方要求终止或解除合同。乙方单方解除合同的，除应当返还甲方已经支付的本合同的款项外，还应当向甲方支付本合同金额的百分之三十的违约金作为赔偿。</w:t>
      </w:r>
    </w:p>
    <w:p w14:paraId="03F60751">
      <w:pPr>
        <w:pStyle w:val="4"/>
        <w:spacing w:line="600" w:lineRule="exact"/>
        <w:ind w:firstLine="570"/>
        <w:rPr>
          <w:rFonts w:hint="eastAsia" w:ascii="楷体_GB2312" w:eastAsia="楷体_GB2312"/>
          <w:color w:val="000000"/>
          <w:sz w:val="28"/>
          <w:highlight w:val="none"/>
        </w:rPr>
      </w:pPr>
      <w:r>
        <w:rPr>
          <w:rFonts w:hint="eastAsia" w:ascii="楷体_GB2312" w:eastAsia="楷体_GB2312"/>
          <w:sz w:val="28"/>
          <w:highlight w:val="none"/>
        </w:rPr>
        <w:t>9.2.5 乙方交付咨询报告后，按规定参加有关上级的审查，并根据审查结论负责对不超出原定范围的内容做必要调整补充。</w:t>
      </w:r>
    </w:p>
    <w:p w14:paraId="4E16A9C2">
      <w:pPr>
        <w:pStyle w:val="4"/>
        <w:spacing w:line="600" w:lineRule="exact"/>
        <w:outlineLvl w:val="0"/>
        <w:rPr>
          <w:rFonts w:hint="eastAsia" w:ascii="楷体_GB2312" w:eastAsia="楷体_GB2312"/>
          <w:b/>
          <w:bCs/>
          <w:color w:val="000000"/>
          <w:sz w:val="28"/>
          <w:highlight w:val="none"/>
        </w:rPr>
      </w:pPr>
      <w:r>
        <w:rPr>
          <w:rFonts w:hint="eastAsia" w:ascii="黑体" w:eastAsia="黑体"/>
          <w:b/>
          <w:bCs/>
          <w:color w:val="000000"/>
          <w:sz w:val="28"/>
          <w:highlight w:val="none"/>
        </w:rPr>
        <w:t>第十条  保密</w:t>
      </w:r>
    </w:p>
    <w:p w14:paraId="7246DC0C">
      <w:pPr>
        <w:pStyle w:val="4"/>
        <w:spacing w:line="600" w:lineRule="exact"/>
        <w:ind w:firstLine="560" w:firstLineChars="200"/>
        <w:rPr>
          <w:rFonts w:hint="eastAsia" w:ascii="楷体_GB2312" w:eastAsia="楷体_GB2312"/>
          <w:sz w:val="28"/>
          <w:highlight w:val="none"/>
        </w:rPr>
      </w:pPr>
      <w:r>
        <w:rPr>
          <w:rFonts w:hint="eastAsia" w:ascii="楷体_GB2312" w:eastAsia="楷体_GB2312"/>
          <w:sz w:val="28"/>
          <w:highlight w:val="none"/>
        </w:rPr>
        <w:t>双方均应保护对方的知识产权，未经对方同意，任何一方均不得对对方的资料及文件擅自修改、复制或向第三人转让或用于本合同项目外的项目。如发生以上情况，泄密方承担一切由此引起的后果并承担赔偿责任。</w:t>
      </w:r>
    </w:p>
    <w:p w14:paraId="0C6CBA12">
      <w:pPr>
        <w:pStyle w:val="4"/>
        <w:spacing w:line="600" w:lineRule="exact"/>
        <w:ind w:firstLine="560" w:firstLineChars="200"/>
        <w:rPr>
          <w:rFonts w:hint="eastAsia" w:ascii="楷体_GB2312" w:eastAsia="楷体_GB2312"/>
          <w:color w:val="000000"/>
          <w:sz w:val="28"/>
          <w:highlight w:val="none"/>
        </w:rPr>
      </w:pPr>
      <w:r>
        <w:rPr>
          <w:rFonts w:hint="eastAsia" w:ascii="楷体_GB2312" w:eastAsia="楷体_GB2312"/>
          <w:color w:val="000000"/>
          <w:sz w:val="28"/>
          <w:highlight w:val="none"/>
        </w:rPr>
        <w:t>本条款不因本合同解除、终止、撤销而失效。</w:t>
      </w:r>
    </w:p>
    <w:p w14:paraId="5C5C8650">
      <w:pPr>
        <w:pStyle w:val="4"/>
        <w:spacing w:line="600" w:lineRule="exact"/>
        <w:outlineLvl w:val="0"/>
        <w:rPr>
          <w:rFonts w:hint="eastAsia" w:ascii="楷体_GB2312" w:eastAsia="楷体_GB2312"/>
          <w:b/>
          <w:bCs/>
          <w:color w:val="000000"/>
          <w:sz w:val="28"/>
          <w:highlight w:val="none"/>
        </w:rPr>
      </w:pPr>
      <w:r>
        <w:rPr>
          <w:rFonts w:hint="eastAsia" w:ascii="黑体" w:eastAsia="黑体"/>
          <w:b/>
          <w:bCs/>
          <w:color w:val="000000"/>
          <w:sz w:val="28"/>
          <w:highlight w:val="none"/>
        </w:rPr>
        <w:t>第十一条  争端的解决</w:t>
      </w:r>
    </w:p>
    <w:p w14:paraId="0A55D620">
      <w:pPr>
        <w:pStyle w:val="4"/>
        <w:spacing w:line="600" w:lineRule="exact"/>
        <w:ind w:firstLine="560" w:firstLineChars="200"/>
        <w:rPr>
          <w:rFonts w:hint="eastAsia" w:ascii="楷体_GB2312" w:eastAsia="楷体_GB2312"/>
          <w:color w:val="000000"/>
          <w:sz w:val="28"/>
          <w:highlight w:val="none"/>
        </w:rPr>
      </w:pPr>
      <w:r>
        <w:rPr>
          <w:rFonts w:hint="eastAsia" w:ascii="楷体_GB2312" w:eastAsia="楷体_GB2312"/>
          <w:color w:val="000000"/>
          <w:sz w:val="28"/>
          <w:highlight w:val="none"/>
        </w:rPr>
        <w:t>争端的解决本合同在履行过程中发生的争议，由双方当事人协商解决，协商不成的由甲方所在地有管辖权的人民法院管辖。</w:t>
      </w:r>
    </w:p>
    <w:p w14:paraId="014E8AD4">
      <w:pPr>
        <w:pStyle w:val="4"/>
        <w:spacing w:line="600" w:lineRule="exact"/>
        <w:outlineLvl w:val="0"/>
        <w:rPr>
          <w:rFonts w:hint="eastAsia" w:ascii="楷体_GB2312" w:eastAsia="楷体_GB2312"/>
          <w:b/>
          <w:bCs/>
          <w:color w:val="000000"/>
          <w:sz w:val="28"/>
          <w:highlight w:val="none"/>
        </w:rPr>
      </w:pPr>
      <w:r>
        <w:rPr>
          <w:rFonts w:hint="eastAsia" w:ascii="黑体" w:eastAsia="黑体"/>
          <w:b/>
          <w:bCs/>
          <w:color w:val="000000"/>
          <w:sz w:val="28"/>
          <w:highlight w:val="none"/>
        </w:rPr>
        <w:t>第十二条  合同生效及其他</w:t>
      </w:r>
    </w:p>
    <w:p w14:paraId="64DA2BDD">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12.1 甲方要求乙方派专人长期驻施工现场进行配合与解决有关问题时，双方应另行签订技术咨询服务合同。</w:t>
      </w:r>
    </w:p>
    <w:p w14:paraId="5AEAB125">
      <w:pPr>
        <w:pStyle w:val="4"/>
        <w:spacing w:line="600" w:lineRule="exact"/>
        <w:ind w:firstLine="560" w:firstLineChars="200"/>
        <w:rPr>
          <w:rFonts w:hint="eastAsia" w:ascii="楷体_GB2312" w:eastAsia="楷体_GB2312"/>
          <w:color w:val="000000"/>
          <w:sz w:val="28"/>
          <w:highlight w:val="none"/>
        </w:rPr>
      </w:pPr>
      <w:r>
        <w:rPr>
          <w:rFonts w:hint="eastAsia" w:ascii="楷体_GB2312" w:eastAsia="楷体_GB2312"/>
          <w:color w:val="000000"/>
          <w:sz w:val="28"/>
          <w:highlight w:val="none"/>
        </w:rPr>
        <w:t>12.2 甲方委托乙方承担本合同内容以外的工作服务，另行签订协议并支付费用。</w:t>
      </w:r>
    </w:p>
    <w:p w14:paraId="3C013511">
      <w:pPr>
        <w:pStyle w:val="4"/>
        <w:spacing w:line="600" w:lineRule="exact"/>
        <w:ind w:firstLine="560" w:firstLineChars="200"/>
        <w:rPr>
          <w:rFonts w:ascii="楷体_GB2312" w:eastAsia="楷体_GB2312"/>
          <w:color w:val="000000"/>
          <w:sz w:val="28"/>
          <w:highlight w:val="none"/>
        </w:rPr>
      </w:pPr>
      <w:r>
        <w:rPr>
          <w:rFonts w:hint="eastAsia" w:ascii="楷体_GB2312" w:eastAsia="楷体_GB2312"/>
          <w:color w:val="000000"/>
          <w:sz w:val="28"/>
          <w:highlight w:val="none"/>
        </w:rPr>
        <w:t xml:space="preserve">12.3 双方认可的来往传真、电报、会议纪要等，均为合同的有效组成部分，与本合同具有同等法律效力。  </w:t>
      </w:r>
    </w:p>
    <w:p w14:paraId="432CB29E">
      <w:pPr>
        <w:pStyle w:val="4"/>
        <w:spacing w:line="600" w:lineRule="exact"/>
        <w:rPr>
          <w:rFonts w:hint="eastAsia" w:ascii="楷体_GB2312" w:eastAsia="楷体_GB2312"/>
          <w:color w:val="000000"/>
          <w:sz w:val="28"/>
          <w:highlight w:val="none"/>
        </w:rPr>
      </w:pPr>
      <w:r>
        <w:rPr>
          <w:rFonts w:hint="eastAsia" w:ascii="楷体_GB2312" w:eastAsia="楷体_GB2312"/>
          <w:color w:val="000000"/>
          <w:sz w:val="28"/>
          <w:highlight w:val="none"/>
        </w:rPr>
        <w:t xml:space="preserve">    12.4 由于不可抗力因素致使合同无法履行时，双方应及时协商解决。</w:t>
      </w:r>
    </w:p>
    <w:p w14:paraId="7A08489C">
      <w:pPr>
        <w:pStyle w:val="4"/>
        <w:spacing w:line="600" w:lineRule="exact"/>
        <w:ind w:firstLine="570"/>
        <w:rPr>
          <w:rFonts w:hint="eastAsia" w:ascii="楷体_GB2312" w:eastAsia="楷体_GB2312"/>
          <w:color w:val="000000"/>
          <w:sz w:val="28"/>
          <w:highlight w:val="none"/>
        </w:rPr>
      </w:pPr>
      <w:r>
        <w:rPr>
          <w:rFonts w:hint="eastAsia" w:ascii="楷体_GB2312" w:eastAsia="楷体_GB2312"/>
          <w:color w:val="000000"/>
          <w:sz w:val="28"/>
          <w:highlight w:val="none"/>
        </w:rPr>
        <w:t>12.5 本合同双方签字盖章即生效，壹式</w:t>
      </w:r>
      <w:r>
        <w:rPr>
          <w:rFonts w:hint="eastAsia" w:ascii="楷体_GB2312" w:eastAsia="楷体_GB2312"/>
          <w:color w:val="000000"/>
          <w:sz w:val="28"/>
          <w:highlight w:val="none"/>
          <w:u w:val="single"/>
        </w:rPr>
        <w:t xml:space="preserve"> </w:t>
      </w:r>
      <w:r>
        <w:rPr>
          <w:rFonts w:hint="eastAsia" w:hAnsi="宋体" w:cs="宋体"/>
          <w:b/>
          <w:color w:val="000000"/>
          <w:sz w:val="28"/>
          <w:highlight w:val="none"/>
          <w:u w:val="single"/>
        </w:rPr>
        <w:t>陆</w:t>
      </w:r>
      <w:r>
        <w:rPr>
          <w:rFonts w:hint="eastAsia" w:ascii="楷体_GB2312" w:eastAsia="楷体_GB2312"/>
          <w:color w:val="000000"/>
          <w:sz w:val="28"/>
          <w:highlight w:val="none"/>
          <w:u w:val="single"/>
        </w:rPr>
        <w:t xml:space="preserve"> </w:t>
      </w:r>
      <w:r>
        <w:rPr>
          <w:rFonts w:hint="eastAsia" w:ascii="楷体_GB2312" w:eastAsia="楷体_GB2312"/>
          <w:color w:val="000000"/>
          <w:sz w:val="28"/>
          <w:highlight w:val="none"/>
        </w:rPr>
        <w:t>份，甲方</w:t>
      </w:r>
      <w:r>
        <w:rPr>
          <w:rFonts w:hint="eastAsia" w:ascii="楷体_GB2312" w:eastAsia="楷体_GB2312"/>
          <w:color w:val="000000"/>
          <w:sz w:val="28"/>
          <w:highlight w:val="none"/>
          <w:u w:val="single"/>
        </w:rPr>
        <w:t xml:space="preserve"> </w:t>
      </w:r>
      <w:r>
        <w:rPr>
          <w:rFonts w:hint="eastAsia" w:ascii="楷体_GB2312" w:eastAsia="楷体_GB2312"/>
          <w:b/>
          <w:color w:val="000000"/>
          <w:sz w:val="28"/>
          <w:highlight w:val="none"/>
          <w:u w:val="single"/>
        </w:rPr>
        <w:t xml:space="preserve">叁 </w:t>
      </w:r>
      <w:r>
        <w:rPr>
          <w:rFonts w:hint="eastAsia" w:ascii="楷体_GB2312" w:eastAsia="楷体_GB2312"/>
          <w:color w:val="000000"/>
          <w:sz w:val="28"/>
          <w:highlight w:val="none"/>
        </w:rPr>
        <w:t>份，乙方</w:t>
      </w:r>
      <w:r>
        <w:rPr>
          <w:rFonts w:hint="eastAsia" w:ascii="楷体_GB2312" w:eastAsia="楷体_GB2312"/>
          <w:color w:val="000000"/>
          <w:sz w:val="28"/>
          <w:highlight w:val="none"/>
          <w:u w:val="single"/>
        </w:rPr>
        <w:t xml:space="preserve"> </w:t>
      </w:r>
      <w:r>
        <w:rPr>
          <w:rFonts w:hint="eastAsia" w:ascii="楷体_GB2312" w:eastAsia="楷体_GB2312"/>
          <w:b/>
          <w:color w:val="000000"/>
          <w:sz w:val="28"/>
          <w:highlight w:val="none"/>
          <w:u w:val="single"/>
        </w:rPr>
        <w:t>叁</w:t>
      </w:r>
      <w:r>
        <w:rPr>
          <w:rFonts w:hint="eastAsia" w:ascii="楷体_GB2312" w:eastAsia="楷体_GB2312"/>
          <w:color w:val="000000"/>
          <w:sz w:val="28"/>
          <w:highlight w:val="none"/>
          <w:u w:val="single"/>
        </w:rPr>
        <w:t xml:space="preserve"> </w:t>
      </w:r>
      <w:r>
        <w:rPr>
          <w:rFonts w:hint="eastAsia" w:ascii="楷体_GB2312" w:eastAsia="楷体_GB2312"/>
          <w:color w:val="000000"/>
          <w:sz w:val="28"/>
          <w:highlight w:val="none"/>
        </w:rPr>
        <w:t>份。</w:t>
      </w:r>
    </w:p>
    <w:p w14:paraId="27F67AD1">
      <w:pPr>
        <w:pStyle w:val="4"/>
        <w:spacing w:line="600" w:lineRule="exact"/>
        <w:ind w:firstLine="560" w:firstLineChars="200"/>
        <w:rPr>
          <w:rFonts w:hint="eastAsia" w:ascii="楷体_GB2312" w:eastAsia="楷体_GB2312"/>
          <w:color w:val="000000"/>
          <w:sz w:val="28"/>
          <w:highlight w:val="none"/>
        </w:rPr>
      </w:pPr>
      <w:r>
        <w:rPr>
          <w:rFonts w:hint="eastAsia" w:ascii="楷体_GB2312" w:eastAsia="楷体_GB2312"/>
          <w:color w:val="000000"/>
          <w:sz w:val="28"/>
          <w:highlight w:val="none"/>
        </w:rPr>
        <w:t>12.6 未尽事宜，经双方协商一致，签订补充协议，补充协议与本合同具有同等效力。</w:t>
      </w:r>
    </w:p>
    <w:p w14:paraId="2917784C">
      <w:pPr>
        <w:pStyle w:val="4"/>
        <w:spacing w:line="360" w:lineRule="auto"/>
        <w:rPr>
          <w:rFonts w:hint="eastAsia" w:ascii="楷体_GB2312" w:eastAsia="楷体_GB2312"/>
          <w:color w:val="000000"/>
          <w:sz w:val="28"/>
          <w:highlight w:val="none"/>
        </w:rPr>
      </w:pPr>
      <w:r>
        <w:rPr>
          <w:rFonts w:hint="eastAsia" w:ascii="楷体_GB2312" w:eastAsia="楷体_GB2312"/>
          <w:color w:val="000000"/>
          <w:sz w:val="28"/>
          <w:highlight w:val="none"/>
        </w:rPr>
        <w:t>（以下无正文，为签章页）</w:t>
      </w:r>
    </w:p>
    <w:p w14:paraId="3364410E">
      <w:pPr>
        <w:pStyle w:val="4"/>
        <w:spacing w:line="360" w:lineRule="auto"/>
        <w:rPr>
          <w:rFonts w:hint="eastAsia" w:ascii="楷体_GB2312" w:eastAsia="楷体_GB2312"/>
          <w:color w:val="000000"/>
          <w:sz w:val="28"/>
          <w:highlight w:val="none"/>
        </w:rPr>
      </w:pPr>
    </w:p>
    <w:p w14:paraId="475CF581">
      <w:pPr>
        <w:pStyle w:val="4"/>
        <w:spacing w:line="360" w:lineRule="auto"/>
        <w:rPr>
          <w:rFonts w:hint="eastAsia" w:ascii="楷体_GB2312" w:eastAsia="楷体_GB2312"/>
          <w:color w:val="000000"/>
          <w:sz w:val="28"/>
          <w:highlight w:val="none"/>
        </w:rPr>
      </w:pPr>
    </w:p>
    <w:p w14:paraId="08D98499">
      <w:pPr>
        <w:pStyle w:val="4"/>
        <w:spacing w:line="360" w:lineRule="auto"/>
        <w:rPr>
          <w:rFonts w:hint="eastAsia" w:ascii="楷体_GB2312" w:eastAsia="楷体_GB2312"/>
          <w:color w:val="000000"/>
          <w:sz w:val="28"/>
          <w:highlight w:val="none"/>
        </w:rPr>
      </w:pPr>
    </w:p>
    <w:p w14:paraId="397D3B26">
      <w:pPr>
        <w:pStyle w:val="4"/>
        <w:spacing w:line="360" w:lineRule="auto"/>
        <w:rPr>
          <w:rFonts w:hint="eastAsia" w:ascii="楷体_GB2312" w:eastAsia="楷体_GB2312"/>
          <w:color w:val="000000"/>
          <w:sz w:val="28"/>
          <w:highlight w:val="none"/>
        </w:rPr>
      </w:pPr>
    </w:p>
    <w:p w14:paraId="41F057AF">
      <w:pPr>
        <w:pStyle w:val="4"/>
        <w:spacing w:line="360" w:lineRule="auto"/>
        <w:rPr>
          <w:rFonts w:hint="eastAsia" w:ascii="楷体_GB2312" w:eastAsia="楷体_GB2312"/>
          <w:color w:val="000000"/>
          <w:sz w:val="28"/>
          <w:highlight w:val="none"/>
        </w:rPr>
      </w:pPr>
    </w:p>
    <w:p w14:paraId="32B98AD2">
      <w:pPr>
        <w:pStyle w:val="4"/>
        <w:spacing w:line="360" w:lineRule="auto"/>
        <w:rPr>
          <w:rFonts w:hint="eastAsia" w:ascii="楷体_GB2312" w:eastAsia="楷体_GB2312"/>
          <w:color w:val="000000"/>
          <w:sz w:val="28"/>
          <w:highlight w:val="none"/>
        </w:rPr>
      </w:pPr>
    </w:p>
    <w:p w14:paraId="12DEF75E">
      <w:pPr>
        <w:pStyle w:val="4"/>
        <w:spacing w:line="360" w:lineRule="auto"/>
        <w:rPr>
          <w:rFonts w:hint="eastAsia" w:ascii="楷体_GB2312" w:eastAsia="楷体_GB2312"/>
          <w:color w:val="000000"/>
          <w:sz w:val="28"/>
          <w:highlight w:val="none"/>
        </w:rPr>
      </w:pPr>
    </w:p>
    <w:p w14:paraId="677AF332">
      <w:pPr>
        <w:pStyle w:val="4"/>
        <w:spacing w:line="360" w:lineRule="auto"/>
        <w:rPr>
          <w:rFonts w:hint="eastAsia" w:ascii="楷体_GB2312" w:eastAsia="楷体_GB2312"/>
          <w:color w:val="000000"/>
          <w:sz w:val="28"/>
          <w:highlight w:val="none"/>
        </w:rPr>
      </w:pPr>
    </w:p>
    <w:p w14:paraId="638A57E0">
      <w:pPr>
        <w:pStyle w:val="4"/>
        <w:spacing w:line="360" w:lineRule="auto"/>
        <w:rPr>
          <w:rFonts w:hint="eastAsia" w:ascii="楷体_GB2312" w:eastAsia="楷体_GB2312"/>
          <w:color w:val="000000"/>
          <w:sz w:val="28"/>
          <w:highlight w:val="none"/>
        </w:rPr>
      </w:pPr>
    </w:p>
    <w:p w14:paraId="74F50990">
      <w:pPr>
        <w:pStyle w:val="4"/>
        <w:spacing w:line="360" w:lineRule="auto"/>
        <w:rPr>
          <w:rFonts w:hint="eastAsia" w:ascii="楷体_GB2312" w:eastAsia="楷体_GB2312"/>
          <w:color w:val="000000"/>
          <w:sz w:val="28"/>
          <w:highlight w:val="none"/>
        </w:rPr>
      </w:pPr>
    </w:p>
    <w:p w14:paraId="711E2431">
      <w:pPr>
        <w:pStyle w:val="4"/>
        <w:spacing w:line="360" w:lineRule="auto"/>
        <w:rPr>
          <w:rFonts w:hint="eastAsia" w:ascii="楷体_GB2312" w:eastAsia="楷体_GB2312"/>
          <w:color w:val="000000"/>
          <w:sz w:val="28"/>
          <w:highlight w:val="none"/>
        </w:rPr>
      </w:pPr>
    </w:p>
    <w:p w14:paraId="0EE9C76A">
      <w:pPr>
        <w:pStyle w:val="4"/>
        <w:spacing w:line="360" w:lineRule="auto"/>
        <w:rPr>
          <w:rFonts w:hint="eastAsia" w:ascii="楷体_GB2312" w:eastAsia="楷体_GB2312"/>
          <w:color w:val="000000"/>
          <w:sz w:val="28"/>
          <w:highlight w:val="none"/>
        </w:rPr>
      </w:pPr>
    </w:p>
    <w:p w14:paraId="52706289">
      <w:pPr>
        <w:pStyle w:val="4"/>
        <w:spacing w:line="360" w:lineRule="auto"/>
        <w:rPr>
          <w:rFonts w:hint="eastAsia" w:ascii="楷体_GB2312" w:eastAsia="楷体_GB2312"/>
          <w:b/>
          <w:bCs/>
          <w:color w:val="000000"/>
          <w:sz w:val="28"/>
          <w:highlight w:val="none"/>
          <w:lang w:eastAsia="zh-CN"/>
        </w:rPr>
      </w:pPr>
      <w:r>
        <w:rPr>
          <w:rFonts w:hint="eastAsia" w:ascii="楷体_GB2312" w:eastAsia="楷体_GB2312"/>
          <w:b/>
          <w:bCs/>
          <w:color w:val="000000"/>
          <w:sz w:val="28"/>
          <w:highlight w:val="none"/>
        </w:rPr>
        <w:t>甲方：</w:t>
      </w:r>
      <w:r>
        <w:rPr>
          <w:rFonts w:hint="eastAsia" w:ascii="楷体_GB2312" w:eastAsia="楷体_GB2312"/>
          <w:b/>
          <w:bCs/>
          <w:color w:val="000000"/>
          <w:sz w:val="28"/>
          <w:highlight w:val="none"/>
          <w:lang w:val="en-US" w:eastAsia="zh-CN"/>
        </w:rPr>
        <w:t xml:space="preserve">西安半坡博物馆            </w:t>
      </w:r>
      <w:r>
        <w:rPr>
          <w:rFonts w:hint="eastAsia" w:ascii="楷体_GB2312" w:eastAsia="楷体_GB2312"/>
          <w:b/>
          <w:bCs/>
          <w:color w:val="000000"/>
          <w:sz w:val="28"/>
          <w:highlight w:val="none"/>
        </w:rPr>
        <w:t xml:space="preserve">  乙方：</w:t>
      </w:r>
      <w:r>
        <w:rPr>
          <w:rFonts w:hint="eastAsia" w:ascii="楷体_GB2312" w:eastAsia="楷体_GB2312"/>
          <w:b/>
          <w:bCs/>
          <w:color w:val="000000"/>
          <w:sz w:val="28"/>
          <w:highlight w:val="none"/>
          <w:lang w:eastAsia="zh-CN"/>
        </w:rPr>
        <w:t>XXX</w:t>
      </w:r>
    </w:p>
    <w:p w14:paraId="575713C7">
      <w:pPr>
        <w:pStyle w:val="4"/>
        <w:spacing w:line="360" w:lineRule="auto"/>
        <w:rPr>
          <w:rFonts w:hint="eastAsia" w:ascii="楷体_GB2312" w:eastAsia="楷体_GB2312"/>
          <w:b/>
          <w:bCs/>
          <w:color w:val="000000"/>
          <w:sz w:val="28"/>
          <w:highlight w:val="none"/>
        </w:rPr>
      </w:pPr>
    </w:p>
    <w:p w14:paraId="0EAB9D3F">
      <w:pPr>
        <w:pStyle w:val="4"/>
        <w:spacing w:line="360" w:lineRule="auto"/>
        <w:rPr>
          <w:rFonts w:hint="eastAsia" w:ascii="楷体_GB2312" w:eastAsia="楷体_GB2312"/>
          <w:b/>
          <w:bCs/>
          <w:color w:val="000000"/>
          <w:sz w:val="28"/>
          <w:highlight w:val="none"/>
        </w:rPr>
      </w:pPr>
      <w:r>
        <w:rPr>
          <w:rFonts w:hint="eastAsia" w:ascii="楷体_GB2312" w:eastAsia="楷体_GB2312"/>
          <w:b/>
          <w:bCs/>
          <w:color w:val="000000"/>
          <w:sz w:val="28"/>
          <w:highlight w:val="none"/>
        </w:rPr>
        <w:t xml:space="preserve">法定代表人：                     法定代表人： </w:t>
      </w:r>
    </w:p>
    <w:p w14:paraId="0C7254F9">
      <w:pPr>
        <w:pStyle w:val="4"/>
        <w:spacing w:line="360" w:lineRule="auto"/>
        <w:rPr>
          <w:rFonts w:ascii="楷体_GB2312" w:eastAsia="楷体_GB2312"/>
          <w:b/>
          <w:bCs/>
          <w:color w:val="000000"/>
          <w:sz w:val="28"/>
          <w:highlight w:val="none"/>
        </w:rPr>
      </w:pPr>
    </w:p>
    <w:p w14:paraId="39FB555B">
      <w:pPr>
        <w:pStyle w:val="4"/>
        <w:spacing w:line="360" w:lineRule="auto"/>
        <w:rPr>
          <w:rFonts w:hint="eastAsia" w:ascii="楷体_GB2312" w:eastAsia="楷体_GB2312"/>
          <w:b/>
          <w:bCs/>
          <w:color w:val="000000"/>
          <w:sz w:val="28"/>
          <w:highlight w:val="none"/>
        </w:rPr>
      </w:pPr>
    </w:p>
    <w:p w14:paraId="72941502">
      <w:pPr>
        <w:pStyle w:val="4"/>
        <w:spacing w:line="360" w:lineRule="auto"/>
        <w:rPr>
          <w:rFonts w:ascii="楷体_GB2312" w:eastAsia="楷体_GB2312"/>
          <w:b/>
          <w:bCs/>
          <w:color w:val="000000"/>
          <w:sz w:val="28"/>
          <w:highlight w:val="none"/>
        </w:rPr>
      </w:pPr>
      <w:r>
        <w:rPr>
          <w:rFonts w:hint="eastAsia" w:ascii="楷体_GB2312" w:eastAsia="楷体_GB2312"/>
          <w:b/>
          <w:bCs/>
          <w:color w:val="000000"/>
          <w:sz w:val="28"/>
          <w:highlight w:val="none"/>
        </w:rPr>
        <w:t>（盖章）                         （盖章）</w:t>
      </w:r>
    </w:p>
    <w:p w14:paraId="079AE96D">
      <w:pPr>
        <w:pStyle w:val="4"/>
        <w:spacing w:line="360" w:lineRule="auto"/>
        <w:rPr>
          <w:rFonts w:ascii="楷体_GB2312" w:eastAsia="楷体_GB2312"/>
          <w:b/>
          <w:bCs/>
          <w:color w:val="000000"/>
          <w:sz w:val="28"/>
          <w:highlight w:val="none"/>
        </w:rPr>
      </w:pPr>
      <w:r>
        <w:rPr>
          <w:rFonts w:hint="eastAsia" w:ascii="楷体_GB2312" w:eastAsia="楷体_GB2312"/>
          <w:b/>
          <w:bCs/>
          <w:color w:val="000000"/>
          <w:sz w:val="28"/>
          <w:highlight w:val="none"/>
        </w:rPr>
        <w:t xml:space="preserve">委托代理人：( 签字 )             委托代理人：( 签字 ) </w:t>
      </w:r>
    </w:p>
    <w:p w14:paraId="728DA4EF">
      <w:pPr>
        <w:pStyle w:val="4"/>
        <w:spacing w:line="360" w:lineRule="auto"/>
        <w:rPr>
          <w:rFonts w:hint="eastAsia" w:ascii="楷体_GB2312" w:eastAsia="楷体_GB2312"/>
          <w:b/>
          <w:bCs/>
          <w:color w:val="000000"/>
          <w:sz w:val="28"/>
          <w:highlight w:val="none"/>
        </w:rPr>
      </w:pPr>
      <w:r>
        <w:rPr>
          <w:rFonts w:hint="eastAsia" w:ascii="楷体_GB2312" w:eastAsia="楷体_GB2312"/>
          <w:b/>
          <w:bCs/>
          <w:color w:val="000000"/>
          <w:sz w:val="28"/>
          <w:highlight w:val="none"/>
        </w:rPr>
        <w:t xml:space="preserve">项目负责人：( 签字 )             项目负责人：( 签字 ) </w:t>
      </w:r>
    </w:p>
    <w:p w14:paraId="5F9DAE19">
      <w:pPr>
        <w:pStyle w:val="4"/>
        <w:spacing w:line="360" w:lineRule="auto"/>
        <w:rPr>
          <w:rFonts w:ascii="楷体_GB2312" w:eastAsia="楷体_GB2312"/>
          <w:b/>
          <w:bCs/>
          <w:color w:val="000000"/>
          <w:sz w:val="28"/>
          <w:highlight w:val="none"/>
        </w:rPr>
      </w:pPr>
    </w:p>
    <w:p w14:paraId="252750F2">
      <w:pPr>
        <w:pStyle w:val="4"/>
        <w:spacing w:line="360" w:lineRule="auto"/>
        <w:rPr>
          <w:rFonts w:ascii="楷体_GB2312" w:eastAsia="楷体_GB2312"/>
          <w:b/>
          <w:bCs/>
          <w:color w:val="000000"/>
          <w:sz w:val="28"/>
          <w:highlight w:val="none"/>
        </w:rPr>
      </w:pPr>
      <w:r>
        <w:rPr>
          <w:rFonts w:hint="eastAsia" w:ascii="楷体_GB2312" w:eastAsia="楷体_GB2312"/>
          <w:b/>
          <w:bCs/>
          <w:color w:val="000000"/>
          <w:sz w:val="28"/>
          <w:highlight w:val="none"/>
        </w:rPr>
        <w:t>签定日期：    年  月  日         签定日期：    年  月  日</w:t>
      </w:r>
    </w:p>
    <w:p w14:paraId="182F7DBE">
      <w:pPr>
        <w:snapToGrid w:val="0"/>
        <w:ind w:left="5726" w:hanging="5726" w:hangingChars="2037"/>
        <w:rPr>
          <w:rFonts w:hint="eastAsia" w:ascii="楷体_GB2312" w:eastAsia="楷体_GB2312"/>
          <w:b/>
          <w:bCs/>
          <w:color w:val="000000"/>
          <w:sz w:val="28"/>
          <w:highlight w:val="none"/>
          <w:lang w:val="en-US" w:eastAsia="zh-CN"/>
        </w:rPr>
      </w:pPr>
      <w:r>
        <w:rPr>
          <w:rFonts w:hint="eastAsia" w:ascii="楷体_GB2312" w:eastAsia="楷体_GB2312"/>
          <w:b/>
          <w:bCs/>
          <w:color w:val="000000"/>
          <w:sz w:val="28"/>
          <w:highlight w:val="none"/>
        </w:rPr>
        <w:t>地    址：</w:t>
      </w:r>
      <w:r>
        <w:rPr>
          <w:rFonts w:hint="eastAsia" w:ascii="楷体_GB2312" w:eastAsia="楷体_GB2312"/>
          <w:b/>
          <w:bCs/>
          <w:color w:val="000000"/>
          <w:sz w:val="28"/>
          <w:highlight w:val="none"/>
          <w:lang w:val="en-US" w:eastAsia="zh-CN"/>
        </w:rPr>
        <w:t>西安市灞桥</w:t>
      </w:r>
    </w:p>
    <w:p w14:paraId="2D987900">
      <w:pPr>
        <w:snapToGrid w:val="0"/>
        <w:ind w:left="5726" w:hanging="5726" w:hangingChars="2037"/>
        <w:rPr>
          <w:rFonts w:hint="eastAsia" w:ascii="楷体_GB2312" w:hAnsi="Courier New" w:eastAsia="楷体_GB2312" w:cs="Courier New"/>
          <w:b/>
          <w:bCs/>
          <w:color w:val="000000"/>
          <w:sz w:val="28"/>
          <w:szCs w:val="21"/>
          <w:highlight w:val="none"/>
        </w:rPr>
      </w:pPr>
      <w:r>
        <w:rPr>
          <w:rFonts w:hint="eastAsia" w:ascii="楷体_GB2312" w:eastAsia="楷体_GB2312"/>
          <w:b/>
          <w:bCs/>
          <w:color w:val="000000"/>
          <w:sz w:val="28"/>
          <w:highlight w:val="none"/>
          <w:lang w:val="en-US" w:eastAsia="zh-CN"/>
        </w:rPr>
        <w:t>区半坡路155号</w:t>
      </w:r>
      <w:r>
        <w:rPr>
          <w:rFonts w:hint="eastAsia" w:ascii="楷体_GB2312" w:eastAsia="楷体_GB2312"/>
          <w:b/>
          <w:bCs/>
          <w:color w:val="000000"/>
          <w:sz w:val="28"/>
          <w:highlight w:val="none"/>
        </w:rPr>
        <w:t xml:space="preserve">         </w:t>
      </w:r>
      <w:r>
        <w:rPr>
          <w:rFonts w:hint="eastAsia" w:ascii="楷体_GB2312" w:eastAsia="楷体_GB2312"/>
          <w:b/>
          <w:bCs/>
          <w:color w:val="000000"/>
          <w:sz w:val="28"/>
          <w:highlight w:val="none"/>
          <w:lang w:val="en-US" w:eastAsia="zh-CN"/>
        </w:rPr>
        <w:t xml:space="preserve">          </w:t>
      </w:r>
      <w:r>
        <w:rPr>
          <w:rFonts w:hint="eastAsia" w:ascii="楷体_GB2312" w:hAnsi="Courier New" w:eastAsia="楷体_GB2312" w:cs="Courier New"/>
          <w:b/>
          <w:bCs/>
          <w:color w:val="000000"/>
          <w:sz w:val="28"/>
          <w:szCs w:val="21"/>
          <w:highlight w:val="none"/>
        </w:rPr>
        <w:t>地    址：</w:t>
      </w:r>
    </w:p>
    <w:p w14:paraId="782C99D8">
      <w:pPr>
        <w:rPr>
          <w:rFonts w:hint="eastAsia" w:ascii="楷体_GB2312" w:hAnsi="Courier New" w:eastAsia="楷体_GB2312" w:cs="Courier New"/>
          <w:b/>
          <w:bCs/>
          <w:color w:val="000000"/>
          <w:sz w:val="28"/>
          <w:szCs w:val="21"/>
          <w:highlight w:val="none"/>
        </w:rPr>
      </w:pPr>
      <w:r>
        <w:rPr>
          <w:rFonts w:hint="eastAsia" w:ascii="楷体_GB2312" w:eastAsia="楷体_GB2312"/>
          <w:b/>
          <w:bCs/>
          <w:color w:val="000000"/>
          <w:sz w:val="28"/>
          <w:highlight w:val="none"/>
        </w:rPr>
        <w:t>邮政编码：</w:t>
      </w:r>
      <w:r>
        <w:rPr>
          <w:rFonts w:hint="eastAsia" w:ascii="楷体_GB2312" w:eastAsia="楷体_GB2312"/>
          <w:b/>
          <w:bCs/>
          <w:color w:val="000000"/>
          <w:sz w:val="28"/>
          <w:highlight w:val="none"/>
          <w:lang w:val="en-US" w:eastAsia="zh-CN"/>
        </w:rPr>
        <w:t>710038</w:t>
      </w:r>
      <w:r>
        <w:rPr>
          <w:rFonts w:hint="eastAsia" w:ascii="楷体_GB2312" w:eastAsia="楷体_GB2312"/>
          <w:b/>
          <w:bCs/>
          <w:color w:val="000000"/>
          <w:sz w:val="28"/>
          <w:highlight w:val="none"/>
        </w:rPr>
        <w:t xml:space="preserve">               </w:t>
      </w:r>
      <w:r>
        <w:rPr>
          <w:rFonts w:hint="eastAsia" w:ascii="楷体_GB2312" w:eastAsia="楷体_GB2312"/>
          <w:b/>
          <w:bCs/>
          <w:color w:val="000000"/>
          <w:sz w:val="28"/>
          <w:highlight w:val="none"/>
          <w:lang w:val="en-US" w:eastAsia="zh-CN"/>
        </w:rPr>
        <w:t xml:space="preserve">  </w:t>
      </w:r>
      <w:r>
        <w:rPr>
          <w:rFonts w:hint="eastAsia" w:ascii="楷体_GB2312" w:hAnsi="Courier New" w:eastAsia="楷体_GB2312" w:cs="Courier New"/>
          <w:b/>
          <w:bCs/>
          <w:color w:val="000000"/>
          <w:sz w:val="28"/>
          <w:szCs w:val="21"/>
          <w:highlight w:val="none"/>
        </w:rPr>
        <w:t>邮政编码：</w:t>
      </w:r>
    </w:p>
    <w:p w14:paraId="278A5E66">
      <w:pPr>
        <w:rPr>
          <w:rFonts w:ascii="楷体_GB2312" w:eastAsia="楷体_GB2312"/>
          <w:b/>
          <w:bCs/>
          <w:color w:val="000000"/>
          <w:sz w:val="28"/>
          <w:highlight w:val="none"/>
        </w:rPr>
      </w:pPr>
      <w:r>
        <w:rPr>
          <w:rFonts w:hint="eastAsia" w:ascii="楷体_GB2312" w:eastAsia="楷体_GB2312"/>
          <w:b/>
          <w:bCs/>
          <w:color w:val="000000"/>
          <w:sz w:val="28"/>
          <w:highlight w:val="none"/>
        </w:rPr>
        <w:t>电    话</w:t>
      </w:r>
      <w:r>
        <w:rPr>
          <w:rFonts w:hint="eastAsia" w:ascii="楷体_GB2312" w:eastAsia="楷体_GB2312"/>
          <w:b/>
          <w:bCs/>
          <w:color w:val="000000"/>
          <w:sz w:val="28"/>
          <w:highlight w:val="none"/>
          <w:lang w:eastAsia="zh-CN"/>
        </w:rPr>
        <w:t>：</w:t>
      </w:r>
      <w:r>
        <w:rPr>
          <w:rFonts w:hint="eastAsia" w:ascii="楷体_GB2312" w:eastAsia="楷体_GB2312"/>
          <w:b/>
          <w:bCs/>
          <w:color w:val="000000"/>
          <w:sz w:val="28"/>
          <w:highlight w:val="none"/>
          <w:lang w:val="en-US" w:eastAsia="zh-CN"/>
        </w:rPr>
        <w:t>029-83325858</w:t>
      </w:r>
      <w:r>
        <w:rPr>
          <w:rFonts w:hint="eastAsia" w:ascii="楷体_GB2312" w:eastAsia="楷体_GB2312"/>
          <w:b/>
          <w:bCs/>
          <w:color w:val="000000"/>
          <w:sz w:val="28"/>
          <w:highlight w:val="none"/>
        </w:rPr>
        <w:t xml:space="preserve">         </w:t>
      </w:r>
      <w:r>
        <w:rPr>
          <w:rFonts w:hint="eastAsia" w:ascii="楷体_GB2312" w:eastAsia="楷体_GB2312"/>
          <w:b/>
          <w:bCs/>
          <w:color w:val="000000"/>
          <w:sz w:val="28"/>
          <w:highlight w:val="none"/>
          <w:lang w:val="en-US" w:eastAsia="zh-CN"/>
        </w:rPr>
        <w:t xml:space="preserve"> </w:t>
      </w:r>
      <w:r>
        <w:rPr>
          <w:rFonts w:hint="eastAsia" w:ascii="楷体_GB2312" w:eastAsia="楷体_GB2312"/>
          <w:b/>
          <w:bCs/>
          <w:color w:val="000000"/>
          <w:sz w:val="28"/>
          <w:highlight w:val="none"/>
        </w:rPr>
        <w:t xml:space="preserve"> </w:t>
      </w:r>
      <w:r>
        <w:rPr>
          <w:rFonts w:hint="eastAsia" w:ascii="楷体_GB2312" w:hAnsi="Courier New" w:eastAsia="楷体_GB2312" w:cs="Courier New"/>
          <w:b/>
          <w:bCs/>
          <w:color w:val="000000"/>
          <w:sz w:val="28"/>
          <w:szCs w:val="21"/>
          <w:highlight w:val="none"/>
        </w:rPr>
        <w:t>电    话：</w:t>
      </w:r>
    </w:p>
    <w:p w14:paraId="08AE2172">
      <w:pPr>
        <w:rPr>
          <w:rFonts w:ascii="楷体_GB2312" w:eastAsia="楷体_GB2312"/>
          <w:b/>
          <w:bCs/>
          <w:color w:val="000000"/>
          <w:sz w:val="28"/>
          <w:highlight w:val="none"/>
        </w:rPr>
      </w:pPr>
      <w:r>
        <w:rPr>
          <w:rFonts w:hint="eastAsia" w:ascii="楷体_GB2312" w:eastAsia="楷体_GB2312"/>
          <w:b/>
          <w:bCs/>
          <w:color w:val="000000"/>
          <w:sz w:val="28"/>
          <w:highlight w:val="none"/>
        </w:rPr>
        <w:t xml:space="preserve">传    真： </w:t>
      </w:r>
      <w:r>
        <w:rPr>
          <w:rFonts w:hint="eastAsia" w:ascii="楷体_GB2312" w:eastAsia="楷体_GB2312"/>
          <w:b/>
          <w:bCs/>
          <w:color w:val="000000"/>
          <w:sz w:val="28"/>
          <w:highlight w:val="none"/>
          <w:lang w:val="en-US" w:eastAsia="zh-CN"/>
        </w:rPr>
        <w:t>029-</w:t>
      </w:r>
      <w:r>
        <w:rPr>
          <w:rFonts w:hint="eastAsia" w:ascii="楷体_GB2312" w:eastAsia="楷体_GB2312"/>
          <w:b/>
          <w:bCs/>
          <w:color w:val="000000"/>
          <w:sz w:val="28"/>
          <w:highlight w:val="none"/>
        </w:rPr>
        <w:t xml:space="preserve">62815410          </w:t>
      </w:r>
      <w:r>
        <w:rPr>
          <w:rFonts w:hint="eastAsia" w:ascii="楷体_GB2312" w:hAnsi="Courier New" w:eastAsia="楷体_GB2312" w:cs="Courier New"/>
          <w:b/>
          <w:bCs/>
          <w:color w:val="000000"/>
          <w:sz w:val="28"/>
          <w:szCs w:val="21"/>
          <w:highlight w:val="none"/>
        </w:rPr>
        <w:t>传    真：</w:t>
      </w:r>
    </w:p>
    <w:p w14:paraId="0A2706B4">
      <w:pPr>
        <w:rPr>
          <w:rFonts w:hint="eastAsia" w:ascii="楷体_GB2312" w:eastAsia="楷体_GB2312"/>
          <w:b/>
          <w:bCs/>
          <w:color w:val="000000"/>
          <w:sz w:val="24"/>
          <w:highlight w:val="none"/>
          <w:lang w:eastAsia="zh-CN"/>
        </w:rPr>
      </w:pPr>
      <w:r>
        <w:rPr>
          <w:rFonts w:hint="eastAsia" w:ascii="楷体_GB2312" w:eastAsia="楷体_GB2312"/>
          <w:b/>
          <w:bCs/>
          <w:color w:val="000000"/>
          <w:sz w:val="28"/>
          <w:highlight w:val="none"/>
        </w:rPr>
        <w:t>单位名称：</w:t>
      </w:r>
      <w:r>
        <w:rPr>
          <w:rFonts w:hint="eastAsia" w:ascii="楷体_GB2312" w:hAnsi="Courier New" w:eastAsia="楷体_GB2312" w:cs="Courier New"/>
          <w:b/>
          <w:bCs/>
          <w:color w:val="000000"/>
          <w:sz w:val="22"/>
          <w:szCs w:val="22"/>
          <w:highlight w:val="none"/>
          <w:lang w:val="en-US" w:eastAsia="zh-CN"/>
        </w:rPr>
        <w:t>西安半坡博物馆</w:t>
      </w:r>
      <w:r>
        <w:rPr>
          <w:rFonts w:ascii="楷体_GB2312" w:eastAsia="楷体_GB2312"/>
          <w:b/>
          <w:bCs/>
          <w:color w:val="000000"/>
          <w:sz w:val="24"/>
          <w:highlight w:val="none"/>
        </w:rPr>
        <w:t xml:space="preserve"> </w:t>
      </w:r>
      <w:r>
        <w:rPr>
          <w:rFonts w:hint="eastAsia" w:ascii="楷体_GB2312" w:eastAsia="楷体_GB2312"/>
          <w:b/>
          <w:bCs/>
          <w:color w:val="000000"/>
          <w:sz w:val="24"/>
          <w:highlight w:val="none"/>
        </w:rPr>
        <w:t xml:space="preserve">             </w:t>
      </w:r>
      <w:r>
        <w:rPr>
          <w:rFonts w:hint="eastAsia" w:ascii="楷体_GB2312" w:hAnsi="Courier New" w:eastAsia="楷体_GB2312" w:cs="Courier New"/>
          <w:b/>
          <w:bCs/>
          <w:color w:val="000000"/>
          <w:sz w:val="28"/>
          <w:szCs w:val="21"/>
          <w:highlight w:val="none"/>
        </w:rPr>
        <w:t>单位名称：</w:t>
      </w:r>
    </w:p>
    <w:p w14:paraId="293087E9">
      <w:pPr>
        <w:rPr>
          <w:rFonts w:ascii="楷体_GB2312" w:eastAsia="楷体_GB2312"/>
          <w:b/>
          <w:bCs/>
          <w:color w:val="000000"/>
          <w:sz w:val="24"/>
          <w:highlight w:val="none"/>
        </w:rPr>
      </w:pPr>
      <w:r>
        <w:rPr>
          <w:rFonts w:hint="eastAsia" w:ascii="楷体_GB2312" w:eastAsia="楷体_GB2312"/>
          <w:b/>
          <w:bCs/>
          <w:color w:val="000000"/>
          <w:sz w:val="28"/>
          <w:highlight w:val="none"/>
        </w:rPr>
        <w:t>开户银行：</w:t>
      </w:r>
      <w:r>
        <w:rPr>
          <w:rFonts w:hint="eastAsia" w:ascii="楷体_GB2312" w:eastAsia="楷体_GB2312"/>
          <w:b/>
          <w:bCs/>
          <w:color w:val="000000"/>
          <w:sz w:val="28"/>
          <w:highlight w:val="none"/>
          <w:lang w:val="en-US" w:eastAsia="zh-CN"/>
        </w:rPr>
        <w:t xml:space="preserve"> </w:t>
      </w:r>
      <w:r>
        <w:rPr>
          <w:rFonts w:hint="eastAsia" w:ascii="楷体_GB2312" w:eastAsia="楷体_GB2312"/>
          <w:b/>
          <w:bCs/>
          <w:color w:val="000000"/>
          <w:sz w:val="24"/>
          <w:highlight w:val="none"/>
        </w:rPr>
        <w:t xml:space="preserve">                           </w:t>
      </w:r>
      <w:r>
        <w:rPr>
          <w:rFonts w:hint="eastAsia" w:ascii="楷体_GB2312" w:hAnsi="Courier New" w:eastAsia="楷体_GB2312" w:cs="Courier New"/>
          <w:b/>
          <w:bCs/>
          <w:color w:val="000000"/>
          <w:sz w:val="28"/>
          <w:szCs w:val="21"/>
          <w:highlight w:val="none"/>
        </w:rPr>
        <w:t>开户银行：</w:t>
      </w:r>
    </w:p>
    <w:p w14:paraId="3F64ADE9">
      <w:pPr>
        <w:rPr>
          <w:rFonts w:hint="eastAsia" w:ascii="楷体_GB2312" w:hAnsi="Courier New" w:eastAsia="楷体_GB2312" w:cs="Courier New"/>
          <w:b/>
          <w:bCs/>
          <w:color w:val="000000"/>
          <w:sz w:val="20"/>
          <w:szCs w:val="15"/>
          <w:highlight w:val="none"/>
        </w:rPr>
        <w:sectPr>
          <w:headerReference r:id="rId3" w:type="default"/>
          <w:footerReference r:id="rId4" w:type="default"/>
          <w:pgSz w:w="11907" w:h="16840"/>
          <w:pgMar w:top="1418" w:right="1797" w:bottom="1418" w:left="1797" w:header="851" w:footer="992" w:gutter="0"/>
          <w:cols w:space="720" w:num="1"/>
          <w:titlePg/>
          <w:docGrid w:type="lines" w:linePitch="312" w:charSpace="-2601"/>
        </w:sectPr>
      </w:pPr>
      <w:r>
        <w:rPr>
          <w:rFonts w:hint="eastAsia" w:ascii="楷体_GB2312" w:eastAsia="楷体_GB2312"/>
          <w:b/>
          <w:bCs/>
          <w:color w:val="000000"/>
          <w:sz w:val="28"/>
          <w:highlight w:val="none"/>
        </w:rPr>
        <w:t xml:space="preserve">银行帐号：                       </w:t>
      </w:r>
      <w:r>
        <w:rPr>
          <w:rFonts w:hint="eastAsia" w:ascii="楷体_GB2312" w:hAnsi="Courier New" w:eastAsia="楷体_GB2312" w:cs="Courier New"/>
          <w:b/>
          <w:bCs/>
          <w:color w:val="000000"/>
          <w:sz w:val="28"/>
          <w:szCs w:val="21"/>
          <w:highlight w:val="none"/>
        </w:rPr>
        <w:t>银行帐号：</w:t>
      </w:r>
    </w:p>
    <w:p w14:paraId="235E99F4">
      <w:pPr>
        <w:pStyle w:val="4"/>
        <w:spacing w:line="360" w:lineRule="auto"/>
        <w:rPr>
          <w:rFonts w:ascii="楷体_GB2312" w:eastAsia="楷体_GB2312"/>
          <w:b/>
          <w:bCs/>
          <w:color w:val="000000"/>
          <w:sz w:val="28"/>
          <w:highlight w:val="none"/>
        </w:rPr>
      </w:pPr>
    </w:p>
    <w:p w14:paraId="14B4FEB2">
      <w:pPr>
        <w:rPr>
          <w:highlight w:val="none"/>
        </w:rPr>
      </w:pPr>
    </w:p>
    <w:sectPr>
      <w:pgSz w:w="11907" w:h="16840"/>
      <w:pgMar w:top="1418" w:right="1797" w:bottom="1418" w:left="1797" w:header="851" w:footer="992" w:gutter="0"/>
      <w:cols w:space="420" w:num="2"/>
      <w:titlePg/>
      <w:docGrid w:type="lines" w:linePitch="312" w:charSpace="-26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EF331">
    <w:pPr>
      <w:pStyle w:val="5"/>
      <w:jc w:val="center"/>
    </w:pPr>
    <w:r>
      <w:fldChar w:fldCharType="begin"/>
    </w:r>
    <w:r>
      <w:instrText xml:space="preserve">PAGE   \* MERGEFORMAT</w:instrText>
    </w:r>
    <w:r>
      <w:fldChar w:fldCharType="separate"/>
    </w:r>
    <w:r>
      <w:rPr>
        <w:lang w:val="zh-CN"/>
      </w:rPr>
      <w:t>3</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9DE96">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2D556D"/>
    <w:multiLevelType w:val="multilevel"/>
    <w:tmpl w:val="262D556D"/>
    <w:lvl w:ilvl="0" w:tentative="0">
      <w:start w:val="1"/>
      <w:numFmt w:val="decimal"/>
      <w:lvlText w:val="%1"/>
      <w:lvlJc w:val="left"/>
      <w:pPr>
        <w:ind w:left="555" w:hanging="555"/>
      </w:pPr>
      <w:rPr>
        <w:rFonts w:hint="default"/>
      </w:rPr>
    </w:lvl>
    <w:lvl w:ilvl="1" w:tentative="0">
      <w:start w:val="1"/>
      <w:numFmt w:val="decimal"/>
      <w:lvlText w:val="%1.%2"/>
      <w:lvlJc w:val="left"/>
      <w:pPr>
        <w:ind w:left="1290" w:hanging="720"/>
      </w:pPr>
      <w:rPr>
        <w:rFonts w:hint="default"/>
      </w:rPr>
    </w:lvl>
    <w:lvl w:ilvl="2" w:tentative="0">
      <w:start w:val="1"/>
      <w:numFmt w:val="decimal"/>
      <w:lvlText w:val="%1.%2.%3"/>
      <w:lvlJc w:val="left"/>
      <w:pPr>
        <w:ind w:left="1860" w:hanging="720"/>
      </w:pPr>
      <w:rPr>
        <w:rFonts w:hint="default"/>
      </w:rPr>
    </w:lvl>
    <w:lvl w:ilvl="3" w:tentative="0">
      <w:start w:val="1"/>
      <w:numFmt w:val="decimal"/>
      <w:lvlText w:val="%1.%2.%3.%4"/>
      <w:lvlJc w:val="left"/>
      <w:pPr>
        <w:ind w:left="2790" w:hanging="1080"/>
      </w:pPr>
      <w:rPr>
        <w:rFonts w:hint="default"/>
      </w:rPr>
    </w:lvl>
    <w:lvl w:ilvl="4" w:tentative="0">
      <w:start w:val="1"/>
      <w:numFmt w:val="decimal"/>
      <w:lvlText w:val="%1.%2.%3.%4.%5"/>
      <w:lvlJc w:val="left"/>
      <w:pPr>
        <w:ind w:left="3720" w:hanging="1440"/>
      </w:pPr>
      <w:rPr>
        <w:rFonts w:hint="default"/>
      </w:rPr>
    </w:lvl>
    <w:lvl w:ilvl="5" w:tentative="0">
      <w:start w:val="1"/>
      <w:numFmt w:val="decimal"/>
      <w:lvlText w:val="%1.%2.%3.%4.%5.%6"/>
      <w:lvlJc w:val="left"/>
      <w:pPr>
        <w:ind w:left="4650" w:hanging="1800"/>
      </w:pPr>
      <w:rPr>
        <w:rFonts w:hint="default"/>
      </w:rPr>
    </w:lvl>
    <w:lvl w:ilvl="6" w:tentative="0">
      <w:start w:val="1"/>
      <w:numFmt w:val="decimal"/>
      <w:lvlText w:val="%1.%2.%3.%4.%5.%6.%7"/>
      <w:lvlJc w:val="left"/>
      <w:pPr>
        <w:ind w:left="5580" w:hanging="2160"/>
      </w:pPr>
      <w:rPr>
        <w:rFonts w:hint="default"/>
      </w:rPr>
    </w:lvl>
    <w:lvl w:ilvl="7" w:tentative="0">
      <w:start w:val="1"/>
      <w:numFmt w:val="decimal"/>
      <w:lvlText w:val="%1.%2.%3.%4.%5.%6.%7.%8"/>
      <w:lvlJc w:val="left"/>
      <w:pPr>
        <w:ind w:left="6150" w:hanging="2160"/>
      </w:pPr>
      <w:rPr>
        <w:rFonts w:hint="default"/>
      </w:rPr>
    </w:lvl>
    <w:lvl w:ilvl="8" w:tentative="0">
      <w:start w:val="1"/>
      <w:numFmt w:val="decimal"/>
      <w:lvlText w:val="%1.%2.%3.%4.%5.%6.%7.%8.%9"/>
      <w:lvlJc w:val="left"/>
      <w:pPr>
        <w:ind w:left="708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xY2QzODFhYzY4YTVmNzdkMjFiMzdmYzY2NTcyMGEifQ=="/>
  </w:docVars>
  <w:rsids>
    <w:rsidRoot w:val="00000000"/>
    <w:rsid w:val="10A47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qFormat/>
    <w:uiPriority w:val="9"/>
    <w:pPr>
      <w:widowControl/>
      <w:spacing w:before="100" w:beforeAutospacing="1" w:after="100" w:afterAutospacing="1"/>
      <w:jc w:val="left"/>
      <w:outlineLvl w:val="2"/>
    </w:pPr>
    <w:rPr>
      <w:rFonts w:ascii="宋体" w:hAnsi="宋体"/>
      <w:b/>
      <w:bCs/>
      <w:kern w:val="0"/>
      <w:sz w:val="27"/>
      <w:szCs w:val="27"/>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Plain Text"/>
    <w:basedOn w:val="1"/>
    <w:uiPriority w:val="0"/>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2025-09-04T08:08:03Z</dcterms:created>
  <dc:creator>魏颖</dc:creator>
  <cp:lastModifiedBy>魏颖</cp:lastModifiedBy>
  <dcterms:modified xsi:type="dcterms:W3CDTF">2025-09-04T08:08:24Z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6321F008C99C4D8F86F6EB603D7A220E_12</vt:lpwstr>
  </property>
</Properties>
</file>