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789B6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jc w:val="left"/>
        <w:textAlignment w:val="auto"/>
        <w:rPr>
          <w:color w:val="auto"/>
          <w:sz w:val="28"/>
          <w:szCs w:val="28"/>
        </w:rPr>
      </w:pPr>
      <w:r>
        <w:rPr>
          <w:rFonts w:ascii="仿宋" w:hAnsi="仿宋" w:eastAsia="仿宋" w:cs="仿宋"/>
          <w:color w:val="auto"/>
          <w:kern w:val="0"/>
          <w:sz w:val="28"/>
          <w:szCs w:val="28"/>
          <w:lang w:val="en-US" w:eastAsia="zh-CN" w:bidi="ar"/>
        </w:rPr>
        <w:t xml:space="preserve">甲方：（采购人） </w:t>
      </w:r>
    </w:p>
    <w:p w14:paraId="5D8B09F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 w:bidi="ar"/>
        </w:rPr>
        <w:t xml:space="preserve">乙方：（成交单位名称） </w:t>
      </w:r>
    </w:p>
    <w:p w14:paraId="586127E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 w:bidi="ar"/>
        </w:rPr>
        <w:t>为全面贯彻落实共青团中央、全国少工委2022年4月28日下发的中青联发【2022】4号《青少年宫管理工作条例》文件精神，进一步提高对青少年思想政治引领能力和服务水平，主动送资源到基层，打造服务城乡社区校外教育阵地，更好地为社区青少年服务，根据《中华人民共和国民法典》及有关法律法规的规定，甲、乙双方在平等、自愿、公平和诚</w:t>
      </w:r>
      <w:bookmarkStart w:id="0" w:name="_GoBack"/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"/>
        </w:rPr>
        <w:t>实信用的基础上，经协商一致，就乙方将承租甲方的“西荷美食商业街”项目南区3#4#5#楼的场地交由甲方使用，共同打造“西何社区青少年宫”等事宜，订立本协议。</w:t>
      </w:r>
    </w:p>
    <w:p w14:paraId="45EFDF5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textAlignment w:val="auto"/>
        <w:rPr>
          <w:rFonts w:ascii="仿宋" w:hAnsi="仿宋" w:eastAsia="仿宋" w:cs="??_GB2312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??_GB2312"/>
          <w:b/>
          <w:color w:val="auto"/>
          <w:sz w:val="28"/>
          <w:szCs w:val="28"/>
          <w:highlight w:val="none"/>
        </w:rPr>
        <w:t>一、场地及设备基本情况</w:t>
      </w:r>
    </w:p>
    <w:p w14:paraId="3D01014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  <w:lang w:eastAsia="zh-CN"/>
        </w:rPr>
        <w:t>乙方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将位于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highlight w:val="none"/>
          <w:u w:val="single"/>
        </w:rPr>
        <w:t>西安</w:t>
      </w:r>
      <w:r>
        <w:rPr>
          <w:rFonts w:ascii="仿宋" w:hAnsi="仿宋" w:eastAsia="仿宋" w:cs="??_GB2312"/>
          <w:b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市</w:t>
      </w:r>
      <w:r>
        <w:rPr>
          <w:rFonts w:ascii="仿宋" w:hAnsi="仿宋" w:eastAsia="仿宋" w:cs="??_GB2312"/>
          <w:b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highlight w:val="none"/>
          <w:u w:val="single"/>
        </w:rPr>
        <w:t>碑林</w:t>
      </w:r>
      <w:r>
        <w:rPr>
          <w:rFonts w:ascii="仿宋" w:hAnsi="仿宋" w:eastAsia="仿宋" w:cs="??_GB2312"/>
          <w:b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区</w:t>
      </w:r>
      <w:r>
        <w:rPr>
          <w:rFonts w:ascii="仿宋" w:hAnsi="仿宋" w:eastAsia="仿宋" w:cs="??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highlight w:val="none"/>
          <w:u w:val="single"/>
        </w:rPr>
        <w:t>西何家村</w:t>
      </w:r>
      <w:r>
        <w:rPr>
          <w:rFonts w:ascii="仿宋" w:hAnsi="仿宋" w:eastAsia="仿宋" w:cs="??_GB2312"/>
          <w:b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  <w:u w:val="single"/>
        </w:rPr>
        <w:t>路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的“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highlight w:val="none"/>
        </w:rPr>
        <w:t>西荷美食商业街”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项目</w:t>
      </w:r>
      <w:r>
        <w:rPr>
          <w:rFonts w:ascii="仿宋" w:hAnsi="仿宋" w:eastAsia="仿宋" w:cs="??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highlight w:val="none"/>
          <w:u w:val="single"/>
        </w:rPr>
        <w:t>南</w:t>
      </w:r>
      <w:r>
        <w:rPr>
          <w:rFonts w:ascii="仿宋" w:hAnsi="仿宋" w:eastAsia="仿宋" w:cs="??_GB2312"/>
          <w:b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区</w:t>
      </w:r>
      <w:r>
        <w:rPr>
          <w:rFonts w:ascii="仿宋" w:hAnsi="仿宋" w:eastAsia="仿宋" w:cs="??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 w:cs="??_GB2312"/>
          <w:b/>
          <w:color w:val="auto"/>
          <w:sz w:val="28"/>
          <w:szCs w:val="28"/>
          <w:highlight w:val="none"/>
          <w:u w:val="single"/>
        </w:rPr>
        <w:t xml:space="preserve">3#4#5# 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商业楼地上</w:t>
      </w:r>
      <w:r>
        <w:rPr>
          <w:rFonts w:ascii="仿宋" w:hAnsi="仿宋" w:eastAsia="仿宋" w:cs="??_GB2312"/>
          <w:b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highlight w:val="none"/>
          <w:u w:val="single"/>
        </w:rPr>
        <w:t>三</w:t>
      </w:r>
      <w:r>
        <w:rPr>
          <w:rFonts w:ascii="仿宋" w:hAnsi="仿宋" w:eastAsia="仿宋" w:cs="??_GB2312"/>
          <w:b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层</w:t>
      </w:r>
      <w:r>
        <w:rPr>
          <w:rFonts w:ascii="仿宋" w:hAnsi="仿宋" w:eastAsia="仿宋" w:cs="??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 w:cs="??_GB2312"/>
          <w:b/>
          <w:color w:val="auto"/>
          <w:sz w:val="28"/>
          <w:szCs w:val="28"/>
          <w:highlight w:val="none"/>
          <w:u w:val="single"/>
        </w:rPr>
        <w:t xml:space="preserve">303# 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场地交由乙方使用，作为“西何社区青少年宫”的活动场地。场地总面积为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  <w:u w:val="single"/>
          <w:lang w:val="en-US" w:eastAsia="zh-CN"/>
        </w:rPr>
        <w:t>260</w:t>
      </w:r>
      <w:r>
        <w:rPr>
          <w:rFonts w:ascii="仿宋" w:hAnsi="仿宋" w:eastAsia="仿宋" w:cs="??_GB2312"/>
          <w:b/>
          <w:color w:val="auto"/>
          <w:sz w:val="28"/>
          <w:szCs w:val="28"/>
          <w:highlight w:val="none"/>
          <w:u w:val="single"/>
        </w:rPr>
        <w:t xml:space="preserve">0 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平方米（包含公摊面积，场地平面位置图见协议附表一）。</w:t>
      </w:r>
    </w:p>
    <w:bookmarkEnd w:id="0"/>
    <w:p w14:paraId="057F61C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该场地现有装修、附属设施、配套设施、设备状况和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方同意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方自行装修和增设附属设施的内容、标准及需约定的有关事宜，在本协议附表二中加以列明，作为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方向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方交付该场地和本协议终止时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方向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方返还该场地的验收依据。</w:t>
      </w:r>
    </w:p>
    <w:p w14:paraId="1E47F42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声明其在签署本协议前已经现场视察、测量过该场地，了解该场地现有装修、附属设施、配套设施、设备等各项与其实现合作目的有关的重要因素（包括但不限于该场地所处区域位置、相邻方经营业态、公用设施设备使用情况、周边环境因素、水电能源费及物业费收取标准等）的状况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方亦就上述状况向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方进行真实、详细披露和解释说明。</w:t>
      </w:r>
    </w:p>
    <w:p w14:paraId="5FB6B7F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保证该场地消防设施、设备符合我国法律法规及相关政策标准的验收规范，并取得《消防验收合格证》。如若不能，因此产生的包括但不限于被行政机关要求整改、处罚或因消防不合格而产生的任何相关责任，均由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方负责，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方对此不承担任何责任。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方应每月对消防设施、设备进行维保，并提供每年不少于一次的消防设施设备检测。</w:t>
      </w:r>
    </w:p>
    <w:p w14:paraId="58EB97B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textAlignment w:val="auto"/>
        <w:rPr>
          <w:rFonts w:ascii="仿宋" w:hAnsi="仿宋" w:eastAsia="仿宋" w:cs="??_GB2312"/>
          <w:b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二、场地用途</w:t>
      </w:r>
    </w:p>
    <w:p w14:paraId="4BACD24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1、甲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方向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方承诺，该场地作为</w:t>
      </w:r>
      <w:r>
        <w:rPr>
          <w:rFonts w:hint="eastAsia" w:ascii="仿宋" w:hAnsi="仿宋" w:eastAsia="仿宋" w:cs="??_GB2312"/>
          <w:b/>
          <w:bCs/>
          <w:color w:val="auto"/>
          <w:sz w:val="28"/>
          <w:szCs w:val="28"/>
          <w:u w:val="single"/>
        </w:rPr>
        <w:t>“西安市青少年宫西何校区”教学活动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使用，未征得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方书面同意，不擅自改变上述约定的使用用途。</w:t>
      </w:r>
    </w:p>
    <w:p w14:paraId="5FEC7CB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方不得干涉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方的正常教学活动，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方如进入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方公共区域应遵循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方的管理制度，爱护公共设施。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方如开展大型活动，需提前一周通知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方应积极配合协调相关工作。</w:t>
      </w:r>
    </w:p>
    <w:p w14:paraId="72CA45A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为支持西何社区公益工作，该场地在</w:t>
      </w:r>
      <w:r>
        <w:rPr>
          <w:rFonts w:ascii="仿宋" w:hAnsi="仿宋" w:eastAsia="仿宋" w:cs="??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非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  <w:lang w:eastAsia="zh-CN"/>
        </w:rPr>
        <w:t>甲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方教学活动时间内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可作为</w:t>
      </w:r>
      <w:r>
        <w:rPr>
          <w:rFonts w:ascii="仿宋" w:hAnsi="仿宋" w:eastAsia="仿宋" w:cs="??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社区公益性活动场地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方可辅助社区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开展各类公益活动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，实现主动送资源到基层，更好地为社区居民服务。</w:t>
      </w:r>
    </w:p>
    <w:p w14:paraId="2CBE51A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三、场地交付日期和使用期限</w:t>
      </w:r>
    </w:p>
    <w:p w14:paraId="22D8FC9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场地使用期限自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202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  <w:lang w:val="en-US" w:eastAsia="zh-CN"/>
        </w:rPr>
        <w:t>5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年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月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日起至</w:t>
      </w:r>
      <w:r>
        <w:rPr>
          <w:rFonts w:ascii="仿宋" w:hAnsi="仿宋" w:eastAsia="仿宋" w:cs="??_GB2312"/>
          <w:b/>
          <w:color w:val="auto"/>
          <w:spacing w:val="6"/>
          <w:sz w:val="28"/>
          <w:szCs w:val="28"/>
          <w:u w:val="single"/>
        </w:rPr>
        <w:t xml:space="preserve"> 202</w:t>
      </w:r>
      <w:r>
        <w:rPr>
          <w:rFonts w:hint="eastAsia" w:ascii="仿宋" w:hAnsi="仿宋" w:eastAsia="仿宋" w:cs="??_GB2312"/>
          <w:b/>
          <w:color w:val="auto"/>
          <w:spacing w:val="6"/>
          <w:sz w:val="28"/>
          <w:szCs w:val="28"/>
          <w:u w:val="single"/>
          <w:lang w:val="en-US" w:eastAsia="zh-CN"/>
        </w:rPr>
        <w:t>6</w:t>
      </w:r>
      <w:r>
        <w:rPr>
          <w:rFonts w:ascii="仿宋" w:hAnsi="仿宋" w:eastAsia="仿宋" w:cs="??_GB2312"/>
          <w:b/>
          <w:color w:val="auto"/>
          <w:spacing w:val="6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年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月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日止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。</w:t>
      </w:r>
    </w:p>
    <w:p w14:paraId="40D0A2B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方承诺，在本协议约定的使用期内，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方拥有该场地的实际经营权与转租权，有权将场地交给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方使用。</w:t>
      </w:r>
    </w:p>
    <w:p w14:paraId="233602F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使用期满，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方有权收回该场地，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方应于协议到期后15日内返还。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乙方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如需继续对外出租该场地的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，应提前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  <w:lang w:eastAsia="zh-CN"/>
        </w:rPr>
        <w:t>一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个月通知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方，在同等条件下，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方享有该场地的优先承租权，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方应于使用期届满前</w:t>
      </w:r>
      <w:r>
        <w:rPr>
          <w:rFonts w:hint="eastAsia" w:ascii="仿宋" w:hAnsi="仿宋" w:eastAsia="仿宋" w:cs="??_GB2312"/>
          <w:color w:val="auto"/>
          <w:sz w:val="28"/>
          <w:szCs w:val="28"/>
          <w:u w:val="single"/>
          <w:lang w:eastAsia="zh-CN"/>
        </w:rPr>
        <w:t>一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个月，向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方提出书面要求，经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方同意后重新签订场地使用协议。合同期满，如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方不再续租，应提前一个月以书面形式告知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方。</w:t>
      </w:r>
    </w:p>
    <w:p w14:paraId="0408AAE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textAlignment w:val="auto"/>
        <w:rPr>
          <w:rFonts w:ascii="仿宋" w:hAnsi="仿宋" w:eastAsia="仿宋" w:cs="??_GB2312"/>
          <w:b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四、场地使用费支付方式和期限</w:t>
      </w:r>
    </w:p>
    <w:p w14:paraId="27C5625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该场地月度使用费标准为：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元</w:t>
      </w:r>
      <w:r>
        <w:rPr>
          <w:rFonts w:ascii="仿宋" w:hAnsi="仿宋" w:eastAsia="仿宋" w:cs="??_GB2312"/>
          <w:color w:val="auto"/>
          <w:sz w:val="28"/>
          <w:szCs w:val="28"/>
        </w:rPr>
        <w:t>/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平米，每月合计为：</w:t>
      </w:r>
      <w:r>
        <w:rPr>
          <w:rFonts w:hint="eastAsia" w:ascii="仿宋" w:hAnsi="仿宋" w:eastAsia="仿宋" w:cs="??_GB2312"/>
          <w:b/>
          <w:bCs/>
          <w:color w:val="auto"/>
          <w:sz w:val="28"/>
          <w:szCs w:val="28"/>
          <w:u w:val="single"/>
          <w:lang w:eastAsia="zh-CN"/>
        </w:rPr>
        <w:t>¥</w:t>
      </w:r>
      <w:r>
        <w:rPr>
          <w:rFonts w:hint="eastAsia" w:ascii="仿宋" w:hAnsi="仿宋" w:eastAsia="仿宋" w:cs="??_GB2312"/>
          <w:b/>
          <w:bCs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??_GB2312"/>
          <w:b/>
          <w:bCs/>
          <w:color w:val="auto"/>
          <w:sz w:val="28"/>
          <w:szCs w:val="28"/>
          <w:u w:val="single"/>
        </w:rPr>
        <w:t>元</w:t>
      </w:r>
      <w:r>
        <w:rPr>
          <w:rFonts w:ascii="仿宋" w:hAnsi="仿宋" w:eastAsia="仿宋" w:cs="??_GB2312"/>
          <w:b/>
          <w:bCs/>
          <w:color w:val="auto"/>
          <w:sz w:val="28"/>
          <w:szCs w:val="28"/>
          <w:u w:val="single"/>
        </w:rPr>
        <w:t xml:space="preserve"> (</w:t>
      </w:r>
      <w:r>
        <w:rPr>
          <w:rFonts w:hint="eastAsia" w:ascii="仿宋" w:hAnsi="仿宋" w:eastAsia="仿宋" w:cs="??_GB2312"/>
          <w:b/>
          <w:bCs/>
          <w:color w:val="auto"/>
          <w:sz w:val="28"/>
          <w:szCs w:val="28"/>
          <w:u w:val="single"/>
        </w:rPr>
        <w:t>人民币大写：</w:t>
      </w:r>
      <w:r>
        <w:rPr>
          <w:rFonts w:hint="eastAsia" w:ascii="仿宋" w:hAnsi="仿宋" w:eastAsia="仿宋" w:cs="??_GB2312"/>
          <w:b/>
          <w:bCs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ascii="仿宋" w:hAnsi="仿宋" w:eastAsia="仿宋" w:cs="??_GB2312"/>
          <w:b/>
          <w:bCs/>
          <w:color w:val="auto"/>
          <w:sz w:val="28"/>
          <w:szCs w:val="28"/>
          <w:u w:val="single"/>
        </w:rPr>
        <w:t>)</w:t>
      </w:r>
      <w:r>
        <w:rPr>
          <w:rFonts w:hint="eastAsia" w:ascii="仿宋" w:hAnsi="仿宋" w:eastAsia="仿宋" w:cs="??_GB2312"/>
          <w:bCs/>
          <w:color w:val="auto"/>
          <w:sz w:val="28"/>
          <w:szCs w:val="28"/>
        </w:rPr>
        <w:t>，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该费用包含税金。</w:t>
      </w:r>
    </w:p>
    <w:p w14:paraId="2C04273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2、甲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方支付场地使用费的方式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如下：</w:t>
      </w:r>
      <w:r>
        <w:rPr>
          <w:rFonts w:hint="eastAsia" w:ascii="仿宋" w:hAnsi="仿宋" w:eastAsia="仿宋" w:cs="??_GB2312"/>
          <w:b/>
          <w:bCs/>
          <w:color w:val="auto"/>
          <w:sz w:val="28"/>
          <w:szCs w:val="28"/>
          <w:u w:val="single"/>
        </w:rPr>
        <w:t>以转账方式按半年提前</w:t>
      </w:r>
      <w:r>
        <w:rPr>
          <w:rFonts w:ascii="仿宋" w:hAnsi="仿宋" w:eastAsia="仿宋" w:cs="??_GB2312"/>
          <w:b/>
          <w:bCs/>
          <w:color w:val="auto"/>
          <w:sz w:val="28"/>
          <w:szCs w:val="28"/>
          <w:u w:val="single"/>
        </w:rPr>
        <w:t>5</w:t>
      </w:r>
      <w:r>
        <w:rPr>
          <w:rFonts w:hint="eastAsia" w:ascii="仿宋" w:hAnsi="仿宋" w:eastAsia="仿宋" w:cs="??_GB2312"/>
          <w:b/>
          <w:bCs/>
          <w:color w:val="auto"/>
          <w:sz w:val="28"/>
          <w:szCs w:val="28"/>
          <w:u w:val="single"/>
        </w:rPr>
        <w:t>个工作日交付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，但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方需提前开具品类与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金额相符的增值税发票。如因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方未开具发票或市财政审批预算程序等原因导致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方付款延迟，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方不承担责任。</w:t>
      </w:r>
    </w:p>
    <w:p w14:paraId="1E74867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方指定的收款账户为：</w:t>
      </w:r>
    </w:p>
    <w:p w14:paraId="2D31A41C"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hint="eastAsia" w:ascii="仿宋" w:hAnsi="仿宋" w:eastAsia="仿宋" w:cs="??_GB2312"/>
          <w:b w:val="0"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??_GB2312"/>
          <w:b w:val="0"/>
          <w:bCs/>
          <w:color w:val="auto"/>
          <w:sz w:val="28"/>
          <w:szCs w:val="28"/>
        </w:rPr>
        <w:t>户名：</w:t>
      </w:r>
      <w:r>
        <w:rPr>
          <w:rFonts w:hint="eastAsia" w:ascii="仿宋" w:hAnsi="仿宋" w:eastAsia="仿宋" w:cs="??_GB2312"/>
          <w:b w:val="0"/>
          <w:bCs/>
          <w:color w:val="auto"/>
          <w:sz w:val="28"/>
          <w:szCs w:val="28"/>
          <w:lang w:val="en-US" w:eastAsia="zh-CN"/>
        </w:rPr>
        <w:t xml:space="preserve"> </w:t>
      </w:r>
    </w:p>
    <w:p w14:paraId="539B8BD2"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hint="eastAsia" w:ascii="仿宋" w:hAnsi="仿宋" w:eastAsia="仿宋" w:cs="??_GB2312"/>
          <w:b w:val="0"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??_GB2312"/>
          <w:b w:val="0"/>
          <w:bCs/>
          <w:color w:val="auto"/>
          <w:sz w:val="28"/>
          <w:szCs w:val="28"/>
        </w:rPr>
        <w:t>开户行：</w:t>
      </w:r>
      <w:r>
        <w:rPr>
          <w:rFonts w:hint="eastAsia" w:ascii="仿宋" w:hAnsi="仿宋" w:eastAsia="仿宋" w:cs="??_GB2312"/>
          <w:b w:val="0"/>
          <w:bCs/>
          <w:color w:val="auto"/>
          <w:sz w:val="28"/>
          <w:szCs w:val="28"/>
          <w:lang w:val="en-US" w:eastAsia="zh-CN"/>
        </w:rPr>
        <w:t xml:space="preserve"> </w:t>
      </w:r>
    </w:p>
    <w:p w14:paraId="67857C64"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hint="eastAsia" w:ascii="仿宋" w:hAnsi="仿宋" w:eastAsia="仿宋" w:cs="??_GB2312"/>
          <w:b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??_GB2312"/>
          <w:b w:val="0"/>
          <w:bCs/>
          <w:color w:val="auto"/>
          <w:sz w:val="28"/>
          <w:szCs w:val="28"/>
        </w:rPr>
        <w:t>账号：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lang w:val="en-US" w:eastAsia="zh-CN"/>
        </w:rPr>
        <w:t xml:space="preserve"> </w:t>
      </w:r>
    </w:p>
    <w:p w14:paraId="5FBD2D2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textAlignment w:val="auto"/>
        <w:rPr>
          <w:rFonts w:ascii="仿宋" w:hAnsi="仿宋" w:eastAsia="仿宋" w:cs="??_GB2312"/>
          <w:b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五、其它费用</w:t>
      </w:r>
    </w:p>
    <w:p w14:paraId="58DD225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方负责该场地的设计、装修、改造、设备投入及后期的物业管理、垃圾清运等相关服务，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方无需缴纳物业管理、垃圾清运等相关费用。</w:t>
      </w:r>
    </w:p>
    <w:p w14:paraId="7E4928A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方应为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方提供电源、水源，并负责为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方单独安装计量表，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方按季度交纳电费、水费，交纳标准</w:t>
      </w:r>
      <w:r>
        <w:rPr>
          <w:rFonts w:hint="eastAsia" w:ascii="仿宋" w:hAnsi="仿宋" w:eastAsia="仿宋" w:cs="??_GB2312"/>
          <w:b w:val="0"/>
          <w:bCs w:val="0"/>
          <w:color w:val="auto"/>
          <w:sz w:val="28"/>
          <w:szCs w:val="28"/>
        </w:rPr>
        <w:t>为</w:t>
      </w:r>
      <w:r>
        <w:rPr>
          <w:rFonts w:hint="eastAsia" w:ascii="仿宋" w:hAnsi="仿宋" w:eastAsia="仿宋" w:cs="??_GB2312"/>
          <w:b w:val="0"/>
          <w:bCs w:val="0"/>
          <w:color w:val="auto"/>
          <w:sz w:val="28"/>
          <w:szCs w:val="28"/>
          <w:u w:val="single"/>
        </w:rPr>
        <w:t>水费：</w:t>
      </w:r>
      <w:r>
        <w:rPr>
          <w:rFonts w:hint="eastAsia" w:ascii="仿宋" w:hAnsi="仿宋" w:eastAsia="仿宋" w:cs="??_GB2312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??_GB2312"/>
          <w:b w:val="0"/>
          <w:bCs w:val="0"/>
          <w:color w:val="auto"/>
          <w:sz w:val="28"/>
          <w:szCs w:val="28"/>
          <w:u w:val="single"/>
        </w:rPr>
        <w:t>元</w:t>
      </w:r>
      <w:r>
        <w:rPr>
          <w:rFonts w:ascii="仿宋" w:hAnsi="仿宋" w:eastAsia="仿宋" w:cs="??_GB2312"/>
          <w:b w:val="0"/>
          <w:bCs w:val="0"/>
          <w:color w:val="auto"/>
          <w:sz w:val="28"/>
          <w:szCs w:val="28"/>
          <w:u w:val="single"/>
        </w:rPr>
        <w:t>/</w:t>
      </w:r>
      <w:r>
        <w:rPr>
          <w:rFonts w:hint="eastAsia" w:ascii="仿宋" w:hAnsi="仿宋" w:eastAsia="仿宋" w:cs="??_GB2312"/>
          <w:b w:val="0"/>
          <w:bCs w:val="0"/>
          <w:color w:val="auto"/>
          <w:sz w:val="28"/>
          <w:szCs w:val="28"/>
          <w:u w:val="single"/>
        </w:rPr>
        <w:t>吨，电费：</w:t>
      </w:r>
      <w:r>
        <w:rPr>
          <w:rFonts w:hint="eastAsia" w:ascii="仿宋" w:hAnsi="仿宋" w:eastAsia="仿宋" w:cs="??_GB2312"/>
          <w:b w:val="0"/>
          <w:bCs w:val="0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??_GB2312"/>
          <w:b w:val="0"/>
          <w:bCs w:val="0"/>
          <w:color w:val="auto"/>
          <w:sz w:val="28"/>
          <w:szCs w:val="28"/>
          <w:u w:val="single"/>
        </w:rPr>
        <w:t>元</w:t>
      </w:r>
      <w:r>
        <w:rPr>
          <w:rFonts w:ascii="仿宋" w:hAnsi="仿宋" w:eastAsia="仿宋" w:cs="??_GB2312"/>
          <w:b w:val="0"/>
          <w:bCs w:val="0"/>
          <w:color w:val="auto"/>
          <w:sz w:val="28"/>
          <w:szCs w:val="28"/>
          <w:u w:val="single"/>
        </w:rPr>
        <w:t>/</w:t>
      </w:r>
      <w:r>
        <w:rPr>
          <w:rFonts w:hint="eastAsia" w:ascii="仿宋" w:hAnsi="仿宋" w:eastAsia="仿宋" w:cs="??_GB2312"/>
          <w:b w:val="0"/>
          <w:bCs w:val="0"/>
          <w:color w:val="auto"/>
          <w:sz w:val="28"/>
          <w:szCs w:val="28"/>
          <w:u w:val="single"/>
        </w:rPr>
        <w:t>度</w:t>
      </w:r>
      <w:r>
        <w:rPr>
          <w:rFonts w:hint="eastAsia" w:ascii="仿宋" w:hAnsi="仿宋" w:eastAsia="仿宋" w:cs="??_GB2312"/>
          <w:b w:val="0"/>
          <w:bCs w:val="0"/>
          <w:color w:val="auto"/>
          <w:sz w:val="28"/>
          <w:szCs w:val="28"/>
        </w:rPr>
        <w:t>。</w:t>
      </w:r>
    </w:p>
    <w:p w14:paraId="381E09D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textAlignment w:val="auto"/>
        <w:rPr>
          <w:rFonts w:ascii="仿宋" w:hAnsi="仿宋" w:eastAsia="仿宋" w:cs="??_GB2312"/>
          <w:b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六、场地及设施设备的使用及责任</w:t>
      </w:r>
    </w:p>
    <w:p w14:paraId="35136B9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使用期间，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方发现该场地及其附属设施、配套设施设备非因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方原因造成的或因场地及其设施固有的瑕疵、缺陷或故障时，应及时通知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方修复，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方应在接到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方通知后的</w:t>
      </w:r>
      <w:r>
        <w:rPr>
          <w:rFonts w:ascii="仿宋" w:hAnsi="仿宋" w:eastAsia="仿宋" w:cs="??_GB2312"/>
          <w:color w:val="auto"/>
          <w:sz w:val="28"/>
          <w:szCs w:val="28"/>
        </w:rPr>
        <w:t>3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日内进行维修，紧急情况下应即刻安排维修。逾期不维修的，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方可代为维修，费用由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方承担。</w:t>
      </w:r>
    </w:p>
    <w:p w14:paraId="4065788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使用期间，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方应合理使用并爱护该场地及其附属设施。因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方使用不当或不合理使用，致使该场地及其附属设施、配套设施设备损坏或发生故障或引发失火、渗水、漏水、漏气等事故并造成损失的，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方应负责维修并赔偿。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方拒不维修，为避免损失扩大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方可代为维修，费用由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方承担。</w:t>
      </w:r>
    </w:p>
    <w:p w14:paraId="34E7475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使用期间，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方另需装修或者增设附属设施和设备的，应事先征得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方的书面同意，按规定须向有关部门审批的，则还应由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方报请有关部门批准后，方可进行。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方增设的附属设施和设备归属及其维修责任由甲、乙双方另行书面约定。</w:t>
      </w:r>
    </w:p>
    <w:p w14:paraId="653FE43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使用期间，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方应合理使用并爱护场地及场地内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方提供的附属设施、配套设施设备，避免受到人为破坏。</w:t>
      </w:r>
    </w:p>
    <w:p w14:paraId="293D81D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textAlignment w:val="auto"/>
        <w:rPr>
          <w:rFonts w:ascii="仿宋" w:hAnsi="仿宋" w:eastAsia="仿宋" w:cs="??_GB2312"/>
          <w:b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七、场地及设备的返还</w:t>
      </w:r>
    </w:p>
    <w:p w14:paraId="1FA3E7C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除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方同意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方继续使用外，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方应在本协议的使用期届满后的15日内返还该场地，未经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方同意逾期返还场地及设备的，每逾期一日，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方应按协议约定的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场地使用费标准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向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方支付该场地及设备超期占用使用费。</w:t>
      </w:r>
    </w:p>
    <w:p w14:paraId="57F48B4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方返还该场地及设备应当符合正常使用的状态。返还时，应经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方验收认可，并相互结清各自应当承担的费用后办理统一移交手续。</w:t>
      </w:r>
    </w:p>
    <w:p w14:paraId="1786E62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方返还该场地及设备不符合正常使用状态的，由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方负责修复，若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方拒绝修复，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方有权自行修复，修复费用由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方承担。</w:t>
      </w:r>
    </w:p>
    <w:p w14:paraId="3D99BD3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textAlignment w:val="auto"/>
        <w:rPr>
          <w:rFonts w:ascii="仿宋" w:hAnsi="仿宋" w:eastAsia="仿宋" w:cs="??_GB2312"/>
          <w:b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八、分租、转租、合租、转让和出售</w:t>
      </w:r>
    </w:p>
    <w:p w14:paraId="3ACE8F2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方在使用期内，事先未经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方的书面同意，不得将该场地部分或全部分租、转租、合租、转让给他人。</w:t>
      </w:r>
    </w:p>
    <w:p w14:paraId="1BC1E9A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在使用期内，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方如需出售该场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地，应提前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  <w:lang w:eastAsia="zh-CN"/>
        </w:rPr>
        <w:t>一</w:t>
      </w:r>
      <w:r>
        <w:rPr>
          <w:rFonts w:hint="eastAsia" w:ascii="仿宋" w:hAnsi="仿宋" w:eastAsia="仿宋" w:cs="??_GB2312"/>
          <w:color w:val="auto"/>
          <w:sz w:val="28"/>
          <w:szCs w:val="28"/>
          <w:highlight w:val="none"/>
        </w:rPr>
        <w:t>个月通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知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双方。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乙方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的出售行为不得影响本协议的正常履行。若因出售给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双方造成损失的，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方应当承担赔偿责任。</w:t>
      </w:r>
    </w:p>
    <w:p w14:paraId="2E4D553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textAlignment w:val="auto"/>
        <w:rPr>
          <w:rFonts w:ascii="仿宋" w:hAnsi="仿宋" w:eastAsia="仿宋" w:cs="??_GB2312"/>
          <w:b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九、解除本协议的条件</w:t>
      </w:r>
    </w:p>
    <w:p w14:paraId="7A2A47E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在使用期内，有下列情形之一的，本协议终止，各方之间互不承担责任：</w:t>
      </w:r>
    </w:p>
    <w:p w14:paraId="36A166A8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政府对该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场地占用范围内的土地使用权依法提前收回的；</w:t>
      </w:r>
    </w:p>
    <w:p w14:paraId="61DF811A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该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场地因社会公共利益或城市建设需要被依法征用的；</w:t>
      </w:r>
    </w:p>
    <w:p w14:paraId="06CFA05E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该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场地毁损、灭失或者被鉴定为危险房屋的；</w:t>
      </w:r>
    </w:p>
    <w:p w14:paraId="75D037E1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由于政策性因素导致乙方不能继续使用的；</w:t>
      </w:r>
    </w:p>
    <w:p w14:paraId="2C9A3F00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甲、乙双方经协商一致，提前终止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协议履行的。</w:t>
      </w:r>
    </w:p>
    <w:p w14:paraId="34C4DCB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甲、乙双方约定，有下列情形之一的，一方可书面通知另一方依法解除本协议。违反协议的一方，应向另一方按</w:t>
      </w:r>
      <w:r>
        <w:rPr>
          <w:rFonts w:hint="eastAsia" w:ascii="仿宋" w:hAnsi="仿宋" w:eastAsia="仿宋" w:cs="??_GB2312"/>
          <w:b w:val="0"/>
          <w:bCs/>
          <w:color w:val="auto"/>
          <w:sz w:val="28"/>
          <w:szCs w:val="28"/>
          <w:u w:val="single"/>
        </w:rPr>
        <w:t>月度场地使用费</w:t>
      </w:r>
      <w:r>
        <w:rPr>
          <w:rFonts w:hint="eastAsia" w:ascii="仿宋" w:hAnsi="仿宋" w:eastAsia="仿宋" w:cs="??_GB2312"/>
          <w:b w:val="0"/>
          <w:bCs/>
          <w:color w:val="auto"/>
          <w:sz w:val="28"/>
          <w:szCs w:val="28"/>
        </w:rPr>
        <w:t>支付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违约金；给对方造成损失的，支付的违约金不足抵付一方损失的，还应赔偿造成的损失与违约金的差额部分：</w:t>
      </w:r>
    </w:p>
    <w:p w14:paraId="2FAE7F2D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/>
          <w:color w:val="auto"/>
          <w:sz w:val="28"/>
          <w:szCs w:val="28"/>
        </w:rPr>
        <w:t>方未按时交付该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场地及设备，经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书面催告后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>30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日内仍未交付的；</w:t>
      </w:r>
    </w:p>
    <w:p w14:paraId="40FB019A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/>
          <w:color w:val="auto"/>
          <w:sz w:val="28"/>
          <w:szCs w:val="28"/>
        </w:rPr>
        <w:t>方交付的该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场地及设备不符合本协议的约定，致使不能实现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方目的；或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方交付的场地及设备存在缺陷，危及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方安全的；</w:t>
      </w:r>
    </w:p>
    <w:p w14:paraId="07A8AF8B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/>
          <w:color w:val="auto"/>
          <w:sz w:val="28"/>
          <w:szCs w:val="28"/>
        </w:rPr>
        <w:t>方未征得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/>
          <w:color w:val="auto"/>
          <w:sz w:val="28"/>
          <w:szCs w:val="28"/>
        </w:rPr>
        <w:t>方书面同意改变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场地及设备用途的，或致使场地及设备损坏的；</w:t>
      </w:r>
    </w:p>
    <w:p w14:paraId="791EB5E1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因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/>
          <w:color w:val="auto"/>
          <w:sz w:val="28"/>
          <w:szCs w:val="28"/>
        </w:rPr>
        <w:t>方原因造成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场地及设备主体结构损坏的；</w:t>
      </w:r>
    </w:p>
    <w:p w14:paraId="4AAA53A1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未经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/>
          <w:color w:val="auto"/>
          <w:sz w:val="28"/>
          <w:szCs w:val="28"/>
        </w:rPr>
        <w:t>方书面同意，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/>
          <w:color w:val="auto"/>
          <w:sz w:val="28"/>
          <w:szCs w:val="28"/>
        </w:rPr>
        <w:t>方擅自将该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场地分租、转租、合租、转让该场地承租权或与他人交换各自承租的场地的；</w:t>
      </w:r>
    </w:p>
    <w:p w14:paraId="5D250D82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在本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协议约定使用期内，该场地实际经营人非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方或经营用途非本协议约定之用途；</w:t>
      </w:r>
    </w:p>
    <w:p w14:paraId="758511BB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/>
          <w:color w:val="auto"/>
          <w:sz w:val="28"/>
          <w:szCs w:val="28"/>
        </w:rPr>
        <w:t>方在具备支付条件的前提下逾期不支付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场地使用费累计超过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>15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日的；</w:t>
      </w:r>
    </w:p>
    <w:p w14:paraId="20935B75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在合作期内，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/>
          <w:color w:val="auto"/>
          <w:sz w:val="28"/>
          <w:szCs w:val="28"/>
        </w:rPr>
        <w:t>方未能通过合法有效的渠道解决分歧，擅自采取过激、违法行为的，并给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/>
          <w:color w:val="auto"/>
          <w:sz w:val="28"/>
          <w:szCs w:val="28"/>
        </w:rPr>
        <w:t>方及“西荷美食商业街”整体声誉及形象造成影响和损失的；</w:t>
      </w:r>
    </w:p>
    <w:p w14:paraId="11839204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一方不履行或不充分履行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协议义务，致守约方缔约目的不能实现的其它情形。</w:t>
      </w:r>
    </w:p>
    <w:p w14:paraId="345E030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textAlignment w:val="auto"/>
        <w:rPr>
          <w:rFonts w:ascii="仿宋" w:hAnsi="仿宋" w:eastAsia="仿宋" w:cs="??_GB2312"/>
          <w:b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十、违约责任</w:t>
      </w:r>
    </w:p>
    <w:p w14:paraId="09D832A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该场地及设备交付时存在缺陷的，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方应积极配合并给予修复，逾期不修复的，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方同意给予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方提供减免场地使用费的优惠措施，优惠范围不得低于造成损失的价值，且不影响违约责任的承担。</w:t>
      </w:r>
    </w:p>
    <w:p w14:paraId="4A03E2E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使用期间，非本协议规定的情况，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方擅自解除本协议，提前收回该场地及设备的，应按提前收回天数的场地使用费的</w:t>
      </w:r>
      <w:r>
        <w:rPr>
          <w:rFonts w:ascii="仿宋" w:hAnsi="仿宋" w:eastAsia="仿宋" w:cs="??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双倍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向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方支付违约金。</w:t>
      </w:r>
    </w:p>
    <w:p w14:paraId="7DEAFBB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方未征得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方书面同意或者超出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方书面同意的范围和要求装修场地或者增设附属设施的，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乙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方可以要求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甲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对场地恢复原状，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  <w:lang w:eastAsia="zh-CN"/>
        </w:rPr>
        <w:t>甲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方拒绝恢复的，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  <w:lang w:eastAsia="zh-CN"/>
        </w:rPr>
        <w:t>乙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方有权选择本协议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>7-3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或</w:t>
      </w:r>
      <w:r>
        <w:rPr>
          <w:rFonts w:ascii="仿宋" w:hAnsi="仿宋" w:eastAsia="仿宋" w:cs="??_GB2312"/>
          <w:b/>
          <w:color w:val="auto"/>
          <w:sz w:val="28"/>
          <w:szCs w:val="28"/>
          <w:u w:val="single"/>
        </w:rPr>
        <w:t>9-2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的约定追究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  <w:lang w:eastAsia="zh-CN"/>
        </w:rPr>
        <w:t>甲</w:t>
      </w:r>
      <w:r>
        <w:rPr>
          <w:rFonts w:hint="eastAsia" w:ascii="仿宋" w:hAnsi="仿宋" w:eastAsia="仿宋" w:cs="??_GB2312"/>
          <w:b/>
          <w:color w:val="auto"/>
          <w:sz w:val="28"/>
          <w:szCs w:val="28"/>
          <w:u w:val="single"/>
        </w:rPr>
        <w:t>方责任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。</w:t>
      </w:r>
    </w:p>
    <w:p w14:paraId="3413ACD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2" w:firstLineChars="200"/>
        <w:textAlignment w:val="auto"/>
        <w:rPr>
          <w:rFonts w:ascii="仿宋" w:hAnsi="仿宋" w:eastAsia="仿宋" w:cs="??_GB2312"/>
          <w:b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z w:val="28"/>
          <w:szCs w:val="28"/>
        </w:rPr>
        <w:t>十一、其它条款</w:t>
      </w:r>
    </w:p>
    <w:p w14:paraId="5ABEB5A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本协议未尽事宜，经甲、乙方协商一致，可订立补充协议。本协议补充条款及附件均为本协议不可分割的一部分。</w:t>
      </w:r>
    </w:p>
    <w:p w14:paraId="74784CD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履行本协议过程中如发生纠纷，甲、乙方应通过协商解决；协商解决不成的，任何一方可依法向该场地所在地人民法院起诉，因此产生的诉讼费、保全费、保函费、公告费、律师费、差旅费等由违约方承担。</w:t>
      </w:r>
    </w:p>
    <w:p w14:paraId="17D3B57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本协议一式</w:t>
      </w: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份，甲方执</w:t>
      </w: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份，乙方执</w:t>
      </w: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份，均具有同等效力。</w:t>
      </w:r>
    </w:p>
    <w:p w14:paraId="69EA71A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本协议经甲、乙</w:t>
      </w:r>
      <w:r>
        <w:rPr>
          <w:rFonts w:hint="eastAsia" w:ascii="仿宋" w:hAnsi="仿宋" w:eastAsia="仿宋" w:cs="??_GB2312"/>
          <w:color w:val="auto"/>
          <w:sz w:val="28"/>
          <w:szCs w:val="28"/>
          <w:lang w:eastAsia="zh-CN"/>
        </w:rPr>
        <w:t>双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方签字或盖章后生效。</w:t>
      </w:r>
    </w:p>
    <w:p w14:paraId="135C422B">
      <w:pPr>
        <w:keepNext w:val="0"/>
        <w:keepLines w:val="0"/>
        <w:pageBreakBefore w:val="0"/>
        <w:widowControl w:val="0"/>
        <w:tabs>
          <w:tab w:val="left" w:pos="960"/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</w:p>
    <w:p w14:paraId="0A4269D5">
      <w:pPr>
        <w:keepNext w:val="0"/>
        <w:keepLines w:val="0"/>
        <w:pageBreakBefore w:val="0"/>
        <w:widowControl w:val="0"/>
        <w:tabs>
          <w:tab w:val="left" w:pos="960"/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hint="eastAsia" w:ascii="仿宋" w:hAnsi="仿宋" w:eastAsia="仿宋" w:cs="??_GB2312"/>
          <w:color w:val="auto"/>
          <w:sz w:val="28"/>
          <w:szCs w:val="28"/>
        </w:rPr>
        <w:t>附件：</w:t>
      </w:r>
      <w:r>
        <w:rPr>
          <w:rFonts w:ascii="仿宋" w:hAnsi="仿宋" w:eastAsia="仿宋" w:cs="??_GB2312"/>
          <w:color w:val="auto"/>
          <w:sz w:val="28"/>
          <w:szCs w:val="28"/>
        </w:rPr>
        <w:t>1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、场地平面示意图</w:t>
      </w:r>
    </w:p>
    <w:p w14:paraId="0F9D410C">
      <w:pPr>
        <w:keepNext w:val="0"/>
        <w:keepLines w:val="0"/>
        <w:pageBreakBefore w:val="0"/>
        <w:widowControl w:val="0"/>
        <w:tabs>
          <w:tab w:val="left" w:pos="960"/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ascii="仿宋" w:hAnsi="仿宋" w:eastAsia="仿宋" w:cs="??_GB2312"/>
          <w:color w:val="auto"/>
          <w:sz w:val="28"/>
          <w:szCs w:val="28"/>
        </w:rPr>
      </w:pPr>
      <w:r>
        <w:rPr>
          <w:rFonts w:ascii="仿宋" w:hAnsi="仿宋" w:eastAsia="仿宋" w:cs="??_GB2312"/>
          <w:color w:val="auto"/>
          <w:sz w:val="28"/>
          <w:szCs w:val="28"/>
        </w:rPr>
        <w:t>2</w:t>
      </w:r>
      <w:r>
        <w:rPr>
          <w:rFonts w:hint="eastAsia" w:ascii="仿宋" w:hAnsi="仿宋" w:eastAsia="仿宋" w:cs="??_GB2312"/>
          <w:color w:val="auto"/>
          <w:sz w:val="28"/>
          <w:szCs w:val="28"/>
        </w:rPr>
        <w:t>、场地设施及设备交接单</w:t>
      </w:r>
    </w:p>
    <w:p w14:paraId="43F76A7C">
      <w:pPr>
        <w:pStyle w:val="22"/>
        <w:spacing w:line="360" w:lineRule="auto"/>
        <w:jc w:val="both"/>
        <w:rPr>
          <w:rFonts w:ascii="仿宋" w:hAnsi="仿宋" w:eastAsia="仿宋" w:cs="??_GB2312"/>
          <w:b/>
          <w:color w:val="auto"/>
          <w:spacing w:val="6"/>
          <w:szCs w:val="24"/>
          <w:lang w:eastAsia="zh-CN"/>
        </w:rPr>
      </w:pPr>
    </w:p>
    <w:p w14:paraId="5A3679A4">
      <w:pPr>
        <w:pStyle w:val="22"/>
        <w:spacing w:line="360" w:lineRule="auto"/>
        <w:jc w:val="both"/>
        <w:rPr>
          <w:rFonts w:ascii="仿宋" w:hAnsi="仿宋" w:eastAsia="仿宋" w:cs="??_GB2312"/>
          <w:b/>
          <w:color w:val="auto"/>
          <w:spacing w:val="6"/>
          <w:sz w:val="28"/>
          <w:szCs w:val="28"/>
          <w:lang w:eastAsia="zh-CN"/>
        </w:rPr>
      </w:pPr>
    </w:p>
    <w:p w14:paraId="5E1713AF">
      <w:pP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</w:pP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br w:type="page"/>
      </w:r>
    </w:p>
    <w:p w14:paraId="44248C09">
      <w:pPr>
        <w:pStyle w:val="22"/>
        <w:spacing w:line="360" w:lineRule="auto"/>
        <w:rPr>
          <w:rFonts w:ascii="仿宋" w:hAnsi="仿宋" w:eastAsia="仿宋" w:cs="??_GB2312"/>
          <w:b/>
          <w:color w:val="auto"/>
          <w:spacing w:val="-6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t>甲方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（盖章）：</w:t>
      </w:r>
      <w:r>
        <w:rPr>
          <w:rFonts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t xml:space="preserve">                    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乙方（盖章）：</w:t>
      </w:r>
    </w:p>
    <w:p w14:paraId="28AB00CE">
      <w:pPr>
        <w:pStyle w:val="22"/>
        <w:spacing w:line="360" w:lineRule="auto"/>
        <w:jc w:val="both"/>
        <w:rPr>
          <w:rFonts w:ascii="仿宋" w:hAnsi="仿宋" w:eastAsia="仿宋" w:cs="??_GB2312"/>
          <w:b/>
          <w:color w:val="auto"/>
          <w:spacing w:val="-6"/>
          <w:sz w:val="28"/>
          <w:szCs w:val="28"/>
          <w:u w:val="single"/>
          <w:lang w:eastAsia="zh-CN"/>
        </w:rPr>
      </w:pPr>
    </w:p>
    <w:p w14:paraId="2262D14F">
      <w:pPr>
        <w:pStyle w:val="22"/>
        <w:spacing w:line="360" w:lineRule="auto"/>
        <w:rPr>
          <w:rFonts w:ascii="仿宋" w:hAnsi="仿宋" w:eastAsia="仿宋" w:cs="??_GB2312"/>
          <w:b/>
          <w:color w:val="auto"/>
          <w:spacing w:val="-6"/>
          <w:sz w:val="28"/>
          <w:szCs w:val="28"/>
        </w:rPr>
      </w:pP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负责人（签字）：</w:t>
      </w:r>
      <w:r>
        <w:rPr>
          <w:rFonts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t xml:space="preserve">              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  <w:lang w:val="en-US" w:eastAsia="zh-CN"/>
        </w:rPr>
        <w:t xml:space="preserve">    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t>法定代表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人（签字）：</w:t>
      </w:r>
    </w:p>
    <w:p w14:paraId="0E926F10">
      <w:pPr>
        <w:pStyle w:val="22"/>
        <w:spacing w:line="360" w:lineRule="auto"/>
        <w:jc w:val="both"/>
        <w:rPr>
          <w:rFonts w:ascii="仿宋" w:hAnsi="仿宋" w:eastAsia="仿宋" w:cs="??_GB2312"/>
          <w:b/>
          <w:color w:val="auto"/>
          <w:spacing w:val="-6"/>
          <w:sz w:val="28"/>
          <w:szCs w:val="28"/>
        </w:rPr>
      </w:pPr>
    </w:p>
    <w:p w14:paraId="2EF6FA2A">
      <w:pPr>
        <w:pStyle w:val="22"/>
        <w:spacing w:line="360" w:lineRule="auto"/>
        <w:rPr>
          <w:rFonts w:ascii="仿宋" w:hAnsi="仿宋" w:eastAsia="仿宋" w:cs="??_GB2312"/>
          <w:b/>
          <w:color w:val="auto"/>
          <w:spacing w:val="-6"/>
          <w:szCs w:val="24"/>
          <w:lang w:eastAsia="zh-CN"/>
        </w:rPr>
      </w:pP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签约时间：</w:t>
      </w:r>
      <w:r>
        <w:rPr>
          <w:rFonts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年</w:t>
      </w:r>
      <w:r>
        <w:rPr>
          <w:rFonts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t xml:space="preserve">  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月</w:t>
      </w:r>
      <w:r>
        <w:rPr>
          <w:rFonts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日</w:t>
      </w:r>
      <w:r>
        <w:rPr>
          <w:rFonts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t xml:space="preserve">   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  <w:lang w:val="en-US" w:eastAsia="zh-CN"/>
        </w:rPr>
        <w:t xml:space="preserve">       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签约时间</w:t>
      </w:r>
      <w:r>
        <w:rPr>
          <w:rFonts w:ascii="仿宋" w:hAnsi="仿宋" w:eastAsia="仿宋" w:cs="??_GB2312"/>
          <w:b/>
          <w:color w:val="auto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：</w:t>
      </w:r>
      <w:r>
        <w:rPr>
          <w:rFonts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年</w:t>
      </w:r>
      <w:r>
        <w:rPr>
          <w:rFonts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t xml:space="preserve">  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月</w:t>
      </w:r>
      <w:r>
        <w:rPr>
          <w:rFonts w:ascii="仿宋" w:hAnsi="仿宋" w:eastAsia="仿宋" w:cs="??_GB2312"/>
          <w:b/>
          <w:color w:val="auto"/>
          <w:spacing w:val="-6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??_GB2312"/>
          <w:b/>
          <w:color w:val="auto"/>
          <w:spacing w:val="-6"/>
          <w:sz w:val="28"/>
          <w:szCs w:val="28"/>
        </w:rPr>
        <w:t>日</w:t>
      </w:r>
    </w:p>
    <w:p w14:paraId="36A3AE17">
      <w:pPr>
        <w:pStyle w:val="22"/>
        <w:spacing w:line="360" w:lineRule="auto"/>
        <w:rPr>
          <w:rFonts w:ascii="仿宋" w:hAnsi="仿宋" w:eastAsia="仿宋" w:cs="??_GB2312"/>
          <w:b/>
          <w:color w:val="auto"/>
          <w:spacing w:val="-6"/>
          <w:szCs w:val="24"/>
        </w:rPr>
      </w:pPr>
    </w:p>
    <w:p w14:paraId="733AB70F">
      <w:pPr>
        <w:spacing w:line="360" w:lineRule="auto"/>
        <w:jc w:val="both"/>
        <w:rPr>
          <w:rFonts w:ascii="仿宋" w:hAnsi="仿宋" w:eastAsia="仿宋"/>
          <w:b/>
          <w:color w:val="auto"/>
          <w:sz w:val="28"/>
          <w:u w:val="single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br w:type="page"/>
      </w:r>
      <w:r>
        <w:rPr>
          <w:rFonts w:hint="eastAsia" w:ascii="仿宋" w:hAnsi="仿宋" w:eastAsia="仿宋"/>
          <w:b/>
          <w:color w:val="auto"/>
          <w:sz w:val="28"/>
          <w:szCs w:val="28"/>
        </w:rPr>
        <w:t>附表一</w:t>
      </w:r>
      <w:r>
        <w:rPr>
          <w:rFonts w:hint="eastAsia" w:ascii="仿宋" w:hAnsi="仿宋" w:eastAsia="仿宋"/>
          <w:b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b/>
          <w:color w:val="auto"/>
          <w:sz w:val="28"/>
          <w:szCs w:val="28"/>
          <w:u w:val="single"/>
        </w:rPr>
        <w:t>（南区</w:t>
      </w:r>
      <w:r>
        <w:rPr>
          <w:rFonts w:ascii="仿宋" w:hAnsi="仿宋" w:eastAsia="仿宋"/>
          <w:b/>
          <w:color w:val="auto"/>
          <w:sz w:val="28"/>
          <w:szCs w:val="28"/>
          <w:u w:val="single"/>
        </w:rPr>
        <w:t>3#4#5#</w:t>
      </w:r>
      <w:r>
        <w:rPr>
          <w:rFonts w:hint="eastAsia" w:ascii="仿宋" w:hAnsi="仿宋" w:eastAsia="仿宋"/>
          <w:b/>
          <w:color w:val="auto"/>
          <w:sz w:val="28"/>
          <w:szCs w:val="28"/>
          <w:u w:val="single"/>
        </w:rPr>
        <w:t>楼三层</w:t>
      </w:r>
      <w:r>
        <w:rPr>
          <w:rFonts w:ascii="仿宋" w:hAnsi="仿宋" w:eastAsia="仿宋"/>
          <w:b/>
          <w:color w:val="auto"/>
          <w:sz w:val="28"/>
          <w:szCs w:val="28"/>
          <w:u w:val="single"/>
        </w:rPr>
        <w:t>303#</w:t>
      </w:r>
      <w:r>
        <w:rPr>
          <w:rFonts w:hint="eastAsia" w:ascii="仿宋" w:hAnsi="仿宋" w:eastAsia="仿宋"/>
          <w:b/>
          <w:color w:val="auto"/>
          <w:sz w:val="28"/>
          <w:szCs w:val="28"/>
          <w:u w:val="single"/>
        </w:rPr>
        <w:t>场地平面示意图）</w:t>
      </w:r>
    </w:p>
    <w:p w14:paraId="00B7999F">
      <w:pPr>
        <w:pStyle w:val="22"/>
        <w:spacing w:line="240" w:lineRule="auto"/>
        <w:jc w:val="center"/>
        <w:rPr>
          <w:rFonts w:ascii="仿宋" w:hAnsi="仿宋" w:eastAsia="仿宋"/>
          <w:b/>
          <w:color w:val="auto"/>
          <w:sz w:val="21"/>
          <w:szCs w:val="21"/>
          <w:lang w:eastAsia="zh-CN"/>
        </w:rPr>
      </w:pPr>
      <w:r>
        <w:rPr>
          <w:rFonts w:ascii="仿宋" w:hAnsi="仿宋" w:eastAsia="仿宋"/>
          <w:b/>
          <w:color w:val="auto"/>
          <w:sz w:val="21"/>
          <w:szCs w:val="21"/>
          <w:lang w:eastAsia="zh-CN"/>
        </w:rPr>
        <w:drawing>
          <wp:inline distT="0" distB="0" distL="114300" distR="114300">
            <wp:extent cx="3009900" cy="8298180"/>
            <wp:effectExtent l="0" t="0" r="0" b="7620"/>
            <wp:docPr id="1" name="图片 1" descr="3#4#5#楼三层平面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#4#5#楼三层平面-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829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3BBCC">
      <w:pPr>
        <w:pStyle w:val="22"/>
        <w:spacing w:line="360" w:lineRule="auto"/>
        <w:ind w:left="0" w:leftChars="0" w:firstLine="0" w:firstLineChars="0"/>
        <w:jc w:val="both"/>
        <w:rPr>
          <w:rFonts w:ascii="仿宋" w:hAnsi="仿宋" w:eastAsia="仿宋"/>
          <w:b/>
          <w:color w:val="auto"/>
          <w:spacing w:val="6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pacing w:val="6"/>
          <w:sz w:val="28"/>
          <w:szCs w:val="28"/>
          <w:lang w:eastAsia="zh-CN"/>
        </w:rPr>
        <w:t>附</w:t>
      </w:r>
      <w:r>
        <w:rPr>
          <w:rFonts w:ascii="仿宋" w:hAnsi="仿宋" w:eastAsia="仿宋"/>
          <w:b/>
          <w:color w:val="auto"/>
          <w:spacing w:val="6"/>
          <w:sz w:val="28"/>
          <w:szCs w:val="28"/>
          <w:lang w:eastAsia="zh-CN"/>
        </w:rPr>
        <w:t xml:space="preserve"> </w:t>
      </w:r>
      <w:r>
        <w:rPr>
          <w:rFonts w:hint="eastAsia" w:ascii="仿宋" w:hAnsi="仿宋" w:eastAsia="仿宋"/>
          <w:b/>
          <w:color w:val="auto"/>
          <w:spacing w:val="6"/>
          <w:sz w:val="28"/>
          <w:szCs w:val="28"/>
          <w:lang w:eastAsia="zh-CN"/>
        </w:rPr>
        <w:t>表</w:t>
      </w:r>
      <w:r>
        <w:rPr>
          <w:rFonts w:ascii="仿宋" w:hAnsi="仿宋" w:eastAsia="仿宋"/>
          <w:b/>
          <w:color w:val="auto"/>
          <w:spacing w:val="6"/>
          <w:sz w:val="28"/>
          <w:szCs w:val="28"/>
          <w:lang w:eastAsia="zh-CN"/>
        </w:rPr>
        <w:t xml:space="preserve"> </w:t>
      </w:r>
      <w:r>
        <w:rPr>
          <w:rFonts w:hint="eastAsia" w:ascii="仿宋" w:hAnsi="仿宋" w:eastAsia="仿宋"/>
          <w:b/>
          <w:color w:val="auto"/>
          <w:spacing w:val="6"/>
          <w:sz w:val="28"/>
          <w:szCs w:val="28"/>
          <w:lang w:eastAsia="zh-CN"/>
        </w:rPr>
        <w:t>二</w:t>
      </w:r>
    </w:p>
    <w:p w14:paraId="4EEDCAD0">
      <w:pPr>
        <w:pStyle w:val="22"/>
        <w:spacing w:line="360" w:lineRule="auto"/>
        <w:jc w:val="center"/>
        <w:rPr>
          <w:rFonts w:ascii="仿宋" w:hAnsi="仿宋" w:eastAsia="仿宋"/>
          <w:b/>
          <w:color w:val="auto"/>
          <w:sz w:val="24"/>
          <w:szCs w:val="24"/>
          <w:u w:val="single"/>
        </w:rPr>
      </w:pPr>
      <w:r>
        <w:rPr>
          <w:rFonts w:hint="eastAsia" w:ascii="仿宋" w:hAnsi="仿宋" w:eastAsia="仿宋"/>
          <w:b/>
          <w:color w:val="auto"/>
          <w:sz w:val="24"/>
          <w:szCs w:val="24"/>
          <w:u w:val="single"/>
          <w:lang w:eastAsia="zh-CN"/>
        </w:rPr>
        <w:t>现有装修、附属设施、配套设施及设备状况和乙方同意甲方自行</w:t>
      </w:r>
    </w:p>
    <w:p w14:paraId="1413D980">
      <w:pPr>
        <w:pStyle w:val="22"/>
        <w:spacing w:line="360" w:lineRule="auto"/>
        <w:jc w:val="center"/>
        <w:rPr>
          <w:rFonts w:ascii="仿宋" w:hAnsi="仿宋" w:eastAsia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/>
          <w:b/>
          <w:color w:val="auto"/>
          <w:sz w:val="24"/>
          <w:szCs w:val="24"/>
          <w:u w:val="single"/>
          <w:lang w:eastAsia="zh-CN"/>
        </w:rPr>
        <w:t>装修和增设附属设施及设备约定及交接确认</w:t>
      </w:r>
      <w:r>
        <w:rPr>
          <w:rFonts w:ascii="仿宋" w:hAnsi="仿宋" w:eastAsia="仿宋"/>
          <w:color w:val="auto"/>
          <w:sz w:val="24"/>
          <w:szCs w:val="24"/>
          <w:lang w:eastAsia="zh-CN"/>
        </w:rPr>
        <w:t>--------------------------------------------------</w:t>
      </w:r>
    </w:p>
    <w:p w14:paraId="7B431737">
      <w:pPr>
        <w:jc w:val="center"/>
        <w:rPr>
          <w:rFonts w:ascii="仿宋" w:hAnsi="仿宋" w:eastAsia="仿宋"/>
          <w:color w:val="auto"/>
          <w:sz w:val="24"/>
          <w:szCs w:val="24"/>
        </w:rPr>
      </w:pPr>
      <w:r>
        <w:rPr>
          <w:rFonts w:ascii="仿宋" w:hAnsi="仿宋" w:eastAsia="仿宋"/>
          <w:color w:val="auto"/>
          <w:sz w:val="24"/>
          <w:szCs w:val="24"/>
        </w:rPr>
        <w:t>(</w:t>
      </w:r>
      <w:r>
        <w:rPr>
          <w:rFonts w:hint="eastAsia" w:ascii="仿宋" w:hAnsi="仿宋" w:eastAsia="仿宋"/>
          <w:color w:val="auto"/>
          <w:sz w:val="24"/>
          <w:szCs w:val="24"/>
        </w:rPr>
        <w:t>加盖公章处</w:t>
      </w:r>
      <w:r>
        <w:rPr>
          <w:rFonts w:ascii="仿宋" w:hAnsi="仿宋" w:eastAsia="仿宋"/>
          <w:color w:val="auto"/>
          <w:sz w:val="24"/>
          <w:szCs w:val="24"/>
        </w:rPr>
        <w:t>)</w:t>
      </w:r>
    </w:p>
    <w:p w14:paraId="39E3AF5E">
      <w:pPr>
        <w:jc w:val="center"/>
        <w:rPr>
          <w:rFonts w:ascii="仿宋" w:hAnsi="仿宋" w:eastAsia="仿宋"/>
          <w:color w:val="auto"/>
          <w:sz w:val="24"/>
          <w:szCs w:val="24"/>
        </w:rPr>
      </w:pPr>
    </w:p>
    <w:tbl>
      <w:tblPr>
        <w:tblStyle w:val="9"/>
        <w:tblW w:w="510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882"/>
        <w:gridCol w:w="882"/>
        <w:gridCol w:w="882"/>
        <w:gridCol w:w="882"/>
        <w:gridCol w:w="882"/>
        <w:gridCol w:w="885"/>
        <w:gridCol w:w="885"/>
        <w:gridCol w:w="885"/>
        <w:gridCol w:w="885"/>
      </w:tblGrid>
      <w:tr w14:paraId="7E409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shd w:val="clear" w:color="auto" w:fill="D9D9D9"/>
            <w:noWrap/>
            <w:vAlign w:val="center"/>
          </w:tcPr>
          <w:p w14:paraId="4630904D">
            <w:pPr>
              <w:pStyle w:val="22"/>
              <w:spacing w:line="36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507" w:type="pct"/>
            <w:shd w:val="clear" w:color="auto" w:fill="D9D9D9"/>
            <w:noWrap/>
            <w:vAlign w:val="top"/>
          </w:tcPr>
          <w:p w14:paraId="18AB6154">
            <w:pPr>
              <w:pStyle w:val="22"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507" w:type="pct"/>
            <w:shd w:val="clear" w:color="auto" w:fill="D9D9D9"/>
            <w:noWrap/>
            <w:vAlign w:val="top"/>
          </w:tcPr>
          <w:p w14:paraId="6A6D1838">
            <w:pPr>
              <w:pStyle w:val="22"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  <w:t>位置</w:t>
            </w:r>
          </w:p>
        </w:tc>
        <w:tc>
          <w:tcPr>
            <w:tcW w:w="507" w:type="pct"/>
            <w:shd w:val="clear" w:color="auto" w:fill="D9D9D9"/>
            <w:noWrap/>
            <w:vAlign w:val="top"/>
          </w:tcPr>
          <w:p w14:paraId="275970BD">
            <w:pPr>
              <w:pStyle w:val="22"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  <w:t>状态</w:t>
            </w:r>
          </w:p>
        </w:tc>
        <w:tc>
          <w:tcPr>
            <w:tcW w:w="507" w:type="pct"/>
            <w:shd w:val="clear" w:color="auto" w:fill="D9D9D9"/>
            <w:noWrap/>
            <w:vAlign w:val="top"/>
          </w:tcPr>
          <w:p w14:paraId="635FB208">
            <w:pPr>
              <w:pStyle w:val="22"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  <w:t>备注</w:t>
            </w:r>
          </w:p>
        </w:tc>
        <w:tc>
          <w:tcPr>
            <w:tcW w:w="507" w:type="pct"/>
            <w:shd w:val="clear" w:color="auto" w:fill="D9D9D9"/>
            <w:noWrap/>
            <w:vAlign w:val="top"/>
          </w:tcPr>
          <w:p w14:paraId="623B24EF">
            <w:pPr>
              <w:pStyle w:val="22"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508" w:type="pct"/>
            <w:shd w:val="clear" w:color="auto" w:fill="D9D9D9"/>
            <w:noWrap/>
            <w:vAlign w:val="top"/>
          </w:tcPr>
          <w:p w14:paraId="65D5A7AF">
            <w:pPr>
              <w:pStyle w:val="22"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508" w:type="pct"/>
            <w:shd w:val="clear" w:color="auto" w:fill="D9D9D9"/>
            <w:noWrap/>
            <w:vAlign w:val="top"/>
          </w:tcPr>
          <w:p w14:paraId="180F5FD4">
            <w:pPr>
              <w:pStyle w:val="22"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  <w:t>位置</w:t>
            </w:r>
          </w:p>
        </w:tc>
        <w:tc>
          <w:tcPr>
            <w:tcW w:w="508" w:type="pct"/>
            <w:shd w:val="clear" w:color="auto" w:fill="D9D9D9"/>
            <w:noWrap/>
            <w:vAlign w:val="top"/>
          </w:tcPr>
          <w:p w14:paraId="773C96F6">
            <w:pPr>
              <w:pStyle w:val="22"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  <w:t>状态</w:t>
            </w:r>
          </w:p>
        </w:tc>
        <w:tc>
          <w:tcPr>
            <w:tcW w:w="508" w:type="pct"/>
            <w:shd w:val="clear" w:color="auto" w:fill="D9D9D9"/>
            <w:noWrap/>
            <w:vAlign w:val="top"/>
          </w:tcPr>
          <w:p w14:paraId="63FF9353">
            <w:pPr>
              <w:pStyle w:val="22"/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sz w:val="24"/>
                <w:szCs w:val="24"/>
                <w:lang w:eastAsia="zh-CN"/>
              </w:rPr>
              <w:t>备注</w:t>
            </w:r>
          </w:p>
        </w:tc>
      </w:tr>
      <w:tr w14:paraId="22ECD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 w14:paraId="4A9937F6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0C36845E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2574959D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57AB3211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00458839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583752B9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7C435C9D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6C3CDDA6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57D612F5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1620BA37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 w14:paraId="65291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 w14:paraId="47CFBAAC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78E03BA8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51389244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5772DF45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779D3A66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64C3D2A7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2DAD1EFF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3C7BCC7C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1C354967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2E50C6C9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 w14:paraId="60652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 w14:paraId="6E57B3C3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451738D0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4398DAE5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676C5B53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1FE1B8ED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1AEA11A2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3E5484E6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21A26181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48E3FD63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6342EC29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 w14:paraId="3C53C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 w14:paraId="4FC5FD6D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75A7860D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21EA528B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65F8457F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05D180A8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5ABFDA0E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44017F25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6068FD30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6E4580D1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5EB7DFEE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 w14:paraId="67C57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 w14:paraId="3EB9A824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54165930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1A9EC3F9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4C8F3505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1FF2442A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6762175C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6395E25B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5C33E0BC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5226092E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07523D7F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 w14:paraId="75A12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 w14:paraId="339D0211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0E68DA33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41D0ED17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71480863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107A548B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02746E0E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1D81A3C9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106E29B8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61A949E1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5A0C37ED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 w14:paraId="3D7D4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 w14:paraId="4ED1C9F3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6DF06F36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2EE4C2F9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72539146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57C9257E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762920B3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755CE0F3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035A99B4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3F6CBD3A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455CC94B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 w14:paraId="28910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 w14:paraId="28F1CCB1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1DE22F06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49A6895F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2D032D05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6604697D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47F5D7EC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2B6A32F9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261E41D4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56831D7E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11834FAE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 w14:paraId="01C99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 w14:paraId="442E4863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25ABABDD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3DB992C9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4BA9A30D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64B72E81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0B91CAC1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1A5FC6D7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51F6662A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27211829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7731A4C5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 w14:paraId="5DAE1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 w14:paraId="221BF210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4C3C8B10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211D0931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774629CD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61A9BDB0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62FBF0BD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23B67F60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1FB5FAD5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76635C96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2017D143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 w14:paraId="6817C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 w14:paraId="0CEB13B8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16B93576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64A9BC2E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1BA4AF96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64143FB7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1B172823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0E2DAD8B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31496CF9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1D7955C8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69AB7D7C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 w14:paraId="633B2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 w14:paraId="3375BFCB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1C04A1ED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461A40EF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0E16B77A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526BB9F6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09B52C95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35935B9B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017B0610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172EA56B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24B047E0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 w14:paraId="38DD2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 w14:paraId="360266CB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71D15075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4BDFBAD3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67ABB0A2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6D28819D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25C07647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3E72B913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570C6406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3F9BD8BA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3296C667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 w14:paraId="37B89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 w14:paraId="70C56323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4BFAA0C5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199B94B1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265CDE48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2F8596EC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223B7D3B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24BA51AF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68A24D28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2002C812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1185F86F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 w14:paraId="63E10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 w14:paraId="081591A6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1488F766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33CE0332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6459C21C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4227C222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27D14529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0AE09277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78D8CA68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63DC9833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418C4496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 w14:paraId="65AA9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 w14:paraId="2906CA02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0FAC0641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2126FE02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12CA6B29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77E94783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7F30D922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37D6174E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2EFC74D0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7727B8BA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72BED952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 w14:paraId="103FE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 w14:paraId="44AD516D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43EBAC3A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217451AF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04CBA95A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1B63E144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10D70FC0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41BED91B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423CB498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172C4D4A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474EAE51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  <w:tr w14:paraId="73B69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pct"/>
            <w:noWrap/>
            <w:vAlign w:val="top"/>
          </w:tcPr>
          <w:p w14:paraId="014CB2EC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6A926E39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56CBD7C6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77C7C5FF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1139957A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7" w:type="pct"/>
            <w:noWrap/>
            <w:vAlign w:val="top"/>
          </w:tcPr>
          <w:p w14:paraId="0BDC6492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404743CB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40ED1348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18B39F52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8" w:type="pct"/>
            <w:noWrap/>
            <w:vAlign w:val="top"/>
          </w:tcPr>
          <w:p w14:paraId="05D61E52">
            <w:pPr>
              <w:pStyle w:val="22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  <w:lang w:eastAsia="zh-CN"/>
              </w:rPr>
            </w:pPr>
          </w:p>
        </w:tc>
      </w:tr>
    </w:tbl>
    <w:p w14:paraId="09ECEE35">
      <w:pPr>
        <w:rPr>
          <w:rFonts w:ascii="仿宋" w:hAnsi="仿宋" w:eastAsia="仿宋"/>
          <w:color w:val="auto"/>
          <w:sz w:val="24"/>
          <w:szCs w:val="24"/>
        </w:rPr>
      </w:pPr>
    </w:p>
    <w:p w14:paraId="3DADAB01">
      <w:pPr>
        <w:pStyle w:val="22"/>
        <w:spacing w:line="480" w:lineRule="auto"/>
        <w:rPr>
          <w:rFonts w:ascii="仿宋" w:hAnsi="仿宋" w:eastAsia="仿宋"/>
          <w:b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/>
          <w:b/>
          <w:color w:val="auto"/>
          <w:sz w:val="24"/>
          <w:szCs w:val="24"/>
          <w:lang w:eastAsia="zh-CN"/>
        </w:rPr>
        <w:t>检验时间：</w:t>
      </w:r>
    </w:p>
    <w:p w14:paraId="42B34EF7">
      <w:pPr>
        <w:pStyle w:val="22"/>
        <w:spacing w:line="480" w:lineRule="auto"/>
        <w:rPr>
          <w:rFonts w:ascii="仿宋" w:hAnsi="仿宋" w:eastAsia="仿宋"/>
          <w:b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/>
          <w:b/>
          <w:color w:val="auto"/>
          <w:sz w:val="24"/>
          <w:szCs w:val="24"/>
          <w:lang w:eastAsia="zh-CN"/>
        </w:rPr>
        <w:t>交接人：</w:t>
      </w:r>
    </w:p>
    <w:p w14:paraId="11DCC674">
      <w:pPr>
        <w:spacing w:line="460" w:lineRule="exact"/>
        <w:ind w:firstLine="482" w:firstLineChars="200"/>
        <w:rPr>
          <w:rFonts w:eastAsia="仿宋_GB2312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/>
          <w:color w:val="auto"/>
          <w:sz w:val="24"/>
          <w:szCs w:val="24"/>
          <w:lang w:eastAsia="zh-CN"/>
        </w:rPr>
        <w:t>交接时间：</w:t>
      </w:r>
    </w:p>
    <w:sectPr>
      <w:footerReference r:id="rId3" w:type="default"/>
      <w:footerReference r:id="rId4" w:type="even"/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852FE56-6AC0-4D6A-A127-A4F469BCD28C}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55E12614-9AC8-47E6-9B24-BAF14B3AB97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85843288"/>
    </w:sdtPr>
    <w:sdtContent>
      <w:p w14:paraId="5A04BDF5">
        <w:pPr>
          <w:pStyle w:val="6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21735505"/>
    </w:sdtPr>
    <w:sdtContent>
      <w:p w14:paraId="02C9D1D0"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DDC1C5E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192A26"/>
    <w:multiLevelType w:val="singleLevel"/>
    <w:tmpl w:val="18192A26"/>
    <w:lvl w:ilvl="0" w:tentative="0">
      <w:start w:val="1"/>
      <w:numFmt w:val="taiwaneseCountingThousand"/>
      <w:lvlText w:val="(%1)"/>
      <w:lvlJc w:val="left"/>
      <w:pPr>
        <w:tabs>
          <w:tab w:val="left" w:pos="1365"/>
        </w:tabs>
        <w:ind w:left="1365" w:hanging="405"/>
      </w:pPr>
      <w:rPr>
        <w:rFonts w:hint="eastAsia" w:cs="Times New Roman"/>
      </w:rPr>
    </w:lvl>
  </w:abstractNum>
  <w:abstractNum w:abstractNumId="1">
    <w:nsid w:val="5A682144"/>
    <w:multiLevelType w:val="singleLevel"/>
    <w:tmpl w:val="5A682144"/>
    <w:lvl w:ilvl="0" w:tentative="0">
      <w:start w:val="1"/>
      <w:numFmt w:val="taiwaneseCountingThousand"/>
      <w:lvlText w:val="(%1)"/>
      <w:lvlJc w:val="left"/>
      <w:pPr>
        <w:tabs>
          <w:tab w:val="left" w:pos="1365"/>
        </w:tabs>
        <w:ind w:left="1365" w:hanging="405"/>
      </w:pPr>
      <w:rPr>
        <w:rFonts w:hint="eastAsia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M2IwZWU2NGQwY2Q2MzdjNDg0MjU3OTk0OGYyNTkifQ=="/>
  </w:docVars>
  <w:rsids>
    <w:rsidRoot w:val="31511DCC"/>
    <w:rsid w:val="00002E2A"/>
    <w:rsid w:val="000076F8"/>
    <w:rsid w:val="000144B1"/>
    <w:rsid w:val="00022D96"/>
    <w:rsid w:val="00025569"/>
    <w:rsid w:val="00025EAB"/>
    <w:rsid w:val="00026575"/>
    <w:rsid w:val="00030A51"/>
    <w:rsid w:val="00036080"/>
    <w:rsid w:val="0004365F"/>
    <w:rsid w:val="00043B47"/>
    <w:rsid w:val="000440FB"/>
    <w:rsid w:val="00047AAE"/>
    <w:rsid w:val="00050CCA"/>
    <w:rsid w:val="00052328"/>
    <w:rsid w:val="00061D55"/>
    <w:rsid w:val="00071439"/>
    <w:rsid w:val="000832C3"/>
    <w:rsid w:val="0008788D"/>
    <w:rsid w:val="00087AEB"/>
    <w:rsid w:val="000A01F6"/>
    <w:rsid w:val="000A71D9"/>
    <w:rsid w:val="000A7DEC"/>
    <w:rsid w:val="000B4AB0"/>
    <w:rsid w:val="000C6406"/>
    <w:rsid w:val="000C73FC"/>
    <w:rsid w:val="000D482E"/>
    <w:rsid w:val="000D7529"/>
    <w:rsid w:val="000E2238"/>
    <w:rsid w:val="000E3549"/>
    <w:rsid w:val="000F6406"/>
    <w:rsid w:val="000F758A"/>
    <w:rsid w:val="00101C55"/>
    <w:rsid w:val="001038D8"/>
    <w:rsid w:val="00104D03"/>
    <w:rsid w:val="00116073"/>
    <w:rsid w:val="0012101D"/>
    <w:rsid w:val="001256C8"/>
    <w:rsid w:val="0013158E"/>
    <w:rsid w:val="00133D89"/>
    <w:rsid w:val="001463F3"/>
    <w:rsid w:val="00147B8C"/>
    <w:rsid w:val="00151AA4"/>
    <w:rsid w:val="00153070"/>
    <w:rsid w:val="001575D4"/>
    <w:rsid w:val="00175C97"/>
    <w:rsid w:val="00184D6F"/>
    <w:rsid w:val="00191D28"/>
    <w:rsid w:val="00191FA6"/>
    <w:rsid w:val="0019215E"/>
    <w:rsid w:val="00194429"/>
    <w:rsid w:val="00194C01"/>
    <w:rsid w:val="001A3A95"/>
    <w:rsid w:val="001A60CA"/>
    <w:rsid w:val="001A6880"/>
    <w:rsid w:val="001B1884"/>
    <w:rsid w:val="001B2E56"/>
    <w:rsid w:val="001B3889"/>
    <w:rsid w:val="001B3ADD"/>
    <w:rsid w:val="001B6674"/>
    <w:rsid w:val="001C070D"/>
    <w:rsid w:val="001C6EA7"/>
    <w:rsid w:val="001D28DA"/>
    <w:rsid w:val="001E3C36"/>
    <w:rsid w:val="001F1BAC"/>
    <w:rsid w:val="001F6D13"/>
    <w:rsid w:val="0020529F"/>
    <w:rsid w:val="00207F90"/>
    <w:rsid w:val="002116FB"/>
    <w:rsid w:val="00216B7E"/>
    <w:rsid w:val="00246D4C"/>
    <w:rsid w:val="00252ACD"/>
    <w:rsid w:val="00253281"/>
    <w:rsid w:val="00253DFB"/>
    <w:rsid w:val="00264123"/>
    <w:rsid w:val="0026765F"/>
    <w:rsid w:val="002762EE"/>
    <w:rsid w:val="0027688F"/>
    <w:rsid w:val="0028499C"/>
    <w:rsid w:val="00285A91"/>
    <w:rsid w:val="002947D1"/>
    <w:rsid w:val="00294EE3"/>
    <w:rsid w:val="0029580E"/>
    <w:rsid w:val="00296A1E"/>
    <w:rsid w:val="002A0ADD"/>
    <w:rsid w:val="002A4644"/>
    <w:rsid w:val="002A76D7"/>
    <w:rsid w:val="002A7F02"/>
    <w:rsid w:val="002B2109"/>
    <w:rsid w:val="002B6A51"/>
    <w:rsid w:val="002B79F5"/>
    <w:rsid w:val="002C582E"/>
    <w:rsid w:val="002C6570"/>
    <w:rsid w:val="002C73E9"/>
    <w:rsid w:val="002D09E2"/>
    <w:rsid w:val="002D610E"/>
    <w:rsid w:val="002D6EAC"/>
    <w:rsid w:val="002E4CC5"/>
    <w:rsid w:val="002F18A1"/>
    <w:rsid w:val="002F28D6"/>
    <w:rsid w:val="002F7D38"/>
    <w:rsid w:val="0030133D"/>
    <w:rsid w:val="00302532"/>
    <w:rsid w:val="00302C60"/>
    <w:rsid w:val="00304EED"/>
    <w:rsid w:val="003057D8"/>
    <w:rsid w:val="00306EBD"/>
    <w:rsid w:val="00314697"/>
    <w:rsid w:val="00315240"/>
    <w:rsid w:val="00320C67"/>
    <w:rsid w:val="00324407"/>
    <w:rsid w:val="00326744"/>
    <w:rsid w:val="003274D7"/>
    <w:rsid w:val="00330084"/>
    <w:rsid w:val="00333969"/>
    <w:rsid w:val="00340056"/>
    <w:rsid w:val="00342A27"/>
    <w:rsid w:val="0034742F"/>
    <w:rsid w:val="0034780E"/>
    <w:rsid w:val="00350A71"/>
    <w:rsid w:val="00353345"/>
    <w:rsid w:val="00360329"/>
    <w:rsid w:val="00361122"/>
    <w:rsid w:val="00366E46"/>
    <w:rsid w:val="00375661"/>
    <w:rsid w:val="00380001"/>
    <w:rsid w:val="00393AD8"/>
    <w:rsid w:val="0039585B"/>
    <w:rsid w:val="00396C81"/>
    <w:rsid w:val="003B0760"/>
    <w:rsid w:val="003B16FD"/>
    <w:rsid w:val="003B1F51"/>
    <w:rsid w:val="003B32FD"/>
    <w:rsid w:val="003B53BD"/>
    <w:rsid w:val="003B7226"/>
    <w:rsid w:val="003C1B73"/>
    <w:rsid w:val="003C3F94"/>
    <w:rsid w:val="003C46E4"/>
    <w:rsid w:val="003C4C90"/>
    <w:rsid w:val="003C577B"/>
    <w:rsid w:val="003D103B"/>
    <w:rsid w:val="003D126A"/>
    <w:rsid w:val="003D3C25"/>
    <w:rsid w:val="003D42D8"/>
    <w:rsid w:val="003D6642"/>
    <w:rsid w:val="003E1D83"/>
    <w:rsid w:val="003E2C72"/>
    <w:rsid w:val="003E5CBA"/>
    <w:rsid w:val="003F0EC8"/>
    <w:rsid w:val="00404F2E"/>
    <w:rsid w:val="00405B30"/>
    <w:rsid w:val="00406D46"/>
    <w:rsid w:val="00415E6F"/>
    <w:rsid w:val="00422A34"/>
    <w:rsid w:val="004264B7"/>
    <w:rsid w:val="0043045E"/>
    <w:rsid w:val="00432412"/>
    <w:rsid w:val="00433497"/>
    <w:rsid w:val="00434597"/>
    <w:rsid w:val="0044020E"/>
    <w:rsid w:val="00440289"/>
    <w:rsid w:val="00451294"/>
    <w:rsid w:val="00453326"/>
    <w:rsid w:val="00465C99"/>
    <w:rsid w:val="00470F00"/>
    <w:rsid w:val="00480230"/>
    <w:rsid w:val="00486EC1"/>
    <w:rsid w:val="0049291D"/>
    <w:rsid w:val="00492930"/>
    <w:rsid w:val="00494FBA"/>
    <w:rsid w:val="004A08D7"/>
    <w:rsid w:val="004A2C3F"/>
    <w:rsid w:val="004B627F"/>
    <w:rsid w:val="004D06F9"/>
    <w:rsid w:val="004D1B8F"/>
    <w:rsid w:val="004D1F3A"/>
    <w:rsid w:val="004D1FAC"/>
    <w:rsid w:val="004D2E5A"/>
    <w:rsid w:val="004F041A"/>
    <w:rsid w:val="004F6C88"/>
    <w:rsid w:val="004F7AA3"/>
    <w:rsid w:val="00500AE6"/>
    <w:rsid w:val="005021E4"/>
    <w:rsid w:val="00504EBE"/>
    <w:rsid w:val="00510665"/>
    <w:rsid w:val="0051294C"/>
    <w:rsid w:val="0051710D"/>
    <w:rsid w:val="0052039A"/>
    <w:rsid w:val="00520922"/>
    <w:rsid w:val="00521E3C"/>
    <w:rsid w:val="00525F8B"/>
    <w:rsid w:val="0053034B"/>
    <w:rsid w:val="00540356"/>
    <w:rsid w:val="00540BBC"/>
    <w:rsid w:val="00545193"/>
    <w:rsid w:val="00547D30"/>
    <w:rsid w:val="00554FB0"/>
    <w:rsid w:val="00557CD6"/>
    <w:rsid w:val="005617F7"/>
    <w:rsid w:val="00570D6F"/>
    <w:rsid w:val="00581C07"/>
    <w:rsid w:val="00584119"/>
    <w:rsid w:val="00592368"/>
    <w:rsid w:val="005A2608"/>
    <w:rsid w:val="005A2884"/>
    <w:rsid w:val="005A4021"/>
    <w:rsid w:val="005B0F08"/>
    <w:rsid w:val="005B4381"/>
    <w:rsid w:val="005B6E3C"/>
    <w:rsid w:val="005C55F7"/>
    <w:rsid w:val="005C5D39"/>
    <w:rsid w:val="005D33B9"/>
    <w:rsid w:val="005E1A0C"/>
    <w:rsid w:val="005E3B9C"/>
    <w:rsid w:val="005F1783"/>
    <w:rsid w:val="005F49FD"/>
    <w:rsid w:val="006112F4"/>
    <w:rsid w:val="00611DEC"/>
    <w:rsid w:val="0061670A"/>
    <w:rsid w:val="0062154E"/>
    <w:rsid w:val="00624C16"/>
    <w:rsid w:val="00635DF0"/>
    <w:rsid w:val="00640348"/>
    <w:rsid w:val="006421F6"/>
    <w:rsid w:val="0065010A"/>
    <w:rsid w:val="0065382D"/>
    <w:rsid w:val="006600D9"/>
    <w:rsid w:val="00660678"/>
    <w:rsid w:val="00663D7C"/>
    <w:rsid w:val="0066508A"/>
    <w:rsid w:val="0066729F"/>
    <w:rsid w:val="00667361"/>
    <w:rsid w:val="00684CEB"/>
    <w:rsid w:val="006956A8"/>
    <w:rsid w:val="006A2060"/>
    <w:rsid w:val="006A29C4"/>
    <w:rsid w:val="006A2A2F"/>
    <w:rsid w:val="006C69BB"/>
    <w:rsid w:val="006D0C74"/>
    <w:rsid w:val="006D170A"/>
    <w:rsid w:val="006D4549"/>
    <w:rsid w:val="006E466D"/>
    <w:rsid w:val="006F06D6"/>
    <w:rsid w:val="006F07D0"/>
    <w:rsid w:val="006F0A8C"/>
    <w:rsid w:val="00702E96"/>
    <w:rsid w:val="0070619E"/>
    <w:rsid w:val="0071131D"/>
    <w:rsid w:val="00711BCF"/>
    <w:rsid w:val="00712EE1"/>
    <w:rsid w:val="00715A9E"/>
    <w:rsid w:val="00716CBF"/>
    <w:rsid w:val="00736A9B"/>
    <w:rsid w:val="00740ED9"/>
    <w:rsid w:val="00743FD9"/>
    <w:rsid w:val="00746D2C"/>
    <w:rsid w:val="00750672"/>
    <w:rsid w:val="00756678"/>
    <w:rsid w:val="00756B5F"/>
    <w:rsid w:val="007571F5"/>
    <w:rsid w:val="007573DA"/>
    <w:rsid w:val="00762DA2"/>
    <w:rsid w:val="00766AD3"/>
    <w:rsid w:val="007724B1"/>
    <w:rsid w:val="0077448A"/>
    <w:rsid w:val="007752BE"/>
    <w:rsid w:val="00777BA8"/>
    <w:rsid w:val="007812BF"/>
    <w:rsid w:val="00781D0B"/>
    <w:rsid w:val="00786126"/>
    <w:rsid w:val="00786D08"/>
    <w:rsid w:val="00786EEF"/>
    <w:rsid w:val="007910D4"/>
    <w:rsid w:val="007958E0"/>
    <w:rsid w:val="00796C6A"/>
    <w:rsid w:val="00797421"/>
    <w:rsid w:val="007A25BF"/>
    <w:rsid w:val="007A5B72"/>
    <w:rsid w:val="007B4803"/>
    <w:rsid w:val="007C2295"/>
    <w:rsid w:val="007D103D"/>
    <w:rsid w:val="007D252C"/>
    <w:rsid w:val="007D2B18"/>
    <w:rsid w:val="007D593E"/>
    <w:rsid w:val="007D5C4F"/>
    <w:rsid w:val="007E001E"/>
    <w:rsid w:val="007F089F"/>
    <w:rsid w:val="007F7D5A"/>
    <w:rsid w:val="00806850"/>
    <w:rsid w:val="0080695A"/>
    <w:rsid w:val="00817141"/>
    <w:rsid w:val="00820D0B"/>
    <w:rsid w:val="00823CFC"/>
    <w:rsid w:val="008250C5"/>
    <w:rsid w:val="0083207A"/>
    <w:rsid w:val="00837C39"/>
    <w:rsid w:val="00843941"/>
    <w:rsid w:val="008449A7"/>
    <w:rsid w:val="00846CD2"/>
    <w:rsid w:val="00863CA6"/>
    <w:rsid w:val="00866BE8"/>
    <w:rsid w:val="00872E1D"/>
    <w:rsid w:val="0087546C"/>
    <w:rsid w:val="00876D70"/>
    <w:rsid w:val="00890ACE"/>
    <w:rsid w:val="008926B1"/>
    <w:rsid w:val="008950C0"/>
    <w:rsid w:val="008973FB"/>
    <w:rsid w:val="008A3F64"/>
    <w:rsid w:val="008A6D2C"/>
    <w:rsid w:val="008B7D94"/>
    <w:rsid w:val="008C40C3"/>
    <w:rsid w:val="008D0613"/>
    <w:rsid w:val="008D465F"/>
    <w:rsid w:val="008D5906"/>
    <w:rsid w:val="008D67AB"/>
    <w:rsid w:val="008E3397"/>
    <w:rsid w:val="008E4C6D"/>
    <w:rsid w:val="008E62A0"/>
    <w:rsid w:val="008F131A"/>
    <w:rsid w:val="008F1396"/>
    <w:rsid w:val="008F26A0"/>
    <w:rsid w:val="008F3E07"/>
    <w:rsid w:val="008F737D"/>
    <w:rsid w:val="009006D8"/>
    <w:rsid w:val="00901873"/>
    <w:rsid w:val="0090244D"/>
    <w:rsid w:val="00904BDE"/>
    <w:rsid w:val="00906457"/>
    <w:rsid w:val="00911F24"/>
    <w:rsid w:val="00912883"/>
    <w:rsid w:val="00912BCC"/>
    <w:rsid w:val="009142EC"/>
    <w:rsid w:val="009203FC"/>
    <w:rsid w:val="009315A4"/>
    <w:rsid w:val="00932F03"/>
    <w:rsid w:val="009332CB"/>
    <w:rsid w:val="00934C42"/>
    <w:rsid w:val="00942AB9"/>
    <w:rsid w:val="009456C3"/>
    <w:rsid w:val="00946584"/>
    <w:rsid w:val="00950AE2"/>
    <w:rsid w:val="0095191D"/>
    <w:rsid w:val="00967A33"/>
    <w:rsid w:val="0097446C"/>
    <w:rsid w:val="00975E8E"/>
    <w:rsid w:val="00977AF8"/>
    <w:rsid w:val="00980B64"/>
    <w:rsid w:val="00984EC9"/>
    <w:rsid w:val="0098728C"/>
    <w:rsid w:val="009B3CA3"/>
    <w:rsid w:val="009B6738"/>
    <w:rsid w:val="009C19FB"/>
    <w:rsid w:val="009C5D2D"/>
    <w:rsid w:val="009D0EA8"/>
    <w:rsid w:val="009D17AD"/>
    <w:rsid w:val="009D2A04"/>
    <w:rsid w:val="009E2ECF"/>
    <w:rsid w:val="009E68D6"/>
    <w:rsid w:val="009F32BF"/>
    <w:rsid w:val="009F4BE6"/>
    <w:rsid w:val="00A002DB"/>
    <w:rsid w:val="00A01D3A"/>
    <w:rsid w:val="00A050F9"/>
    <w:rsid w:val="00A07A0E"/>
    <w:rsid w:val="00A07CB2"/>
    <w:rsid w:val="00A14117"/>
    <w:rsid w:val="00A15FA3"/>
    <w:rsid w:val="00A17049"/>
    <w:rsid w:val="00A2353B"/>
    <w:rsid w:val="00A25412"/>
    <w:rsid w:val="00A30461"/>
    <w:rsid w:val="00A31BEE"/>
    <w:rsid w:val="00A42BE5"/>
    <w:rsid w:val="00A462B3"/>
    <w:rsid w:val="00A67F9A"/>
    <w:rsid w:val="00A72AD2"/>
    <w:rsid w:val="00A75A34"/>
    <w:rsid w:val="00A804FE"/>
    <w:rsid w:val="00A81616"/>
    <w:rsid w:val="00A84538"/>
    <w:rsid w:val="00A84627"/>
    <w:rsid w:val="00A866C6"/>
    <w:rsid w:val="00A91258"/>
    <w:rsid w:val="00A93C11"/>
    <w:rsid w:val="00A9676B"/>
    <w:rsid w:val="00AB0AE5"/>
    <w:rsid w:val="00AB35A5"/>
    <w:rsid w:val="00AB7162"/>
    <w:rsid w:val="00AC51B3"/>
    <w:rsid w:val="00AC51B8"/>
    <w:rsid w:val="00AD233F"/>
    <w:rsid w:val="00AD287C"/>
    <w:rsid w:val="00AE0ED9"/>
    <w:rsid w:val="00AE29AB"/>
    <w:rsid w:val="00AE4524"/>
    <w:rsid w:val="00AE65CD"/>
    <w:rsid w:val="00AF14B2"/>
    <w:rsid w:val="00AF2CB2"/>
    <w:rsid w:val="00AF3F5A"/>
    <w:rsid w:val="00AF419D"/>
    <w:rsid w:val="00B000E4"/>
    <w:rsid w:val="00B000F1"/>
    <w:rsid w:val="00B1102D"/>
    <w:rsid w:val="00B11426"/>
    <w:rsid w:val="00B16D79"/>
    <w:rsid w:val="00B20013"/>
    <w:rsid w:val="00B3004F"/>
    <w:rsid w:val="00B31782"/>
    <w:rsid w:val="00B34E4E"/>
    <w:rsid w:val="00B35184"/>
    <w:rsid w:val="00B409E6"/>
    <w:rsid w:val="00B429D1"/>
    <w:rsid w:val="00B468A3"/>
    <w:rsid w:val="00B55A8D"/>
    <w:rsid w:val="00B71068"/>
    <w:rsid w:val="00B75026"/>
    <w:rsid w:val="00B82311"/>
    <w:rsid w:val="00B845B7"/>
    <w:rsid w:val="00B84674"/>
    <w:rsid w:val="00B84820"/>
    <w:rsid w:val="00B94040"/>
    <w:rsid w:val="00B950A9"/>
    <w:rsid w:val="00BA2E9E"/>
    <w:rsid w:val="00BA6804"/>
    <w:rsid w:val="00BB0FE3"/>
    <w:rsid w:val="00BB2C08"/>
    <w:rsid w:val="00BB7ED8"/>
    <w:rsid w:val="00BC1381"/>
    <w:rsid w:val="00BC1E2B"/>
    <w:rsid w:val="00BC3E50"/>
    <w:rsid w:val="00BC43D2"/>
    <w:rsid w:val="00BC5213"/>
    <w:rsid w:val="00BD148E"/>
    <w:rsid w:val="00BD3A66"/>
    <w:rsid w:val="00BD4C28"/>
    <w:rsid w:val="00BE0D09"/>
    <w:rsid w:val="00BE34E4"/>
    <w:rsid w:val="00BE356C"/>
    <w:rsid w:val="00BF1CE9"/>
    <w:rsid w:val="00C26B2C"/>
    <w:rsid w:val="00C3022A"/>
    <w:rsid w:val="00C30909"/>
    <w:rsid w:val="00C3660C"/>
    <w:rsid w:val="00C472A1"/>
    <w:rsid w:val="00C50153"/>
    <w:rsid w:val="00C72505"/>
    <w:rsid w:val="00C81E68"/>
    <w:rsid w:val="00C84A75"/>
    <w:rsid w:val="00C8742A"/>
    <w:rsid w:val="00C92744"/>
    <w:rsid w:val="00C93FCE"/>
    <w:rsid w:val="00C95153"/>
    <w:rsid w:val="00CB04F0"/>
    <w:rsid w:val="00CB5214"/>
    <w:rsid w:val="00CB63B5"/>
    <w:rsid w:val="00CC425D"/>
    <w:rsid w:val="00CD1A5E"/>
    <w:rsid w:val="00CD5094"/>
    <w:rsid w:val="00CD716C"/>
    <w:rsid w:val="00CD7952"/>
    <w:rsid w:val="00CE1776"/>
    <w:rsid w:val="00CE29A4"/>
    <w:rsid w:val="00CF5947"/>
    <w:rsid w:val="00D01C60"/>
    <w:rsid w:val="00D040D4"/>
    <w:rsid w:val="00D14EC8"/>
    <w:rsid w:val="00D169A8"/>
    <w:rsid w:val="00D23DB2"/>
    <w:rsid w:val="00D25A14"/>
    <w:rsid w:val="00D35D05"/>
    <w:rsid w:val="00D5307D"/>
    <w:rsid w:val="00D62BA4"/>
    <w:rsid w:val="00D6336D"/>
    <w:rsid w:val="00D641F0"/>
    <w:rsid w:val="00D657F0"/>
    <w:rsid w:val="00D65B6F"/>
    <w:rsid w:val="00D66500"/>
    <w:rsid w:val="00D706C5"/>
    <w:rsid w:val="00D751CA"/>
    <w:rsid w:val="00D83E52"/>
    <w:rsid w:val="00D872CD"/>
    <w:rsid w:val="00D91015"/>
    <w:rsid w:val="00D96607"/>
    <w:rsid w:val="00DA2E73"/>
    <w:rsid w:val="00DA402C"/>
    <w:rsid w:val="00DB0FF1"/>
    <w:rsid w:val="00DB54D0"/>
    <w:rsid w:val="00DB74A8"/>
    <w:rsid w:val="00DC02A6"/>
    <w:rsid w:val="00DC1212"/>
    <w:rsid w:val="00DC7330"/>
    <w:rsid w:val="00DD0BCD"/>
    <w:rsid w:val="00DD10C4"/>
    <w:rsid w:val="00E10CCA"/>
    <w:rsid w:val="00E120BC"/>
    <w:rsid w:val="00E1750A"/>
    <w:rsid w:val="00E206C7"/>
    <w:rsid w:val="00E2485A"/>
    <w:rsid w:val="00E32C9D"/>
    <w:rsid w:val="00E343B9"/>
    <w:rsid w:val="00E464D4"/>
    <w:rsid w:val="00E47846"/>
    <w:rsid w:val="00E55013"/>
    <w:rsid w:val="00E616AC"/>
    <w:rsid w:val="00E61E3D"/>
    <w:rsid w:val="00E61F57"/>
    <w:rsid w:val="00E662C7"/>
    <w:rsid w:val="00E67804"/>
    <w:rsid w:val="00E67E65"/>
    <w:rsid w:val="00E72327"/>
    <w:rsid w:val="00E90A5D"/>
    <w:rsid w:val="00EA2962"/>
    <w:rsid w:val="00EA3C43"/>
    <w:rsid w:val="00EB2CFA"/>
    <w:rsid w:val="00EB4572"/>
    <w:rsid w:val="00EB4D86"/>
    <w:rsid w:val="00EC1373"/>
    <w:rsid w:val="00EC3261"/>
    <w:rsid w:val="00EC37C8"/>
    <w:rsid w:val="00EC3DDB"/>
    <w:rsid w:val="00EC7020"/>
    <w:rsid w:val="00ED0075"/>
    <w:rsid w:val="00EE58C3"/>
    <w:rsid w:val="00EE6B35"/>
    <w:rsid w:val="00EF452E"/>
    <w:rsid w:val="00EF71D9"/>
    <w:rsid w:val="00F00558"/>
    <w:rsid w:val="00F0293E"/>
    <w:rsid w:val="00F06994"/>
    <w:rsid w:val="00F12BF5"/>
    <w:rsid w:val="00F13205"/>
    <w:rsid w:val="00F13829"/>
    <w:rsid w:val="00F15959"/>
    <w:rsid w:val="00F1637E"/>
    <w:rsid w:val="00F16FA0"/>
    <w:rsid w:val="00F177FC"/>
    <w:rsid w:val="00F207E7"/>
    <w:rsid w:val="00F2489B"/>
    <w:rsid w:val="00F36D0F"/>
    <w:rsid w:val="00F37B4A"/>
    <w:rsid w:val="00F401A4"/>
    <w:rsid w:val="00F477A3"/>
    <w:rsid w:val="00F52117"/>
    <w:rsid w:val="00F63A34"/>
    <w:rsid w:val="00F64FC1"/>
    <w:rsid w:val="00F7308C"/>
    <w:rsid w:val="00F742BF"/>
    <w:rsid w:val="00F75719"/>
    <w:rsid w:val="00F76E83"/>
    <w:rsid w:val="00F86595"/>
    <w:rsid w:val="00F86FA8"/>
    <w:rsid w:val="00F930B5"/>
    <w:rsid w:val="00F97D7C"/>
    <w:rsid w:val="00FA59ED"/>
    <w:rsid w:val="00FB0B70"/>
    <w:rsid w:val="00FB22E8"/>
    <w:rsid w:val="00FB5FF4"/>
    <w:rsid w:val="00FC0948"/>
    <w:rsid w:val="00FD1616"/>
    <w:rsid w:val="00FE555A"/>
    <w:rsid w:val="00FF621F"/>
    <w:rsid w:val="00FF6531"/>
    <w:rsid w:val="0187402D"/>
    <w:rsid w:val="018D0F17"/>
    <w:rsid w:val="01A87AFF"/>
    <w:rsid w:val="01D02CFB"/>
    <w:rsid w:val="027B41FF"/>
    <w:rsid w:val="02F56D74"/>
    <w:rsid w:val="037203C5"/>
    <w:rsid w:val="045201B4"/>
    <w:rsid w:val="04A471D1"/>
    <w:rsid w:val="05DD06BF"/>
    <w:rsid w:val="060F45F1"/>
    <w:rsid w:val="06971968"/>
    <w:rsid w:val="069F3BC7"/>
    <w:rsid w:val="06BE28A5"/>
    <w:rsid w:val="08485B98"/>
    <w:rsid w:val="0A0D7099"/>
    <w:rsid w:val="0AA74DF8"/>
    <w:rsid w:val="0B4D1E43"/>
    <w:rsid w:val="0B662F05"/>
    <w:rsid w:val="0C923886"/>
    <w:rsid w:val="0DBA7538"/>
    <w:rsid w:val="0DC14423"/>
    <w:rsid w:val="0DE819AF"/>
    <w:rsid w:val="0E1C78AB"/>
    <w:rsid w:val="0E320E7D"/>
    <w:rsid w:val="0E3E3CC5"/>
    <w:rsid w:val="0E7D2A40"/>
    <w:rsid w:val="0EC3241C"/>
    <w:rsid w:val="0F2B71A1"/>
    <w:rsid w:val="0F694D72"/>
    <w:rsid w:val="0F705402"/>
    <w:rsid w:val="0FD0094D"/>
    <w:rsid w:val="0FED59A3"/>
    <w:rsid w:val="117B2B3A"/>
    <w:rsid w:val="11A05647"/>
    <w:rsid w:val="11C40985"/>
    <w:rsid w:val="12040D82"/>
    <w:rsid w:val="12B96010"/>
    <w:rsid w:val="139A439A"/>
    <w:rsid w:val="13ED41C3"/>
    <w:rsid w:val="140B63F8"/>
    <w:rsid w:val="14643D5A"/>
    <w:rsid w:val="1537321C"/>
    <w:rsid w:val="15877D00"/>
    <w:rsid w:val="15BD7BC5"/>
    <w:rsid w:val="15E909BB"/>
    <w:rsid w:val="168E1562"/>
    <w:rsid w:val="1768389B"/>
    <w:rsid w:val="183B3024"/>
    <w:rsid w:val="1893212C"/>
    <w:rsid w:val="192166BD"/>
    <w:rsid w:val="193C6AC6"/>
    <w:rsid w:val="19AF701F"/>
    <w:rsid w:val="19F9692D"/>
    <w:rsid w:val="1A0062D3"/>
    <w:rsid w:val="1A3D3083"/>
    <w:rsid w:val="1A6A32B9"/>
    <w:rsid w:val="1B055D44"/>
    <w:rsid w:val="1B0701AD"/>
    <w:rsid w:val="1B302BE8"/>
    <w:rsid w:val="1BF63E31"/>
    <w:rsid w:val="1C2362A8"/>
    <w:rsid w:val="1C291079"/>
    <w:rsid w:val="1C482963"/>
    <w:rsid w:val="1CA53161"/>
    <w:rsid w:val="1CD777BF"/>
    <w:rsid w:val="1D6B43AB"/>
    <w:rsid w:val="1D8611E5"/>
    <w:rsid w:val="1DCC309C"/>
    <w:rsid w:val="1E6B65BD"/>
    <w:rsid w:val="1F471B13"/>
    <w:rsid w:val="1FAB4F33"/>
    <w:rsid w:val="1FFC578E"/>
    <w:rsid w:val="201D5FF4"/>
    <w:rsid w:val="20AE5459"/>
    <w:rsid w:val="20D35D0F"/>
    <w:rsid w:val="20F16975"/>
    <w:rsid w:val="21C71420"/>
    <w:rsid w:val="22010E3A"/>
    <w:rsid w:val="22B8521D"/>
    <w:rsid w:val="2338088B"/>
    <w:rsid w:val="238166D6"/>
    <w:rsid w:val="23E629DD"/>
    <w:rsid w:val="24635DDC"/>
    <w:rsid w:val="24FE5B05"/>
    <w:rsid w:val="251B439B"/>
    <w:rsid w:val="25257535"/>
    <w:rsid w:val="255816B9"/>
    <w:rsid w:val="25A95A70"/>
    <w:rsid w:val="25CE197B"/>
    <w:rsid w:val="265C6F87"/>
    <w:rsid w:val="26A30712"/>
    <w:rsid w:val="28D9666D"/>
    <w:rsid w:val="29177195"/>
    <w:rsid w:val="2A44220C"/>
    <w:rsid w:val="2AF11001"/>
    <w:rsid w:val="2C33078A"/>
    <w:rsid w:val="2C4D184B"/>
    <w:rsid w:val="2D016192"/>
    <w:rsid w:val="2E9848D4"/>
    <w:rsid w:val="2EA15E7F"/>
    <w:rsid w:val="2EB84F76"/>
    <w:rsid w:val="2EFF6701"/>
    <w:rsid w:val="31511DCC"/>
    <w:rsid w:val="318A2BFA"/>
    <w:rsid w:val="319A6283"/>
    <w:rsid w:val="319B4E07"/>
    <w:rsid w:val="31B9528D"/>
    <w:rsid w:val="332537F4"/>
    <w:rsid w:val="335E433E"/>
    <w:rsid w:val="3421711A"/>
    <w:rsid w:val="34677B38"/>
    <w:rsid w:val="34B42E0F"/>
    <w:rsid w:val="35935DF5"/>
    <w:rsid w:val="35D97CAC"/>
    <w:rsid w:val="36EE3C2B"/>
    <w:rsid w:val="38440F08"/>
    <w:rsid w:val="3A8D72B7"/>
    <w:rsid w:val="3AB96ECB"/>
    <w:rsid w:val="3B183024"/>
    <w:rsid w:val="3B1B2B15"/>
    <w:rsid w:val="3B2A0FAA"/>
    <w:rsid w:val="3C342E5D"/>
    <w:rsid w:val="3C3D6ABB"/>
    <w:rsid w:val="3C65673D"/>
    <w:rsid w:val="3CDF76C4"/>
    <w:rsid w:val="3D9D5A63"/>
    <w:rsid w:val="3DA07301"/>
    <w:rsid w:val="3E0D0E3B"/>
    <w:rsid w:val="3F88629F"/>
    <w:rsid w:val="3FFF0C57"/>
    <w:rsid w:val="40DE6ABE"/>
    <w:rsid w:val="41760AA5"/>
    <w:rsid w:val="41DF2AEE"/>
    <w:rsid w:val="429A6A15"/>
    <w:rsid w:val="42D00689"/>
    <w:rsid w:val="44004F9E"/>
    <w:rsid w:val="44093E52"/>
    <w:rsid w:val="440C749E"/>
    <w:rsid w:val="448160DE"/>
    <w:rsid w:val="451D1616"/>
    <w:rsid w:val="4588524B"/>
    <w:rsid w:val="458F482B"/>
    <w:rsid w:val="462121EC"/>
    <w:rsid w:val="463211F6"/>
    <w:rsid w:val="46357180"/>
    <w:rsid w:val="46A63BDA"/>
    <w:rsid w:val="46F86634"/>
    <w:rsid w:val="47097F65"/>
    <w:rsid w:val="47290367"/>
    <w:rsid w:val="480B6632"/>
    <w:rsid w:val="48EB19B6"/>
    <w:rsid w:val="492C413F"/>
    <w:rsid w:val="49404493"/>
    <w:rsid w:val="49A63EF1"/>
    <w:rsid w:val="4AEA00E1"/>
    <w:rsid w:val="4B702A09"/>
    <w:rsid w:val="4BD33892"/>
    <w:rsid w:val="4C4D2D4A"/>
    <w:rsid w:val="4C51283A"/>
    <w:rsid w:val="4C5C510A"/>
    <w:rsid w:val="4C7C718B"/>
    <w:rsid w:val="4C9444D5"/>
    <w:rsid w:val="4C995F8F"/>
    <w:rsid w:val="4D502AF2"/>
    <w:rsid w:val="4E4D5283"/>
    <w:rsid w:val="4ED80FB5"/>
    <w:rsid w:val="4F132029"/>
    <w:rsid w:val="4F622668"/>
    <w:rsid w:val="51644DBE"/>
    <w:rsid w:val="51844B18"/>
    <w:rsid w:val="518C60C3"/>
    <w:rsid w:val="51C10433"/>
    <w:rsid w:val="521C22FA"/>
    <w:rsid w:val="521D4E51"/>
    <w:rsid w:val="5232256B"/>
    <w:rsid w:val="5281374D"/>
    <w:rsid w:val="53251DD8"/>
    <w:rsid w:val="53514ECE"/>
    <w:rsid w:val="536A5F90"/>
    <w:rsid w:val="537A4F37"/>
    <w:rsid w:val="53A45945"/>
    <w:rsid w:val="53FF492A"/>
    <w:rsid w:val="540E3B7C"/>
    <w:rsid w:val="55081F04"/>
    <w:rsid w:val="550D12C8"/>
    <w:rsid w:val="5523289A"/>
    <w:rsid w:val="555B64D8"/>
    <w:rsid w:val="55647F45"/>
    <w:rsid w:val="56464A92"/>
    <w:rsid w:val="567C5548"/>
    <w:rsid w:val="56FE711B"/>
    <w:rsid w:val="57B07B22"/>
    <w:rsid w:val="57FB18AC"/>
    <w:rsid w:val="584C035A"/>
    <w:rsid w:val="58A70979"/>
    <w:rsid w:val="58AE55FC"/>
    <w:rsid w:val="592F09CD"/>
    <w:rsid w:val="59822285"/>
    <w:rsid w:val="59D6437F"/>
    <w:rsid w:val="5A5F25C6"/>
    <w:rsid w:val="5A8913F1"/>
    <w:rsid w:val="5AFE1DDF"/>
    <w:rsid w:val="5BFE5E0F"/>
    <w:rsid w:val="5C0C44F2"/>
    <w:rsid w:val="5C5D4E7D"/>
    <w:rsid w:val="5EB153BA"/>
    <w:rsid w:val="5EF05EE3"/>
    <w:rsid w:val="5EFB0D38"/>
    <w:rsid w:val="61446072"/>
    <w:rsid w:val="63220635"/>
    <w:rsid w:val="63512CC8"/>
    <w:rsid w:val="6429154F"/>
    <w:rsid w:val="64361CF9"/>
    <w:rsid w:val="646709F5"/>
    <w:rsid w:val="64BD4050"/>
    <w:rsid w:val="6526661E"/>
    <w:rsid w:val="67112E9A"/>
    <w:rsid w:val="67902011"/>
    <w:rsid w:val="68014955"/>
    <w:rsid w:val="686B0388"/>
    <w:rsid w:val="688A2F04"/>
    <w:rsid w:val="68D26659"/>
    <w:rsid w:val="6A102F95"/>
    <w:rsid w:val="6A184540"/>
    <w:rsid w:val="6A7F0115"/>
    <w:rsid w:val="6ACE19F6"/>
    <w:rsid w:val="6AF70C8C"/>
    <w:rsid w:val="6B9A16B0"/>
    <w:rsid w:val="6C294103"/>
    <w:rsid w:val="6D5835D1"/>
    <w:rsid w:val="6E3B25AB"/>
    <w:rsid w:val="6E4B6C92"/>
    <w:rsid w:val="6E8A3A67"/>
    <w:rsid w:val="6EBF142E"/>
    <w:rsid w:val="6F1B2B08"/>
    <w:rsid w:val="6F2051D5"/>
    <w:rsid w:val="6F653D83"/>
    <w:rsid w:val="701E3F32"/>
    <w:rsid w:val="70DA60AB"/>
    <w:rsid w:val="714870AD"/>
    <w:rsid w:val="71946BA2"/>
    <w:rsid w:val="727E6F0A"/>
    <w:rsid w:val="72A72905"/>
    <w:rsid w:val="72FD2525"/>
    <w:rsid w:val="734D2182"/>
    <w:rsid w:val="73AB3D2F"/>
    <w:rsid w:val="7420296E"/>
    <w:rsid w:val="74714F78"/>
    <w:rsid w:val="749B0247"/>
    <w:rsid w:val="74BD640F"/>
    <w:rsid w:val="75755070"/>
    <w:rsid w:val="75827958"/>
    <w:rsid w:val="75F06371"/>
    <w:rsid w:val="75F714AD"/>
    <w:rsid w:val="76254DF7"/>
    <w:rsid w:val="76361FD5"/>
    <w:rsid w:val="76CE43C4"/>
    <w:rsid w:val="770B3462"/>
    <w:rsid w:val="771E4C80"/>
    <w:rsid w:val="7730111A"/>
    <w:rsid w:val="77C67CC2"/>
    <w:rsid w:val="77DC095A"/>
    <w:rsid w:val="77DC4DFE"/>
    <w:rsid w:val="78112CFA"/>
    <w:rsid w:val="78DB6E64"/>
    <w:rsid w:val="791D56CF"/>
    <w:rsid w:val="794F33BA"/>
    <w:rsid w:val="797752F7"/>
    <w:rsid w:val="7A4F7B0A"/>
    <w:rsid w:val="7A94551C"/>
    <w:rsid w:val="7AFD7566"/>
    <w:rsid w:val="7B310FBD"/>
    <w:rsid w:val="7B783090"/>
    <w:rsid w:val="7BC6204D"/>
    <w:rsid w:val="7BD10F90"/>
    <w:rsid w:val="7BE40725"/>
    <w:rsid w:val="7C464F3C"/>
    <w:rsid w:val="7CE45924"/>
    <w:rsid w:val="7D07577A"/>
    <w:rsid w:val="7D5176F5"/>
    <w:rsid w:val="7D7B29C4"/>
    <w:rsid w:val="7D8201F6"/>
    <w:rsid w:val="7DA5381E"/>
    <w:rsid w:val="7E7F64E4"/>
    <w:rsid w:val="7F032C71"/>
    <w:rsid w:val="7F985AAF"/>
    <w:rsid w:val="7FF5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Date"/>
    <w:basedOn w:val="1"/>
    <w:next w:val="1"/>
    <w:link w:val="21"/>
    <w:qFormat/>
    <w:uiPriority w:val="0"/>
    <w:pPr>
      <w:ind w:left="100" w:leftChars="2500"/>
    </w:p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6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Body Text First Indent"/>
    <w:basedOn w:val="4"/>
    <w:unhideWhenUsed/>
    <w:qFormat/>
    <w:uiPriority w:val="99"/>
    <w:pPr>
      <w:ind w:firstLine="420" w:firstLineChars="100"/>
    </w:pPr>
  </w:style>
  <w:style w:type="character" w:styleId="11">
    <w:name w:val="Emphasis"/>
    <w:basedOn w:val="10"/>
    <w:qFormat/>
    <w:uiPriority w:val="0"/>
    <w:rPr>
      <w:i/>
    </w:rPr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paragraph" w:customStyle="1" w:styleId="13">
    <w:name w:val="中等深浅网格 1 - 强调文字颜色 21"/>
    <w:basedOn w:val="1"/>
    <w:qFormat/>
    <w:uiPriority w:val="99"/>
    <w:pPr>
      <w:ind w:firstLine="420" w:firstLineChars="200"/>
    </w:pPr>
  </w:style>
  <w:style w:type="paragraph" w:customStyle="1" w:styleId="14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">
    <w:name w:val="修订2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6">
    <w:name w:val="页眉 字符"/>
    <w:basedOn w:val="10"/>
    <w:link w:val="7"/>
    <w:qFormat/>
    <w:uiPriority w:val="99"/>
    <w:rPr>
      <w:kern w:val="2"/>
      <w:sz w:val="18"/>
    </w:rPr>
  </w:style>
  <w:style w:type="character" w:customStyle="1" w:styleId="17">
    <w:name w:val="页脚 字符"/>
    <w:basedOn w:val="10"/>
    <w:link w:val="6"/>
    <w:qFormat/>
    <w:uiPriority w:val="99"/>
    <w:rPr>
      <w:kern w:val="2"/>
      <w:sz w:val="18"/>
    </w:rPr>
  </w:style>
  <w:style w:type="paragraph" w:customStyle="1" w:styleId="18">
    <w:name w:val="修订3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20">
    <w:name w:val="修订4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21">
    <w:name w:val="日期 字符"/>
    <w:basedOn w:val="10"/>
    <w:link w:val="5"/>
    <w:qFormat/>
    <w:uiPriority w:val="0"/>
    <w:rPr>
      <w:kern w:val="2"/>
      <w:sz w:val="21"/>
    </w:rPr>
  </w:style>
  <w:style w:type="paragraph" w:customStyle="1" w:styleId="22">
    <w:name w:val="正文1"/>
    <w:basedOn w:val="1"/>
    <w:qFormat/>
    <w:uiPriority w:val="0"/>
    <w:pPr>
      <w:tabs>
        <w:tab w:val="left" w:pos="420"/>
      </w:tabs>
      <w:spacing w:line="360" w:lineRule="auto"/>
      <w:ind w:firstLine="420" w:firstLineChars="200"/>
    </w:pPr>
    <w:rPr>
      <w:rFonts w:ascii="宋体" w:hAnsi="宋体"/>
      <w:szCs w:val="24"/>
    </w:rPr>
  </w:style>
  <w:style w:type="paragraph" w:customStyle="1" w:styleId="2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icafeba.com</Company>
  <Pages>9</Pages>
  <Words>3576</Words>
  <Characters>3670</Characters>
  <Lines>66</Lines>
  <Paragraphs>18</Paragraphs>
  <TotalTime>0</TotalTime>
  <ScaleCrop>false</ScaleCrop>
  <LinksUpToDate>false</LinksUpToDate>
  <CharactersWithSpaces>3805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2020-12-21T07:02:00Z</dcterms:created>
  <dc:creator>小磐</dc:creator>
  <cp:lastModifiedBy>赋玖</cp:lastModifiedBy>
  <cp:lastPrinted>2024-12-27T01:48:00Z</cp:lastPrinted>
  <dcterms:modified xsi:type="dcterms:W3CDTF">2025-09-21T09:01:29Z</dcterms:modified>
  <cp:revision>441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F5056F4BCCF24A2CBDCE3BE47C55C3AD_13</vt:lpwstr>
  </property>
  <property fmtid="{D5CDD505-2E9C-101B-9397-08002B2CF9AE}" pid="4" name="KSOTemplateDocerSaveRecord">
    <vt:lpwstr>eyJoZGlkIjoiYjhmMTU1N2Y1M2FlOGEyMTk5NmJiZWM0NWVkZmNjMmYiLCJ1c2VySWQiOiIzMzc4NTAzOTgifQ==</vt:lpwstr>
  </property>
</Properties>
</file>