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版本号：JXRC-25091120250922001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2025-2026HIS系统驻场维保及其它重要业务系统维保服务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JXRC-250911</w:t>
      </w:r>
      <w:r>
        <w:br/>
      </w:r>
      <w:r>
        <w:br/>
      </w:r>
      <w:r>
        <w:br/>
      </w:r>
    </w:p>
    <w:p>
      <w:pPr>
        <w:pStyle w:val="null3"/>
        <w:jc w:val="center"/>
        <w:outlineLvl w:val="2"/>
      </w:pPr>
      <w:r>
        <w:rPr>
          <w:rFonts w:ascii="仿宋_GB2312" w:hAnsi="仿宋_GB2312" w:cs="仿宋_GB2312" w:eastAsia="仿宋_GB2312"/>
          <w:sz w:val="28"/>
          <w:b/>
        </w:rPr>
        <w:t>西安市精神卫生中心</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西安市精神卫生中心</w:t>
      </w:r>
      <w:r>
        <w:rPr>
          <w:rFonts w:ascii="仿宋_GB2312" w:hAnsi="仿宋_GB2312" w:cs="仿宋_GB2312" w:eastAsia="仿宋_GB2312"/>
        </w:rPr>
        <w:t>委托，拟对</w:t>
      </w:r>
      <w:r>
        <w:rPr>
          <w:rFonts w:ascii="仿宋_GB2312" w:hAnsi="仿宋_GB2312" w:cs="仿宋_GB2312" w:eastAsia="仿宋_GB2312"/>
        </w:rPr>
        <w:t>2025-2026HIS系统驻场维保及其它重要业务系统维保服务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JXRC-250911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2025-2026HIS系统驻场维保及其它重要业务系统维保服务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医院信息化建设起步较早，现有主体运营业务系统HIS、EMR、LIS等系统软件，现HIS系统是2018年政府集中采购建设的，临床业务系统信息化覆盖面较全，已经基本实现临床业务科室的全面覆盖，并且各业务系统目前运行平稳，为各临床科室提供日常工作的基础保障。医院信息化建设是医院建设的一项重要任务，而随着这项任务的建设以及国家对医疗信息化的鼓励全面发展，医院已展现出了信息化建设带来的诸多优点，但同样的也增添了许多系统的维护工作。一方面医院信息系统依据大规模、高效率的数据管理，达到支持医院快速、动态增加信息的管理系统，必须具有很强的联机事务处理(OLTP)能力，属于典型的7天*24小时不间断运转，同时须具备高安全性和高可靠性特点；另一方面随着国家医疗政策的不断更新以及医院信息化行业的发展，迫切需要对医院现有系统进行业务流程再造、功能修改以满足医院整体发展规划。为了使医院信息化建设与应用高效进行，则需要专业团队提供专业的技术服务与支持，提供清晰的服务内容及规范的服务体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采购包1（2025-2026HIS系统驻场维保及其它重要业务系统维保服务）：属于专门面向中小企业采购。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供应商应有良好的财务状况：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供应商应有依法缴纳税收的良好记录：法人提供2025年3月至今已缴纳的至少一个月的纳税证明或完税证明，纳税证明或完税证明上应有代收机构或税务机关的公章或业务专用章；其他组织和自然人提供自2025年3月至今已缴纳的至少一个月缴纳税收的凭据；依法免税的供应商应提供相关文件证明。</w:t>
      </w:r>
    </w:p>
    <w:p>
      <w:pPr>
        <w:pStyle w:val="null3"/>
      </w:pPr>
      <w:r>
        <w:rPr>
          <w:rFonts w:ascii="仿宋_GB2312" w:hAnsi="仿宋_GB2312" w:cs="仿宋_GB2312" w:eastAsia="仿宋_GB2312"/>
        </w:rPr>
        <w:t>4、供应商应有依法缴纳社会保障资金的良好记录：提供2025年3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5、法定代表授权书：法定代表人/负责人直接参加的，只须提交《法定代表人/负责人身份证明》；法定代表人/负责人授权代表参加的，须提交《法定代表人/负责人授权书》。</w:t>
      </w:r>
    </w:p>
    <w:p>
      <w:pPr>
        <w:pStyle w:val="null3"/>
      </w:pPr>
      <w:r>
        <w:rPr>
          <w:rFonts w:ascii="仿宋_GB2312" w:hAnsi="仿宋_GB2312" w:cs="仿宋_GB2312" w:eastAsia="仿宋_GB2312"/>
        </w:rPr>
        <w:t>6、参加本次政府采购活动前三年内，在经营活动中没有重大违法记录：供应商需提供《无重大违法记录声明》。</w:t>
      </w:r>
    </w:p>
    <w:p>
      <w:pPr>
        <w:pStyle w:val="null3"/>
      </w:pPr>
      <w:r>
        <w:rPr>
          <w:rFonts w:ascii="仿宋_GB2312" w:hAnsi="仿宋_GB2312" w:cs="仿宋_GB2312" w:eastAsia="仿宋_GB2312"/>
        </w:rPr>
        <w:t>7、供应商应具有履行合同所必需的设备和专业技术能力：供应商需提供《具有履行合同所必需的设备和专业技术能力的承诺书》。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西安市精神卫生中心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西安市长安区康和路666号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西安市精神卫生中心经办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029-63609379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曲慧、田颖琦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代理服务费收费标准：参照原中华人民共和国国家计划委员会计价格[2002]1980号文下浮25%计算收取，具体收费额以采购代理机构出具的发票为准。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西安市精神卫生中心</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西安市精神卫生中心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西安市精神卫生中心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联系人：曲慧、田颖琦</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院信息化建设起步较早，现有主体运营业务系统HIS、EMR、LIS等系统软件，现HIS系统是2018年政府集中采购建设的，临床业务系统信息化覆盖面较全，已经基本实现临床业务科室的全面覆盖，并且各业务系统目前运行平稳，为各临床科室提供日常工作的基础保障。医院信息化建设是医院建设的一项重要任务，而随着这项任务的建设以及国家对医疗信息化的鼓励全面发展，医院已展现出了信息化建设带来的诸多优点，但同样的也增添了许多系统的维护工作。一方面医院信息系统依据大规模、高效率的数据管理，达到支持医院快速、动态增加信息的管理系统，必须具有很强的联机事务处理(OLTP)能力，属于典型的7天*24小时不间断运转，同时须具备高安全性和高可靠性特点；另一方面随着国家医疗政策的不断更新以及医院信息化行业的发展，迫切需要对医院现有系统进行业务流程再造、功能修改以满足医院整体发展规划。为了使医院信息化建设与应用高效进行，则需要专业团队提供专业的技术服务与支持，提供清晰的服务内容及规范的服务体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2025-2026HIS系统驻场维保及其它重要业务系统维保服务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标的名称：2025-2026HIS系统驻场维保及其它重要业务系统维保服务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一、服务内容</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、HIS系统驻场服务</w:t>
            </w:r>
          </w:p>
          <w:p>
            <w:pPr>
              <w:pStyle w:val="null3"/>
              <w:jc w:val="both"/>
            </w:pPr>
            <w:r>
              <w:rPr>
                <w:rFonts w:ascii="仿宋_GB2312" w:hAnsi="仿宋_GB2312" w:cs="仿宋_GB2312" w:eastAsia="仿宋_GB2312"/>
                <w:sz w:val="24"/>
                <w:b/>
              </w:rPr>
              <w:t xml:space="preserve">  1.1</w:t>
            </w:r>
            <w:r>
              <w:rPr>
                <w:rFonts w:ascii="仿宋_GB2312" w:hAnsi="仿宋_GB2312" w:cs="仿宋_GB2312" w:eastAsia="仿宋_GB2312"/>
                <w:sz w:val="24"/>
                <w:b/>
              </w:rPr>
              <w:t>人员要求</w:t>
            </w:r>
          </w:p>
          <w:p>
            <w:pPr>
              <w:pStyle w:val="null3"/>
              <w:jc w:val="both"/>
            </w:pPr>
            <w:r>
              <w:rPr>
                <w:rFonts w:ascii="仿宋_GB2312" w:hAnsi="仿宋_GB2312" w:cs="仿宋_GB2312" w:eastAsia="仿宋_GB2312"/>
                <w:sz w:val="24"/>
              </w:rPr>
              <w:t xml:space="preserve">  要求为西安市精神卫生中心提供2名售后驻场服务人员，负责医院信息化系统的维护工作，对信息化系统故障及需求进行记录及处理，并定期交由信息科进行审核。</w:t>
            </w:r>
          </w:p>
          <w:p>
            <w:pPr>
              <w:pStyle w:val="null3"/>
              <w:jc w:val="both"/>
            </w:pPr>
            <w:r>
              <w:rPr>
                <w:rFonts w:ascii="仿宋_GB2312" w:hAnsi="仿宋_GB2312" w:cs="仿宋_GB2312" w:eastAsia="仿宋_GB2312"/>
                <w:sz w:val="24"/>
              </w:rPr>
              <w:t xml:space="preserve">  ①、驻场项目经理应具备：实施并管理过三级医院的HIS、EMR、LIS等核心业务系统的信息化建设项目及维护经验，必须熟悉医院临床业务流程；</w:t>
            </w:r>
          </w:p>
          <w:p>
            <w:pPr>
              <w:pStyle w:val="null3"/>
              <w:jc w:val="both"/>
            </w:pPr>
            <w:r>
              <w:rPr>
                <w:rFonts w:ascii="仿宋_GB2312" w:hAnsi="仿宋_GB2312" w:cs="仿宋_GB2312" w:eastAsia="仿宋_GB2312"/>
                <w:sz w:val="24"/>
              </w:rPr>
              <w:t xml:space="preserve">  ②、具备良好的沟通表达及资源统筹能力；</w:t>
            </w:r>
          </w:p>
          <w:p>
            <w:pPr>
              <w:pStyle w:val="null3"/>
              <w:jc w:val="both"/>
            </w:pPr>
            <w:r>
              <w:rPr>
                <w:rFonts w:ascii="仿宋_GB2312" w:hAnsi="仿宋_GB2312" w:cs="仿宋_GB2312" w:eastAsia="仿宋_GB2312"/>
                <w:sz w:val="24"/>
              </w:rPr>
              <w:t xml:space="preserve">  ③、驻场人员考勤时间需与西安市精神卫生中心保持一致；</w:t>
            </w:r>
          </w:p>
          <w:p>
            <w:pPr>
              <w:pStyle w:val="null3"/>
              <w:jc w:val="both"/>
            </w:pPr>
            <w:r>
              <w:rPr>
                <w:rFonts w:ascii="仿宋_GB2312" w:hAnsi="仿宋_GB2312" w:cs="仿宋_GB2312" w:eastAsia="仿宋_GB2312"/>
                <w:sz w:val="24"/>
              </w:rPr>
              <w:t xml:space="preserve">  ④、驻场人员需固定，不得随意离场及更换。</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 xml:space="preserve">  </w:t>
            </w:r>
            <w:r>
              <w:rPr>
                <w:rFonts w:ascii="仿宋_GB2312" w:hAnsi="仿宋_GB2312" w:cs="仿宋_GB2312" w:eastAsia="仿宋_GB2312"/>
                <w:sz w:val="24"/>
                <w:b/>
              </w:rPr>
              <w:t>1.2具体工作内容</w:t>
            </w:r>
          </w:p>
          <w:p>
            <w:pPr>
              <w:pStyle w:val="null3"/>
            </w:pPr>
            <w:r>
              <w:rPr>
                <w:rFonts w:ascii="仿宋_GB2312" w:hAnsi="仿宋_GB2312" w:cs="仿宋_GB2312" w:eastAsia="仿宋_GB2312"/>
                <w:sz w:val="24"/>
              </w:rPr>
              <w:t xml:space="preserve">  1.2.1</w:t>
            </w:r>
            <w:r>
              <w:rPr>
                <w:rFonts w:ascii="仿宋_GB2312" w:hAnsi="仿宋_GB2312" w:cs="仿宋_GB2312" w:eastAsia="仿宋_GB2312"/>
                <w:sz w:val="24"/>
              </w:rPr>
              <w:t>服务期内为医院提供现有HIS系统的维护及技术支持服务，保障医院HIS系统的稳定运行，包括不限于系统运行监控、补丁收集及维护、故障解决、健康检查、系统调优、应急处理等。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 xml:space="preserve">  1.2.2</w:t>
            </w:r>
            <w:r>
              <w:rPr>
                <w:rFonts w:ascii="仿宋_GB2312" w:hAnsi="仿宋_GB2312" w:cs="仿宋_GB2312" w:eastAsia="仿宋_GB2312"/>
                <w:sz w:val="24"/>
              </w:rPr>
              <w:t>技术支持：响应并落实医院对HIS系统的技术需求，如软件端安装、操作人员培训、科室软件问题解答、后台数据纠错修改、常见问题故障排除等情况。</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 xml:space="preserve">  1.2.3</w:t>
            </w:r>
            <w:r>
              <w:rPr>
                <w:rFonts w:ascii="仿宋_GB2312" w:hAnsi="仿宋_GB2312" w:cs="仿宋_GB2312" w:eastAsia="仿宋_GB2312"/>
                <w:sz w:val="24"/>
              </w:rPr>
              <w:t>为医院提供HIS系统的流程变更，业务调整的可行性建议及改造方案。</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color w:val="000000"/>
              </w:rPr>
              <w:t xml:space="preserve">  1.2.4</w:t>
            </w:r>
            <w:r>
              <w:rPr>
                <w:rFonts w:ascii="仿宋_GB2312" w:hAnsi="仿宋_GB2312" w:cs="仿宋_GB2312" w:eastAsia="仿宋_GB2312"/>
                <w:sz w:val="24"/>
                <w:color w:val="000000"/>
              </w:rPr>
              <w:t>为医院提供在HIS系统现有功能的基础上所需的定制化需求改造、医保业务的基础程序调整等程序开发工作。</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 xml:space="preserve">  1.2.5</w:t>
            </w:r>
            <w:r>
              <w:rPr>
                <w:rFonts w:ascii="仿宋_GB2312" w:hAnsi="仿宋_GB2312" w:cs="仿宋_GB2312" w:eastAsia="仿宋_GB2312"/>
                <w:sz w:val="24"/>
              </w:rPr>
              <w:t>协助医院排除并解决因不可抗因素发生（如服务器运行问题、网络问题、其他软件接口数据问题等）而连带造成的HIS系统运行故障。</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rPr>
              <w:t xml:space="preserve">  1.2.6</w:t>
            </w:r>
            <w:r>
              <w:rPr>
                <w:rFonts w:ascii="仿宋_GB2312" w:hAnsi="仿宋_GB2312" w:cs="仿宋_GB2312" w:eastAsia="仿宋_GB2312"/>
                <w:sz w:val="24"/>
              </w:rPr>
              <w:t>为医院提供重要时间或重点事件的技术支持。</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4"/>
              </w:rPr>
              <w:t xml:space="preserve">  1.2.7</w:t>
            </w:r>
            <w:r>
              <w:rPr>
                <w:rFonts w:ascii="仿宋_GB2312" w:hAnsi="仿宋_GB2312" w:cs="仿宋_GB2312" w:eastAsia="仿宋_GB2312"/>
                <w:sz w:val="24"/>
              </w:rPr>
              <w:t>定期向医院提供信息化建设建议(如医院流程优化、信息化管理咨询、信息化最新政策等)。</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、其他软件运维服务：</w:t>
            </w:r>
          </w:p>
          <w:p>
            <w:pPr>
              <w:pStyle w:val="null3"/>
            </w:pPr>
            <w:r>
              <w:rPr>
                <w:rFonts w:ascii="仿宋_GB2312" w:hAnsi="仿宋_GB2312" w:cs="仿宋_GB2312" w:eastAsia="仿宋_GB2312"/>
                <w:sz w:val="24"/>
              </w:rPr>
              <w:t xml:space="preserve">  2.1</w:t>
            </w:r>
            <w:r>
              <w:rPr>
                <w:rFonts w:ascii="仿宋_GB2312" w:hAnsi="仿宋_GB2312" w:cs="仿宋_GB2312" w:eastAsia="仿宋_GB2312"/>
                <w:sz w:val="24"/>
              </w:rPr>
              <w:t>其他软件的范围包括：合理用药系统、临床路径管理系统、电子病历系统、病人随访系统、检验信息系统(LIS)、不良事件管理系统、危急值管理系统。</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 xml:space="preserve">  2.2</w:t>
            </w:r>
            <w:r>
              <w:rPr>
                <w:rFonts w:ascii="仿宋_GB2312" w:hAnsi="仿宋_GB2312" w:cs="仿宋_GB2312" w:eastAsia="仿宋_GB2312"/>
                <w:sz w:val="24"/>
              </w:rPr>
              <w:t>服务内容包括：软件现有功能的运行环境排查、日常问题排查及处理、系统Bug问题处理、数据处理与统计，保障系统的稳定运行。</w:t>
            </w:r>
          </w:p>
          <w:p>
            <w:pPr>
              <w:pStyle w:val="null3"/>
            </w:pP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4"/>
              </w:rPr>
              <w:t xml:space="preserve">  2.3</w:t>
            </w:r>
            <w:r>
              <w:rPr>
                <w:rFonts w:ascii="仿宋_GB2312" w:hAnsi="仿宋_GB2312" w:cs="仿宋_GB2312" w:eastAsia="仿宋_GB2312"/>
                <w:sz w:val="24"/>
              </w:rPr>
              <w:t>服务形式：日常问题优先远程处理，远程无法解决的情况下需无条件抵达现场处理，定期每季度巡检一次。</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、信息化系统维保服务标准：</w:t>
            </w:r>
          </w:p>
          <w:tbl>
            <w:tblPr>
              <w:tblBorders>
                <w:top w:val="none" w:color="000000" w:sz="4"/>
                <w:left w:val="none" w:color="000000" w:sz="4"/>
                <w:bottom w:val="none" w:color="000000" w:sz="4"/>
                <w:right w:val="none" w:color="000000" w:sz="4"/>
                <w:insideH w:val="none"/>
                <w:insideV w:val="none"/>
              </w:tblBorders>
              <w:shd w:fill="FFFFFF"/>
            </w:tblPr>
            <w:tblGrid>
              <w:gridCol w:w="345"/>
              <w:gridCol w:w="957"/>
              <w:gridCol w:w="1250"/>
              <w:gridCol w:w="0"/>
            </w:tblGrid>
            <w:tr>
              <w:tc>
                <w:tcPr>
                  <w:tcW w:type="dxa" w:w="34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类别</w:t>
                  </w:r>
                </w:p>
              </w:tc>
              <w:tc>
                <w:tcPr>
                  <w:tcW w:type="dxa" w:w="95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内容</w:t>
                  </w:r>
                </w:p>
              </w:tc>
              <w:tc>
                <w:tcPr>
                  <w:tcW w:type="dxa" w:w="125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服务标准</w:t>
                  </w:r>
                </w:p>
              </w:tc>
              <w:tc>
                <w:tcPr>
                  <w:tcW w:type="dxa" w:w="0"/>
                  <w:tcBorders>
                    <w:top w:val="none" w:color="000000" w:sz="4"/>
                    <w:left w:val="none" w:color="000000" w:sz="4"/>
                    <w:bottom w:val="none" w:color="000000" w:sz="4"/>
                    <w:right w:val="none" w:color="000000" w:sz="4"/>
                  </w:tcBorders>
                  <w:shd w:fill="FFFFFF"/>
                </w:tcPr>
                <w:p>
                  <w:pPr>
                    <w:pStyle w:val="null3"/>
                  </w:pPr>
                  <w:r>
                    <w:rPr>
                      <w:rFonts w:ascii="仿宋_GB2312" w:hAnsi="仿宋_GB2312" w:cs="仿宋_GB2312" w:eastAsia="仿宋_GB2312"/>
                    </w:rPr>
                    <w:t xml:space="preserve"> </w:t>
                  </w:r>
                </w:p>
              </w:tc>
            </w:tr>
            <w:tr>
              <w:tc>
                <w:tcPr>
                  <w:tcW w:type="dxa" w:w="34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远程服务</w:t>
                  </w:r>
                </w:p>
              </w:tc>
              <w:tc>
                <w:tcPr>
                  <w:tcW w:type="dxa" w:w="95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工程师不到现场，通过电话、QQ、微信、电子邮件等方式处理系统问题。</w:t>
                  </w:r>
                </w:p>
              </w:tc>
              <w:tc>
                <w:tcPr>
                  <w:tcW w:type="dxa" w:w="125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4"/>
                      <w:color w:val="000000"/>
                    </w:rPr>
                    <w:t>7*24</w:t>
                  </w:r>
                  <w:r>
                    <w:rPr>
                      <w:rFonts w:ascii="仿宋_GB2312" w:hAnsi="仿宋_GB2312" w:cs="仿宋_GB2312" w:eastAsia="仿宋_GB2312"/>
                      <w:sz w:val="24"/>
                      <w:color w:val="000000"/>
                    </w:rPr>
                    <w:t>小时期间受理问题，</w:t>
                  </w:r>
                  <w:r>
                    <w:rPr>
                      <w:rFonts w:ascii="仿宋_GB2312" w:hAnsi="仿宋_GB2312" w:cs="仿宋_GB2312" w:eastAsia="仿宋_GB2312"/>
                      <w:sz w:val="24"/>
                      <w:color w:val="000000"/>
                    </w:rPr>
                    <w:t>服务响应时间不得超过20分钟，</w:t>
                  </w:r>
                  <w:r>
                    <w:rPr>
                      <w:rFonts w:ascii="仿宋_GB2312" w:hAnsi="仿宋_GB2312" w:cs="仿宋_GB2312" w:eastAsia="仿宋_GB2312"/>
                      <w:sz w:val="24"/>
                      <w:color w:val="000000"/>
                    </w:rPr>
                    <w:t>对受理问题1个工作日内给予解决或可行的解决方案。</w:t>
                  </w:r>
                </w:p>
              </w:tc>
              <w:tc>
                <w:tcPr>
                  <w:tcW w:type="dxa" w:w="0"/>
                  <w:tcBorders>
                    <w:top w:val="none" w:color="000000" w:sz="4"/>
                    <w:left w:val="none" w:color="000000" w:sz="4"/>
                    <w:bottom w:val="none" w:color="000000" w:sz="4"/>
                    <w:right w:val="none" w:color="000000" w:sz="4"/>
                  </w:tcBorders>
                  <w:shd w:fill="FFFFFF"/>
                </w:tcPr>
                <w:p>
                  <w:pPr>
                    <w:pStyle w:val="null3"/>
                  </w:pPr>
                  <w:r>
                    <w:rPr>
                      <w:rFonts w:ascii="仿宋_GB2312" w:hAnsi="仿宋_GB2312" w:cs="仿宋_GB2312" w:eastAsia="仿宋_GB2312"/>
                    </w:rPr>
                    <w:t xml:space="preserve"> </w:t>
                  </w:r>
                </w:p>
              </w:tc>
            </w:tr>
            <w:tr>
              <w:tc>
                <w:tcPr>
                  <w:tcW w:type="dxa" w:w="345"/>
                  <w:vMerge/>
                  <w:tcBorders>
                    <w:top w:val="none" w:color="000000" w:sz="4"/>
                    <w:left w:val="single" w:color="000000" w:sz="4"/>
                    <w:bottom w:val="single" w:color="000000" w:sz="4"/>
                    <w:right w:val="single" w:color="000000" w:sz="4"/>
                  </w:tcBorders>
                </w:tcPr>
                <w:p/>
              </w:tc>
              <w:tc>
                <w:tcPr>
                  <w:tcW w:type="dxa" w:w="957"/>
                  <w:vMerge/>
                  <w:tcBorders>
                    <w:top w:val="none" w:color="000000" w:sz="4"/>
                    <w:left w:val="none" w:color="000000" w:sz="4"/>
                    <w:bottom w:val="single" w:color="000000" w:sz="4"/>
                    <w:right w:val="single" w:color="000000" w:sz="4"/>
                  </w:tcBorders>
                </w:tcPr>
                <w:p/>
              </w:tc>
              <w:tc>
                <w:tcPr>
                  <w:tcW w:type="dxa" w:w="125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shd w:fill="FFFFFF"/>
                </w:tcPr>
                <w:p>
                  <w:pPr>
                    <w:pStyle w:val="null3"/>
                  </w:pPr>
                  <w:r>
                    <w:rPr>
                      <w:rFonts w:ascii="仿宋_GB2312" w:hAnsi="仿宋_GB2312" w:cs="仿宋_GB2312" w:eastAsia="仿宋_GB2312"/>
                    </w:rPr>
                    <w:t xml:space="preserve"> </w:t>
                  </w:r>
                </w:p>
              </w:tc>
            </w:tr>
            <w:tr>
              <w:tc>
                <w:tcPr>
                  <w:tcW w:type="dxa" w:w="34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改造服务</w:t>
                  </w:r>
                </w:p>
              </w:tc>
              <w:tc>
                <w:tcPr>
                  <w:tcW w:type="dxa" w:w="95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根据医院管理要求变化、业务流程调整、系统需求调整、功能增加等情况进行的开发性系统改造工作</w:t>
                  </w:r>
                </w:p>
              </w:tc>
              <w:tc>
                <w:tcPr>
                  <w:tcW w:type="dxa" w:w="125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需求改造服务，对院方提出需求进行的开发性改造工作，如结账方式调整、流程调整、</w:t>
                  </w:r>
                  <w:r>
                    <w:rPr>
                      <w:rFonts w:ascii="仿宋_GB2312" w:hAnsi="仿宋_GB2312" w:cs="仿宋_GB2312" w:eastAsia="仿宋_GB2312"/>
                      <w:sz w:val="24"/>
                      <w:color w:val="000000"/>
                    </w:rPr>
                    <w:t>基础医保接口开发调整</w:t>
                  </w:r>
                  <w:r>
                    <w:rPr>
                      <w:rFonts w:ascii="仿宋_GB2312" w:hAnsi="仿宋_GB2312" w:cs="仿宋_GB2312" w:eastAsia="仿宋_GB2312"/>
                      <w:sz w:val="24"/>
                      <w:color w:val="000000"/>
                    </w:rPr>
                    <w:t>等等。</w:t>
                  </w:r>
                </w:p>
              </w:tc>
              <w:tc>
                <w:tcPr>
                  <w:tcW w:type="dxa" w:w="0"/>
                  <w:tcBorders>
                    <w:top w:val="none" w:color="000000" w:sz="4"/>
                    <w:left w:val="none" w:color="000000" w:sz="4"/>
                    <w:bottom w:val="none" w:color="000000" w:sz="4"/>
                    <w:right w:val="none" w:color="000000" w:sz="4"/>
                  </w:tcBorders>
                  <w:shd w:fill="FFFFFF"/>
                </w:tcPr>
                <w:p>
                  <w:pPr>
                    <w:pStyle w:val="null3"/>
                  </w:pPr>
                  <w:r>
                    <w:rPr>
                      <w:rFonts w:ascii="仿宋_GB2312" w:hAnsi="仿宋_GB2312" w:cs="仿宋_GB2312" w:eastAsia="仿宋_GB2312"/>
                    </w:rPr>
                    <w:t xml:space="preserve"> </w:t>
                  </w:r>
                </w:p>
              </w:tc>
            </w:tr>
            <w:tr>
              <w:tc>
                <w:tcPr>
                  <w:tcW w:type="dxa" w:w="345"/>
                  <w:vMerge/>
                  <w:tcBorders>
                    <w:top w:val="none" w:color="000000" w:sz="4"/>
                    <w:left w:val="single" w:color="000000" w:sz="4"/>
                    <w:bottom w:val="single" w:color="000000" w:sz="4"/>
                    <w:right w:val="single" w:color="000000" w:sz="4"/>
                  </w:tcBorders>
                </w:tcPr>
                <w:p/>
              </w:tc>
              <w:tc>
                <w:tcPr>
                  <w:tcW w:type="dxa" w:w="957"/>
                  <w:vMerge/>
                  <w:tcBorders>
                    <w:top w:val="none" w:color="000000" w:sz="4"/>
                    <w:left w:val="none" w:color="000000" w:sz="4"/>
                    <w:bottom w:val="single" w:color="000000" w:sz="4"/>
                    <w:right w:val="single" w:color="000000" w:sz="4"/>
                  </w:tcBorders>
                </w:tcPr>
                <w:p/>
              </w:tc>
              <w:tc>
                <w:tcPr>
                  <w:tcW w:type="dxa" w:w="125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shd w:fill="FFFFFF"/>
                </w:tcPr>
                <w:p>
                  <w:pPr>
                    <w:pStyle w:val="null3"/>
                  </w:pPr>
                  <w:r>
                    <w:rPr>
                      <w:rFonts w:ascii="仿宋_GB2312" w:hAnsi="仿宋_GB2312" w:cs="仿宋_GB2312" w:eastAsia="仿宋_GB2312"/>
                    </w:rPr>
                    <w:t xml:space="preserve"> </w:t>
                  </w:r>
                </w:p>
              </w:tc>
            </w:tr>
            <w:tr>
              <w:tc>
                <w:tcPr>
                  <w:tcW w:type="dxa" w:w="345"/>
                  <w:vMerge/>
                  <w:tcBorders>
                    <w:top w:val="none" w:color="000000" w:sz="4"/>
                    <w:left w:val="single" w:color="000000" w:sz="4"/>
                    <w:bottom w:val="single" w:color="000000" w:sz="4"/>
                    <w:right w:val="single" w:color="000000" w:sz="4"/>
                  </w:tcBorders>
                </w:tcPr>
                <w:p/>
              </w:tc>
              <w:tc>
                <w:tcPr>
                  <w:tcW w:type="dxa" w:w="957"/>
                  <w:vMerge/>
                  <w:tcBorders>
                    <w:top w:val="none" w:color="000000" w:sz="4"/>
                    <w:left w:val="none" w:color="000000" w:sz="4"/>
                    <w:bottom w:val="single" w:color="000000" w:sz="4"/>
                    <w:right w:val="single" w:color="000000" w:sz="4"/>
                  </w:tcBorders>
                </w:tcPr>
                <w:p/>
              </w:tc>
              <w:tc>
                <w:tcPr>
                  <w:tcW w:type="dxa" w:w="125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shd w:fill="FFFFFF"/>
                </w:tcPr>
                <w:p>
                  <w:pPr>
                    <w:pStyle w:val="null3"/>
                  </w:pPr>
                  <w:r>
                    <w:rPr>
                      <w:rFonts w:ascii="仿宋_GB2312" w:hAnsi="仿宋_GB2312" w:cs="仿宋_GB2312" w:eastAsia="仿宋_GB2312"/>
                    </w:rPr>
                    <w:t xml:space="preserve"> </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巡检服务</w:t>
                  </w:r>
                </w:p>
              </w:tc>
              <w:tc>
                <w:tcPr>
                  <w:tcW w:type="dxa" w:w="9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工程师定期对系统存在的问题和不足进行排查及摸底，并在医院可接受的时间内处理完毕，须对医院信息化的建设发展提出合理建议。</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每季度1次巡检服务，每次不低于3个工作日。</w:t>
                  </w:r>
                </w:p>
              </w:tc>
              <w:tc>
                <w:tcPr>
                  <w:tcW w:type="dxa" w:w="0"/>
                  <w:tcBorders>
                    <w:top w:val="none" w:color="000000" w:sz="4"/>
                    <w:left w:val="none" w:color="000000" w:sz="4"/>
                    <w:bottom w:val="none" w:color="000000" w:sz="4"/>
                    <w:right w:val="none" w:color="000000" w:sz="4"/>
                  </w:tcBorders>
                  <w:shd w:fill="FFFFFF"/>
                </w:tcPr>
                <w:p>
                  <w:pPr>
                    <w:pStyle w:val="null3"/>
                  </w:pPr>
                  <w:r>
                    <w:rPr>
                      <w:rFonts w:ascii="仿宋_GB2312" w:hAnsi="仿宋_GB2312" w:cs="仿宋_GB2312" w:eastAsia="仿宋_GB2312"/>
                    </w:rPr>
                    <w:t xml:space="preserve"> </w:t>
                  </w:r>
                </w:p>
              </w:tc>
            </w:tr>
          </w:tbl>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、信息化系统维保服务责任：</w:t>
            </w:r>
          </w:p>
          <w:p>
            <w:pPr>
              <w:pStyle w:val="null3"/>
            </w:pPr>
            <w:r>
              <w:rPr>
                <w:rFonts w:ascii="仿宋_GB2312" w:hAnsi="仿宋_GB2312" w:cs="仿宋_GB2312" w:eastAsia="仿宋_GB2312"/>
                <w:sz w:val="24"/>
              </w:rPr>
              <w:t xml:space="preserve">  4.1.</w:t>
            </w:r>
            <w:r>
              <w:rPr>
                <w:rFonts w:ascii="仿宋_GB2312" w:hAnsi="仿宋_GB2312" w:cs="仿宋_GB2312" w:eastAsia="仿宋_GB2312"/>
                <w:sz w:val="24"/>
              </w:rPr>
              <w:t>投标人应保证本采购服务内容所涉及的工作质量。由于未能履行职责、人为误操作、维护处理不当等原因造成采购人系统宕机、性能下降、数据丢失等情况，投标人应负全部责任，采取补救措施，直到满足采购人需求。</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4"/>
              </w:rPr>
              <w:t xml:space="preserve">  4.2.</w:t>
            </w:r>
            <w:r>
              <w:rPr>
                <w:rFonts w:ascii="仿宋_GB2312" w:hAnsi="仿宋_GB2312" w:cs="仿宋_GB2312" w:eastAsia="仿宋_GB2312"/>
                <w:sz w:val="24"/>
              </w:rPr>
              <w:t>对需要技术人员到达现场的情况，技术人员必须搭乘最快交通工具，在4小时内到达，所发生的交通费用由中标人负责。工程师到达现场后，要及时解决问题（在8 小时内），对于一些重大故障，</w:t>
            </w:r>
            <w:r>
              <w:rPr>
                <w:rFonts w:ascii="仿宋_GB2312" w:hAnsi="仿宋_GB2312" w:cs="仿宋_GB2312" w:eastAsia="仿宋_GB2312"/>
                <w:sz w:val="24"/>
                <w:color w:val="000000"/>
              </w:rPr>
              <w:t>如由于投标人能力有限不能在采购人要求的时间内修复故障时，采购人有权请其它专业服务公司进行紧急处理，所发生费用完全由中标人承担。</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4"/>
              </w:rPr>
              <w:t xml:space="preserve">  4.3.</w:t>
            </w:r>
            <w:r>
              <w:rPr>
                <w:rFonts w:ascii="仿宋_GB2312" w:hAnsi="仿宋_GB2312" w:cs="仿宋_GB2312" w:eastAsia="仿宋_GB2312"/>
                <w:sz w:val="24"/>
              </w:rPr>
              <w:t>若采购服务需求中出现不合理或不完整等可能影响项目实施的问题，投标人有责任和义务提出补充修改方案并征得采购人同意后付诸实施，采购人不再另行支付任何费用。</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4"/>
              </w:rPr>
              <w:t xml:space="preserve">  4.4.</w:t>
            </w:r>
            <w:r>
              <w:rPr>
                <w:rFonts w:ascii="仿宋_GB2312" w:hAnsi="仿宋_GB2312" w:cs="仿宋_GB2312" w:eastAsia="仿宋_GB2312"/>
                <w:sz w:val="24"/>
              </w:rPr>
              <w:t>保密要求：投标人在与采购人合作过程中，必须确保对采购人的资料、数据等信息的安全，未经采购人许可，不得复制、泄露、损坏采购人的任何信息。违反本规定的，采购人将依法追究投标人的法律责任和经济赔偿。</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24"/>
              </w:rPr>
              <w:t xml:space="preserve">  4.5</w:t>
            </w:r>
            <w:r>
              <w:rPr>
                <w:rFonts w:ascii="仿宋_GB2312" w:hAnsi="仿宋_GB2312" w:cs="仿宋_GB2312" w:eastAsia="仿宋_GB2312"/>
                <w:sz w:val="24"/>
              </w:rPr>
              <w:t>安全要求：投标人应当具有对程序开发人员数据安全相关的管理文件，应遵守国家有关保密的法律法规和行业规定，并对提供的资料负有保密义务。未经采购方同意，不得将承接政府服务项目获得的政府、公民个人等各种信息和资料提供给其他单位和个人。如发生以上情况，采购方有权索赔。</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4"/>
                <w:b/>
              </w:rPr>
              <w:t>二、技术要求</w:t>
            </w:r>
          </w:p>
          <w:p>
            <w:pPr>
              <w:pStyle w:val="null3"/>
            </w:pPr>
            <w:r>
              <w:rPr>
                <w:rFonts w:ascii="仿宋_GB2312" w:hAnsi="仿宋_GB2312" w:cs="仿宋_GB2312" w:eastAsia="仿宋_GB2312"/>
                <w:sz w:val="24"/>
                <w:color w:val="000000"/>
              </w:rPr>
              <w:t xml:space="preserve">  凡系统发生故障，若无需现场服务，接到医院报修通知后，</w:t>
            </w:r>
            <w:r>
              <w:rPr>
                <w:rFonts w:ascii="仿宋_GB2312" w:hAnsi="仿宋_GB2312" w:cs="仿宋_GB2312" w:eastAsia="仿宋_GB2312"/>
                <w:sz w:val="24"/>
              </w:rPr>
              <w:t>7*24</w:t>
            </w:r>
            <w:r>
              <w:rPr>
                <w:rFonts w:ascii="仿宋_GB2312" w:hAnsi="仿宋_GB2312" w:cs="仿宋_GB2312" w:eastAsia="仿宋_GB2312"/>
                <w:sz w:val="24"/>
              </w:rPr>
              <w:t>小时期间受理问题，</w:t>
            </w:r>
            <w:r>
              <w:rPr>
                <w:rFonts w:ascii="仿宋_GB2312" w:hAnsi="仿宋_GB2312" w:cs="仿宋_GB2312" w:eastAsia="仿宋_GB2312"/>
                <w:sz w:val="24"/>
                <w:color w:val="000000"/>
              </w:rPr>
              <w:t>服务响应时间不得超过20分钟，</w:t>
            </w:r>
            <w:r>
              <w:rPr>
                <w:rFonts w:ascii="仿宋_GB2312" w:hAnsi="仿宋_GB2312" w:cs="仿宋_GB2312" w:eastAsia="仿宋_GB2312"/>
                <w:sz w:val="24"/>
              </w:rPr>
              <w:t>对受理问题1个工作日内给予解决或可行的解决方案。若需现场服务，在接到医院报修通知后的4小时内必须派专业维修人员到达现场，排除故障的期限最长不得超过8小时，否则采购人有权指定第三方维修，维修费用由中标供应商承担。</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4"/>
              </w:rPr>
              <w:t xml:space="preserve">  2</w:t>
            </w:r>
            <w:r>
              <w:rPr>
                <w:rFonts w:ascii="仿宋_GB2312" w:hAnsi="仿宋_GB2312" w:cs="仿宋_GB2312" w:eastAsia="仿宋_GB2312"/>
                <w:sz w:val="24"/>
              </w:rPr>
              <w:t>、提供每周7×24小时不间断的电话支持服务，解答用户在使用过程中遇到的问题，及时提出解决问题的建议和对策。</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24"/>
              </w:rPr>
              <w:t xml:space="preserve">  3</w:t>
            </w:r>
            <w:r>
              <w:rPr>
                <w:rFonts w:ascii="仿宋_GB2312" w:hAnsi="仿宋_GB2312" w:cs="仿宋_GB2312" w:eastAsia="仿宋_GB2312"/>
                <w:sz w:val="24"/>
              </w:rPr>
              <w:t>、HIS系统提供全年驻场服务，其他软件每年提供四次巡检服务，巡检单内容包含但不限于巡检时间、巡检内容、巡检结果。</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sz w:val="24"/>
                <w:b/>
              </w:rPr>
              <w:t>三、服务要求</w:t>
            </w:r>
          </w:p>
          <w:p>
            <w:pPr>
              <w:pStyle w:val="null3"/>
            </w:pPr>
            <w:r>
              <w:rPr>
                <w:rFonts w:ascii="仿宋_GB2312" w:hAnsi="仿宋_GB2312" w:cs="仿宋_GB2312" w:eastAsia="仿宋_GB2312"/>
                <w:sz w:val="24"/>
              </w:rPr>
              <w:t xml:space="preserve">  1</w:t>
            </w:r>
            <w:r>
              <w:rPr>
                <w:rFonts w:ascii="仿宋_GB2312" w:hAnsi="仿宋_GB2312" w:cs="仿宋_GB2312" w:eastAsia="仿宋_GB2312"/>
                <w:sz w:val="24"/>
              </w:rPr>
              <w:t>、提供给医院驻场的技术人员，需严格按照医院工作时间提供驻场保障，不得无故缺勤。若因故需要请假，需提前向医院进行申请报备并安排好工作交接，医院同意后方可离院。</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sz w:val="24"/>
              </w:rPr>
              <w:t xml:space="preserve">  2</w:t>
            </w:r>
            <w:r>
              <w:rPr>
                <w:rFonts w:ascii="仿宋_GB2312" w:hAnsi="仿宋_GB2312" w:cs="仿宋_GB2312" w:eastAsia="仿宋_GB2312"/>
                <w:sz w:val="24"/>
              </w:rPr>
              <w:t>、驻场技术人员需按月提交驻场工作记录和总结，方便医院主管科室对服务情况进行监管。</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4"/>
                <w:b/>
              </w:rPr>
              <w:t>四、进度要求</w:t>
            </w:r>
          </w:p>
          <w:p>
            <w:pPr>
              <w:pStyle w:val="null3"/>
            </w:pPr>
            <w:r>
              <w:rPr>
                <w:rFonts w:ascii="仿宋_GB2312" w:hAnsi="仿宋_GB2312" w:cs="仿宋_GB2312" w:eastAsia="仿宋_GB2312"/>
                <w:sz w:val="24"/>
              </w:rPr>
              <w:t xml:space="preserve">  签订合同后提供一年的维护期，维护期内医院的技术服务请求需在20分钟内响应。</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4"/>
                <w:b/>
              </w:rPr>
              <w:t>五、成果交付要求</w:t>
            </w:r>
          </w:p>
          <w:p>
            <w:pPr>
              <w:pStyle w:val="null3"/>
              <w:jc w:val="both"/>
            </w:pPr>
            <w:r>
              <w:rPr>
                <w:rFonts w:ascii="仿宋_GB2312" w:hAnsi="仿宋_GB2312" w:cs="仿宋_GB2312" w:eastAsia="仿宋_GB2312"/>
                <w:sz w:val="24"/>
              </w:rPr>
              <w:t xml:space="preserve">  1</w:t>
            </w:r>
            <w:r>
              <w:rPr>
                <w:rFonts w:ascii="仿宋_GB2312" w:hAnsi="仿宋_GB2312" w:cs="仿宋_GB2312" w:eastAsia="仿宋_GB2312"/>
                <w:sz w:val="24"/>
              </w:rPr>
              <w:t>、维护服务记录：提供电子版归档，必要时打印纸质。</w:t>
            </w:r>
          </w:p>
          <w:p>
            <w:pPr>
              <w:pStyle w:val="null3"/>
            </w:pPr>
            <w:r>
              <w:rPr>
                <w:rFonts w:ascii="仿宋_GB2312" w:hAnsi="仿宋_GB2312" w:cs="仿宋_GB2312" w:eastAsia="仿宋_GB2312"/>
                <w:sz w:val="24"/>
              </w:rPr>
              <w:t xml:space="preserve">  2</w:t>
            </w:r>
            <w:r>
              <w:rPr>
                <w:rFonts w:ascii="仿宋_GB2312" w:hAnsi="仿宋_GB2312" w:cs="仿宋_GB2312" w:eastAsia="仿宋_GB2312"/>
                <w:sz w:val="24"/>
              </w:rPr>
              <w:t>、信息化建设建议方案：提供电子版归档，必要时打印纸质。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西安市精神卫生中心指定地点。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质量达到现行合格标准，符合国家、行业、地方规定以及采购人规定的合格质量及安全标准要求。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合同一年期满后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供应商保证对所交付的服务成果不侵犯第三方的权利，否则按照合同价款的5%向采购人支付违约金，并承担由此给采购人造成的一切损失。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2025年3月至今已缴纳的至少一个月的纳税证明或完税证明，纳税证明或完税证明上应有代收机构或税务机关的公章或业务专用章；其他组织和自然人提供自2025年3月至今已缴纳的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2025年3月至今已缴存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法定代表人/负责人直接参加的，只须提交《法定代表人/负责人身份证明》；法定代表人/负责人授权代表参加的，须提交《法定代表人/负责人授权书》。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供应商需提供《无重大违法记录声明》。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商务响应偏离表 服务响应偏离表 中小企业声明函 报价表 供应商业绩 响应文件封面 其他材料 残疾人福利性单位声明函 供应商基本信息 供应商企业关联关系声明函 服务方案 标的清单 供应商承诺书 响应函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供应商必须满足采购文件的商务要求。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供应商须提供承诺书（格式见投标文件格式附件）</w:t>
            </w:r>
          </w:p>
        </w:tc>
        <w:tc>
          <w:tcPr>
            <w:tcW w:type="dxa" w:w="1661"/>
          </w:tcPr>
          <w:p>
            <w:pPr>
              <w:pStyle w:val="null3"/>
            </w:pPr>
            <w:r>
              <w:rPr>
                <w:rFonts w:ascii="仿宋_GB2312" w:hAnsi="仿宋_GB2312" w:cs="仿宋_GB2312" w:eastAsia="仿宋_GB2312"/>
              </w:rPr>
              <w:t>供应商承诺书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供应商针对本项目提供服务方案，内容包含：①安装与配置方案；②运行监控、补丁收集及维护方案；③故障解决、健康检查、系统调优等方案；④完善的运行维护管理体系。 二、评审标准 1、完整性：方案必须全面，对评审内容中的各项要求有详细描述； 2、可实施性：切合本项目实际情况，提出步骤清晰、合理的方案； 3、针对性：方案能够紧扣项目实际情况，内容科学合理。 三、赋分标准（满分18分） 上述4项评审内容全部满足评审标准得18分，每有一个评审内容缺项扣4.5分，每有一项评审内容存在缺陷，扣（0-4.5）分，扣完为止。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供应商针对本项目提供应急预案，内容包含：①应急突发状况处置措施；②设备故障时反应机制。 二、评审标准 1、完整性：方案必须全面，对评审内容中的各项要求有详细描述； 2、可实施性：切合本项目实际情况，提出步骤清晰、合理的方案； 3、针对性：方案能够紧扣项目实际情况，内容科学合理。 三、赋分标准（满分9分） 上述2项评审内容全部满足评审标准得9分，每有一个评审内容缺项扣4.5分，每有一项评审内容存在缺陷，扣（0-4.5）分，扣完为止。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进度计划保障措施</w:t>
            </w:r>
          </w:p>
        </w:tc>
        <w:tc>
          <w:tcPr>
            <w:tcW w:type="dxa" w:w="2492"/>
          </w:tcPr>
          <w:p>
            <w:pPr>
              <w:pStyle w:val="null3"/>
            </w:pPr>
            <w:r>
              <w:rPr>
                <w:rFonts w:ascii="仿宋_GB2312" w:hAnsi="仿宋_GB2312" w:cs="仿宋_GB2312" w:eastAsia="仿宋_GB2312"/>
              </w:rPr>
              <w:t>一、评审内容 供应商针对本项目提供进度计划保障措施，内容包含：①部署、上线、测试方案；②工作时间进度安排方案；③日常管理和协调方法、关键步骤的思路和要点方案。 二、评审标准 1、完整性：方案必须全面，对评审内容中的各项要求有详细描述； 2、可实施性：切合本项目实际情况，提出步骤清晰、合理的方案； 3、针对性：方案能够紧扣项目实际情况，内容科学合理。 三、赋分标准（满分9分） 上述3项评审内容全部满足评审标准得9分，每有一个评审内容缺项扣3分，每有一项评审内容存在缺陷，扣（0-3）分，扣完为止。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人员配置计划</w:t>
            </w:r>
          </w:p>
        </w:tc>
        <w:tc>
          <w:tcPr>
            <w:tcW w:type="dxa" w:w="2492"/>
          </w:tcPr>
          <w:p>
            <w:pPr>
              <w:pStyle w:val="null3"/>
            </w:pPr>
            <w:r>
              <w:rPr>
                <w:rFonts w:ascii="仿宋_GB2312" w:hAnsi="仿宋_GB2312" w:cs="仿宋_GB2312" w:eastAsia="仿宋_GB2312"/>
              </w:rPr>
              <w:t>一、评审内容 供应商针对本项目提供人员配置计划，内容包含：①日常运维人员的配备计划；②岗位分工、职责；③项目负责人工作经验及专业水平的证明资料（包括但不限于项目负责人学历/学位证、职称证、相关资格证书等）。 二、评审标准 1、完整性：方案必须全面，对评审内容中的各项要求有详细描述； 2、可实施性：切合本项目实际情况，提出步骤清晰、合理的方案； 3、针对性：方案能够紧扣项目实际情况，内容科学合理。 三、赋分标准（满分13.5分） 上述3项评审内容全部满足评审标准得13.5分，每有一个评审内容缺项扣4.5分，每有一项评审内容存在缺陷，扣（0-4.5）分，扣完为止。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供应商针对本项目提供培训方案，内容包含：①培训人员的配备计划；②培训计划及方案。 二、评审标准 1、完整性：方案必须全面，对评审内容中的各项要求有详细描述； 2、可实施性：切合本项目实际情况，提出步骤清晰、合理的方案； 3、针对性：方案能够紧扣项目实际情况，内容科学合理。 三、赋分标准（满分9分） 上述2项评审内容全部满足评审标准得9分，每有一个评审内容缺项扣4.5分，每有一项评审内容存在缺陷，扣（0-4.5）分，扣完为止。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提供近三年（2022年9月至今）同类业绩证明材料（以合同中载明的日期为准），提供完整的合同复印件。每提供一个项目的合同计2分，满分10分，提供不全或不提供不得分。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1、（满分3分）供应商具备医院信息系统、检验信息系统、临床路径系统、电子病历系统、不良事件系统、随访系统的软件著作权证书，每提供一个证书得0.5分，最高3分；未提供不得分。 2、（满分2.5分）供应商具备ISO19001、ISO27001、ISO14001、ISO45001、ISO20000管理体系认证证书；每提供一个证书得0.5分，最高2.5分；未提供不得分。</w:t>
            </w:r>
          </w:p>
        </w:tc>
        <w:tc>
          <w:tcPr>
            <w:tcW w:type="dxa" w:w="831"/>
          </w:tcPr>
          <w:p>
            <w:pPr>
              <w:pStyle w:val="null3"/>
              <w:jc w:val="right"/>
            </w:pPr>
            <w:r>
              <w:rPr>
                <w:rFonts w:ascii="仿宋_GB2312" w:hAnsi="仿宋_GB2312" w:cs="仿宋_GB2312" w:eastAsia="仿宋_GB2312"/>
              </w:rPr>
              <w:t>5.5000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一、评审内容 供应商针对本项目提供增值服务，内容包含：①服务方案的优化与提升；②人员配置的优化与提升。 二、评审标准 1、完整性：方案必须全面，对评审内容中的各项要求有详细描述； 2、可实施性：切合本项目实际情况，提出步骤清晰、合理的方案； 3、针对性：方案能够紧扣项目实际情况，内容科学合理。 三、赋分标准（满分6分） 上述2项评审内容全部满足评审标准得6分，每有一个评审内容缺项扣3分，每有一项评审内容存在缺陷，扣（0-3）分，扣完为止。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满足采购文件要求且投标价格最低的投标报价为评标基准价，其价格分为满分。其他供应商的价格分统一按照下列公式计算：投标报价得分=(评标基准价／投标报价)×20。计算分数时四舍五入取小数点后两位。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详见附件：供应商企业关联关系声明函</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