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版本号：SXWXZBDL2025-ZC-CS101320250930001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2025年度西安市农业信息入村运维项目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SXWXZBDL2025-ZC-CS1013</w:t>
      </w:r>
      <w:r>
        <w:br/>
      </w:r>
      <w:r>
        <w:br/>
      </w:r>
      <w:r>
        <w:br/>
      </w:r>
    </w:p>
    <w:p>
      <w:pPr>
        <w:pStyle w:val="null3"/>
        <w:jc w:val="center"/>
        <w:outlineLvl w:val="2"/>
      </w:pPr>
      <w:r>
        <w:rPr>
          <w:rFonts w:ascii="仿宋_GB2312" w:hAnsi="仿宋_GB2312" w:cs="仿宋_GB2312" w:eastAsia="仿宋_GB2312"/>
          <w:sz w:val="28"/>
          <w:b/>
        </w:rPr>
        <w:t>西安市农业信息网络中心</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西安市农业信息网络中心</w:t>
      </w:r>
      <w:r>
        <w:rPr>
          <w:rFonts w:ascii="仿宋_GB2312" w:hAnsi="仿宋_GB2312" w:cs="仿宋_GB2312" w:eastAsia="仿宋_GB2312"/>
        </w:rPr>
        <w:t>委托，拟对</w:t>
      </w:r>
      <w:r>
        <w:rPr>
          <w:rFonts w:ascii="仿宋_GB2312" w:hAnsi="仿宋_GB2312" w:cs="仿宋_GB2312" w:eastAsia="仿宋_GB2312"/>
        </w:rPr>
        <w:t>2025年度西安市农业信息入村运维项目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SXWXZBDL2025-ZC-CS1013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2025年度西安市农业信息入村运维项目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2025年度西安市农业信息入村运维项目，主要是整合各类信息和服务资源，对站点运行情况进行监管，确保益农信息社持续有效运行。并对全市益农社信息员进行农业农村信息化等业务知识和技能培训。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采购包1（2025年度西安市农业信息入村运维项目）：属于专门面向中小企业采购。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 ：响应供应商需提供有效合格的具有统一社会信用代码的营业执照，其他组织经营的须提供合法凭证，自然人提供身份证明文件。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 ：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pPr>
        <w:pStyle w:val="null3"/>
      </w:pPr>
      <w:r>
        <w:rPr>
          <w:rFonts w:ascii="仿宋_GB2312" w:hAnsi="仿宋_GB2312" w:cs="仿宋_GB2312" w:eastAsia="仿宋_GB2312"/>
        </w:rPr>
        <w:t>4、社会保障资金缴纳证明 ：提供供应商2025年1月1日以来任意三个月已缴纳的社会保障资金缴存单据或社保机构开具的社会保险参保缴费情况证明；依法不需要缴纳社会保障资金的供应商应提供加盖公章的相关证明文件。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 ：提供供应商2025年1月1日以来任意三个月已缴纳的纳税证明或完税证明（至少包含增值税或企业所得税），依法免税的供应商应提供加盖公章的相关证明文件。</w:t>
      </w:r>
    </w:p>
    <w:p>
      <w:pPr>
        <w:pStyle w:val="null3"/>
      </w:pPr>
      <w:r>
        <w:rPr>
          <w:rFonts w:ascii="仿宋_GB2312" w:hAnsi="仿宋_GB2312" w:cs="仿宋_GB2312" w:eastAsia="仿宋_GB2312"/>
        </w:rPr>
        <w:t>6、履行合同能力的证明材料 ：具备履行合同所必需的设备和专业技术能力的证明材料(由供应商根据项目需求提供说明材料或者承诺)。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 ：单位负责人为同一人或者存在直接控股、管理关系的不同供应商，不得参加本次采购活动。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西安市农业信息网络中心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辛瑞姣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029-86789047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陕西省西安市莲湖区北关正街35号方兴大厦1幢1单元10402-4-018室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13080906068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乙方在签订合同后5日内一次性向甲方提交履约保证金（合同总价款的5%）。项目经验收合格后，且乙方无任何违约行为，甲方应在30日内向乙方无息退还履约保证金。若乙方存在违约行为，甲方有权从履约保证金中扣除，剩余部分在验收合格后30日内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 企业名称：陕西万兴招标代理有限公司 开户银行：北京银行股份有限公司西安大明宫支行 账 号：2000 0034 4675 0001 6437 653 转账事由：（项目名称）代理服务费 咨询电话：13080906068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西安市农业信息网络中心</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西安市农业信息网络中心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西安市农业信息网络中心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陕西万兴招标代理有限公司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联系电话：13080906068</w:t>
      </w:r>
    </w:p>
    <w:p>
      <w:pPr>
        <w:pStyle w:val="null3"/>
      </w:pPr>
      <w:r>
        <w:rPr>
          <w:rFonts w:ascii="仿宋_GB2312" w:hAnsi="仿宋_GB2312" w:cs="仿宋_GB2312" w:eastAsia="仿宋_GB2312"/>
        </w:rPr>
        <w:t>地址：西安市莲湖区北关正街35号方兴大厦4-018室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主要是整合各类信息和服务资源，对站点运行情况进行监管，确保益农信息社持续有效运行。并对全市益农社信息员进行农业农村信息化等业务知识和技能培训。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A82E5"/>
                <w:shd w:fill="FFFFFF" w:val="clear"/>
              </w:rPr>
              <w:t>一、项目概况</w:t>
            </w:r>
          </w:p>
          <w:p>
            <w:pPr>
              <w:pStyle w:val="null3"/>
              <w:ind w:firstLine="480"/>
              <w:jc w:val="both"/>
            </w:pPr>
            <w:r>
              <w:rPr>
                <w:rFonts w:ascii="仿宋_GB2312" w:hAnsi="仿宋_GB2312" w:cs="仿宋_GB2312" w:eastAsia="仿宋_GB2312"/>
                <w:sz w:val="24"/>
                <w:color w:val="0A82E5"/>
                <w:shd w:fill="FFFFFF" w:val="clear"/>
              </w:rPr>
              <w:t>2025年度西安市农业信息入村运维项目，主要是整合各类信息和服务资源，对站点运行情况进行监管，确保益农信息社持续有效运行。并对全市益农社信息员进行农业农村信息化等业务知识和技能培训。</w:t>
            </w:r>
          </w:p>
          <w:p>
            <w:pPr>
              <w:pStyle w:val="null3"/>
              <w:jc w:val="both"/>
            </w:pPr>
            <w:r>
              <w:rPr>
                <w:rFonts w:ascii="仿宋_GB2312" w:hAnsi="仿宋_GB2312" w:cs="仿宋_GB2312" w:eastAsia="仿宋_GB2312"/>
                <w:sz w:val="24"/>
                <w:color w:val="0A82E5"/>
                <w:shd w:fill="FFFFFF" w:val="clear"/>
              </w:rPr>
              <w:t>二、服务内容</w:t>
            </w:r>
          </w:p>
          <w:p>
            <w:pPr>
              <w:pStyle w:val="null3"/>
              <w:ind w:firstLine="480"/>
              <w:jc w:val="both"/>
            </w:pPr>
            <w:r>
              <w:rPr>
                <w:rFonts w:ascii="仿宋_GB2312" w:hAnsi="仿宋_GB2312" w:cs="仿宋_GB2312" w:eastAsia="仿宋_GB2312"/>
                <w:sz w:val="24"/>
                <w:color w:val="0A82E5"/>
                <w:shd w:fill="FFFFFF" w:val="clear"/>
              </w:rPr>
              <w:t>服务内容大致包括：</w:t>
            </w:r>
            <w:r>
              <w:rPr>
                <w:rFonts w:ascii="仿宋_GB2312" w:hAnsi="仿宋_GB2312" w:cs="仿宋_GB2312" w:eastAsia="仿宋_GB2312"/>
                <w:sz w:val="24"/>
                <w:color w:val="0A82E5"/>
                <w:shd w:fill="FFFFFF" w:val="clear"/>
              </w:rPr>
              <w:t>1、信息员培训；2、日常管理；3、公益服务；4、便民服务；5、电子商务服务；6、培训体验服务。</w:t>
            </w:r>
          </w:p>
          <w:tbl>
            <w:tblPr>
              <w:tblBorders>
                <w:top w:val="none" w:color="000000" w:sz="4"/>
                <w:left w:val="none" w:color="000000" w:sz="4"/>
                <w:bottom w:val="none" w:color="000000" w:sz="4"/>
                <w:right w:val="none" w:color="000000" w:sz="4"/>
                <w:insideH w:val="none"/>
                <w:insideV w:val="none"/>
              </w:tblBorders>
            </w:tblPr>
            <w:tblGrid>
              <w:gridCol w:w="172"/>
              <w:gridCol w:w="385"/>
              <w:gridCol w:w="1625"/>
              <w:gridCol w:w="172"/>
              <w:gridCol w:w="200"/>
            </w:tblGrid>
            <w:tr>
              <w:tc>
                <w:tcPr>
                  <w:tcW w:type="dxa" w:w="17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序号</w:t>
                  </w:r>
                </w:p>
              </w:tc>
              <w:tc>
                <w:tcPr>
                  <w:tcW w:type="dxa" w:w="38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建设内容</w:t>
                  </w:r>
                </w:p>
              </w:tc>
              <w:tc>
                <w:tcPr>
                  <w:tcW w:type="dxa" w:w="162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内容说明及指标要求</w:t>
                  </w:r>
                </w:p>
              </w:tc>
              <w:tc>
                <w:tcPr>
                  <w:tcW w:type="dxa" w:w="17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单位</w:t>
                  </w:r>
                </w:p>
              </w:tc>
              <w:tc>
                <w:tcPr>
                  <w:tcW w:type="dxa" w:w="20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数量</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1</w:t>
                  </w:r>
                </w:p>
              </w:tc>
              <w:tc>
                <w:tcPr>
                  <w:tcW w:type="dxa" w:w="3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信息员培训</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after="120"/>
                    <w:ind w:firstLine="480"/>
                    <w:jc w:val="both"/>
                  </w:pPr>
                  <w:r>
                    <w:rPr>
                      <w:rFonts w:ascii="仿宋_GB2312" w:hAnsi="仿宋_GB2312" w:cs="仿宋_GB2312" w:eastAsia="仿宋_GB2312"/>
                      <w:sz w:val="24"/>
                      <w:color w:val="0A82E5"/>
                      <w:shd w:fill="FFFFFF" w:val="clear"/>
                    </w:rPr>
                    <w:t>每年对全市益农社信息员进行农业农村信息化、农业技术、农村电商等方面的培训包括：</w:t>
                  </w:r>
                </w:p>
                <w:p>
                  <w:pPr>
                    <w:pStyle w:val="null3"/>
                    <w:spacing w:after="120"/>
                    <w:ind w:firstLine="480"/>
                    <w:jc w:val="both"/>
                  </w:pPr>
                  <w:r>
                    <w:rPr>
                      <w:rFonts w:ascii="仿宋_GB2312" w:hAnsi="仿宋_GB2312" w:cs="仿宋_GB2312" w:eastAsia="仿宋_GB2312"/>
                      <w:sz w:val="24"/>
                      <w:color w:val="0A82E5"/>
                      <w:shd w:fill="FFFFFF" w:val="clear"/>
                    </w:rPr>
                    <w:t>1.专家远程培训不少于4次；</w:t>
                  </w:r>
                </w:p>
                <w:p>
                  <w:pPr>
                    <w:pStyle w:val="null3"/>
                    <w:spacing w:after="120"/>
                    <w:ind w:firstLine="480"/>
                    <w:jc w:val="both"/>
                  </w:pPr>
                  <w:r>
                    <w:rPr>
                      <w:rFonts w:ascii="仿宋_GB2312" w:hAnsi="仿宋_GB2312" w:cs="仿宋_GB2312" w:eastAsia="仿宋_GB2312"/>
                      <w:sz w:val="24"/>
                      <w:color w:val="0A82E5"/>
                      <w:shd w:fill="FFFFFF" w:val="clear"/>
                    </w:rPr>
                    <w:t>2.以区县为单位开展线下培训不少于1000人次。</w:t>
                  </w:r>
                </w:p>
              </w:tc>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年</w:t>
                  </w:r>
                </w:p>
              </w:tc>
              <w:tc>
                <w:tcPr>
                  <w:tcW w:type="dxa" w:w="2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1</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2</w:t>
                  </w:r>
                </w:p>
              </w:tc>
              <w:tc>
                <w:tcPr>
                  <w:tcW w:type="dxa" w:w="3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日常管理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color w:val="0A82E5"/>
                      <w:shd w:fill="FFFFFF" w:val="clear"/>
                    </w:rPr>
                    <w:t>1.业务指导：定期走访、指导和抽查站点工作，不少于100个站点。</w:t>
                  </w:r>
                </w:p>
                <w:p>
                  <w:pPr>
                    <w:pStyle w:val="null3"/>
                    <w:ind w:firstLine="480"/>
                    <w:jc w:val="both"/>
                  </w:pPr>
                  <w:r>
                    <w:rPr>
                      <w:rFonts w:ascii="仿宋_GB2312" w:hAnsi="仿宋_GB2312" w:cs="仿宋_GB2312" w:eastAsia="仿宋_GB2312"/>
                      <w:sz w:val="24"/>
                      <w:color w:val="0A82E5"/>
                      <w:shd w:fill="FFFFFF" w:val="clear"/>
                    </w:rPr>
                    <w:t>2.统计考核：定期统计信息员工作业绩，并形成报表，负责信息员日常工作考核，并反馈至市、区县相关部门。</w:t>
                  </w:r>
                </w:p>
              </w:tc>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年</w:t>
                  </w:r>
                </w:p>
              </w:tc>
              <w:tc>
                <w:tcPr>
                  <w:tcW w:type="dxa" w:w="2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1</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3</w:t>
                  </w:r>
                </w:p>
              </w:tc>
              <w:tc>
                <w:tcPr>
                  <w:tcW w:type="dxa" w:w="3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公益服务</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color w:val="0A82E5"/>
                      <w:shd w:fill="FFFFFF" w:val="clear"/>
                    </w:rPr>
                    <w:t>负责各类宣传物料制作和发放，协助开展农技推广、动植物疫病防治、农产品质量安全监管、土地流转、农业综合执法等业务的宣传。</w:t>
                  </w:r>
                </w:p>
              </w:tc>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年</w:t>
                  </w:r>
                </w:p>
              </w:tc>
              <w:tc>
                <w:tcPr>
                  <w:tcW w:type="dxa" w:w="2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1</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4</w:t>
                  </w:r>
                </w:p>
              </w:tc>
              <w:tc>
                <w:tcPr>
                  <w:tcW w:type="dxa" w:w="3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便民服务</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color w:val="0A82E5"/>
                      <w:shd w:fill="FFFFFF" w:val="clear"/>
                    </w:rPr>
                    <w:t>对接樱桃、葡萄、猕猴桃三大产业技术专家，在不少于</w:t>
                  </w:r>
                  <w:r>
                    <w:rPr>
                      <w:rFonts w:ascii="仿宋_GB2312" w:hAnsi="仿宋_GB2312" w:cs="仿宋_GB2312" w:eastAsia="仿宋_GB2312"/>
                      <w:sz w:val="24"/>
                      <w:color w:val="0A82E5"/>
                      <w:shd w:fill="FFFFFF" w:val="clear"/>
                    </w:rPr>
                    <w:t>200个益农信息社点位公布专家库信息，由信息员申请，免费为农户提供技术服务。</w:t>
                  </w:r>
                </w:p>
              </w:tc>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年</w:t>
                  </w:r>
                </w:p>
              </w:tc>
              <w:tc>
                <w:tcPr>
                  <w:tcW w:type="dxa" w:w="2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1</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5</w:t>
                  </w:r>
                </w:p>
              </w:tc>
              <w:tc>
                <w:tcPr>
                  <w:tcW w:type="dxa" w:w="3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电子商务服务</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color w:val="0A82E5"/>
                      <w:shd w:fill="FFFFFF" w:val="clear"/>
                    </w:rPr>
                    <w:t>1.工业品下行：重点签约农资装备等品牌商，开展不少于10场团购和展销活动。</w:t>
                  </w:r>
                </w:p>
                <w:p>
                  <w:pPr>
                    <w:pStyle w:val="null3"/>
                    <w:spacing w:after="120"/>
                    <w:ind w:firstLine="480"/>
                    <w:jc w:val="both"/>
                  </w:pPr>
                  <w:r>
                    <w:rPr>
                      <w:rFonts w:ascii="仿宋_GB2312" w:hAnsi="仿宋_GB2312" w:cs="仿宋_GB2312" w:eastAsia="仿宋_GB2312"/>
                      <w:sz w:val="24"/>
                      <w:color w:val="0A82E5"/>
                      <w:shd w:fill="FFFFFF" w:val="clear"/>
                    </w:rPr>
                    <w:t>2.农产品上行：①依托灞桥区、鄠邑区2个已建的益农社电商服务中心，针对益农社信息员及相关人员开展线下电商培训，不少于10场次，并从中筛选、重点孵化不少于10名“本土主播”，项目结束后，每个被孵化主播需达到以下3项指标：⑴个人社交媒体账号（抖音/快手/视频号等）总粉丝量增长不低于1000人⑵完成至少20场直播（单场直播时长不少于30分钟）⑶在项目期内，通过所有线上销售渠道产生的总销售额不低于人民币10000元；②在西安市特色农产品上市期，有针对性地对特色农产品进行不少于5次的直播宣传；③助力农产品出村进城，促进特色农产品的销售，全年助力农产品销售额不少于600万元。</w:t>
                  </w:r>
                </w:p>
              </w:tc>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年</w:t>
                  </w:r>
                </w:p>
              </w:tc>
              <w:tc>
                <w:tcPr>
                  <w:tcW w:type="dxa" w:w="2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1</w:t>
                  </w:r>
                </w:p>
              </w:tc>
            </w:tr>
            <w:tr>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6</w:t>
                  </w:r>
                </w:p>
              </w:tc>
              <w:tc>
                <w:tcPr>
                  <w:tcW w:type="dxa" w:w="38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培训体验服务</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4"/>
                      <w:color w:val="0A82E5"/>
                      <w:shd w:fill="FFFFFF" w:val="clear"/>
                    </w:rPr>
                    <w:t>1.农技培训：联合高校、科研院所、职业专长突出的高素质农民等开展培训体验活动，指导生产和推广病害防控技术，每年不少于6次。</w:t>
                  </w:r>
                </w:p>
                <w:p>
                  <w:pPr>
                    <w:pStyle w:val="null3"/>
                    <w:ind w:firstLine="480"/>
                    <w:jc w:val="both"/>
                  </w:pPr>
                  <w:r>
                    <w:rPr>
                      <w:rFonts w:ascii="仿宋_GB2312" w:hAnsi="仿宋_GB2312" w:cs="仿宋_GB2312" w:eastAsia="仿宋_GB2312"/>
                      <w:sz w:val="24"/>
                      <w:color w:val="0A82E5"/>
                      <w:shd w:fill="FFFFFF" w:val="clear"/>
                    </w:rPr>
                    <w:t>2.示范体验：联合园区或合作社，组织不少于3个区县信息员及农户开展新技术、新品种、新产品培训和农业物联网等信息技术应用现场观摩不少于3次。</w:t>
                  </w:r>
                </w:p>
              </w:tc>
              <w:tc>
                <w:tcPr>
                  <w:tcW w:type="dxa" w:w="1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年</w:t>
                  </w:r>
                </w:p>
              </w:tc>
              <w:tc>
                <w:tcPr>
                  <w:tcW w:type="dxa" w:w="2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A82E5"/>
                      <w:shd w:fill="FFFFFF" w:val="clear"/>
                    </w:rPr>
                    <w:t>1</w:t>
                  </w: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A82E5"/>
                <w:shd w:fill="FFFFFF" w:val="clear"/>
              </w:rPr>
              <w:t>三、商务要求</w:t>
            </w:r>
          </w:p>
          <w:p>
            <w:pPr>
              <w:pStyle w:val="null3"/>
              <w:ind w:firstLine="480"/>
              <w:jc w:val="both"/>
            </w:pPr>
            <w:r>
              <w:rPr>
                <w:rFonts w:ascii="仿宋_GB2312" w:hAnsi="仿宋_GB2312" w:cs="仿宋_GB2312" w:eastAsia="仿宋_GB2312"/>
                <w:sz w:val="24"/>
                <w:color w:val="0A82E5"/>
                <w:shd w:fill="FFFFFF" w:val="clear"/>
              </w:rPr>
              <w:t>1、服务期限</w:t>
            </w:r>
          </w:p>
          <w:p>
            <w:pPr>
              <w:pStyle w:val="null3"/>
              <w:ind w:firstLine="480"/>
              <w:jc w:val="both"/>
            </w:pPr>
            <w:r>
              <w:rPr>
                <w:rFonts w:ascii="仿宋_GB2312" w:hAnsi="仿宋_GB2312" w:cs="仿宋_GB2312" w:eastAsia="仿宋_GB2312"/>
                <w:sz w:val="24"/>
                <w:color w:val="0A82E5"/>
                <w:shd w:fill="FFFFFF" w:val="clear"/>
              </w:rPr>
              <w:t>服务期限为一年（自</w:t>
            </w:r>
            <w:r>
              <w:rPr>
                <w:rFonts w:ascii="仿宋_GB2312" w:hAnsi="仿宋_GB2312" w:cs="仿宋_GB2312" w:eastAsia="仿宋_GB2312"/>
                <w:sz w:val="24"/>
                <w:color w:val="0A82E5"/>
                <w:shd w:fill="FFFFFF" w:val="clear"/>
              </w:rPr>
              <w:t>2025年12月22日起至2026年12月21日）。</w:t>
            </w:r>
          </w:p>
          <w:p>
            <w:pPr>
              <w:pStyle w:val="null3"/>
              <w:ind w:firstLine="480"/>
              <w:jc w:val="both"/>
            </w:pPr>
            <w:r>
              <w:rPr>
                <w:rFonts w:ascii="仿宋_GB2312" w:hAnsi="仿宋_GB2312" w:cs="仿宋_GB2312" w:eastAsia="仿宋_GB2312"/>
                <w:sz w:val="24"/>
                <w:color w:val="0A82E5"/>
                <w:shd w:fill="FFFFFF" w:val="clear"/>
              </w:rPr>
              <w:t>2、款项结算</w:t>
            </w:r>
          </w:p>
          <w:p>
            <w:pPr>
              <w:pStyle w:val="null3"/>
              <w:ind w:firstLine="480"/>
              <w:jc w:val="both"/>
            </w:pPr>
            <w:r>
              <w:rPr>
                <w:rFonts w:ascii="仿宋_GB2312" w:hAnsi="仿宋_GB2312" w:cs="仿宋_GB2312" w:eastAsia="仿宋_GB2312"/>
                <w:sz w:val="24"/>
                <w:color w:val="0A82E5"/>
                <w:shd w:fill="FFFFFF" w:val="clear"/>
              </w:rPr>
              <w:t>双方签订《</w:t>
            </w:r>
            <w:r>
              <w:rPr>
                <w:rFonts w:ascii="仿宋_GB2312" w:hAnsi="仿宋_GB2312" w:cs="仿宋_GB2312" w:eastAsia="仿宋_GB2312"/>
                <w:sz w:val="24"/>
                <w:color w:val="0A82E5"/>
                <w:shd w:fill="FFFFFF" w:val="clear"/>
              </w:rPr>
              <w:t>2025年度西安市农业信息入村运维项目合同》后30日内，甲方向乙方一次性支付该合同全款。乙方在《2025年度西安市农业信息入村运维项目合同》签订之日起5日内一次性向甲方通过银行转账提交履约保证金（该合同总价款5%）。项目经验收合格后，且乙方无任何违约行为，甲方向乙方无息偿还履约保证金。</w:t>
            </w:r>
          </w:p>
          <w:p>
            <w:pPr>
              <w:pStyle w:val="null3"/>
              <w:ind w:firstLine="480"/>
              <w:jc w:val="both"/>
            </w:pPr>
            <w:r>
              <w:rPr>
                <w:rFonts w:ascii="仿宋_GB2312" w:hAnsi="仿宋_GB2312" w:cs="仿宋_GB2312" w:eastAsia="仿宋_GB2312"/>
                <w:sz w:val="24"/>
                <w:color w:val="0A82E5"/>
                <w:shd w:fill="FFFFFF" w:val="clear"/>
              </w:rPr>
              <w:t>3、违约责任</w:t>
            </w:r>
          </w:p>
          <w:p>
            <w:pPr>
              <w:pStyle w:val="null3"/>
              <w:ind w:firstLine="480"/>
              <w:jc w:val="both"/>
            </w:pPr>
            <w:r>
              <w:rPr>
                <w:rFonts w:ascii="仿宋_GB2312" w:hAnsi="仿宋_GB2312" w:cs="仿宋_GB2312" w:eastAsia="仿宋_GB2312"/>
                <w:sz w:val="24"/>
                <w:color w:val="0A82E5"/>
                <w:shd w:fill="FFFFFF" w:val="clear"/>
              </w:rPr>
              <w:t>3-1.违约责任按《中华人民共和国民法典》处理中的相关条款执行。</w:t>
            </w:r>
          </w:p>
          <w:p>
            <w:pPr>
              <w:pStyle w:val="null3"/>
              <w:ind w:firstLine="480"/>
              <w:jc w:val="both"/>
            </w:pPr>
            <w:r>
              <w:rPr>
                <w:rFonts w:ascii="仿宋_GB2312" w:hAnsi="仿宋_GB2312" w:cs="仿宋_GB2312" w:eastAsia="仿宋_GB2312"/>
                <w:sz w:val="24"/>
                <w:color w:val="0A82E5"/>
                <w:shd w:fill="FFFFFF" w:val="clear"/>
              </w:rPr>
              <w:t>3-2.乙方应按合同约定时间完成各阶段合同义务，若发生延迟，甲方有权向乙方索取10%的违约金，且甲方有权单方解除本合同。但甲方书面同意延迟或因甲方原因导致延迟的，乙方不承担违约责任。</w:t>
            </w:r>
          </w:p>
          <w:p>
            <w:pPr>
              <w:pStyle w:val="null3"/>
              <w:ind w:firstLine="480"/>
              <w:jc w:val="both"/>
            </w:pPr>
            <w:r>
              <w:rPr>
                <w:rFonts w:ascii="仿宋_GB2312" w:hAnsi="仿宋_GB2312" w:cs="仿宋_GB2312" w:eastAsia="仿宋_GB2312"/>
                <w:sz w:val="24"/>
                <w:color w:val="0A82E5"/>
                <w:shd w:fill="FFFFFF" w:val="clear"/>
              </w:rPr>
              <w:t>3-3.如甲方未能在本合同约定时间内支付款项，且未经乙方同意顺延工期，每延迟一天，甲方须向乙方承担迟延支付费用的0.5‰作为违约金，并将服务周期予以相应顺延。</w:t>
            </w:r>
          </w:p>
          <w:p>
            <w:pPr>
              <w:pStyle w:val="null3"/>
              <w:ind w:firstLine="480"/>
              <w:jc w:val="both"/>
            </w:pPr>
            <w:r>
              <w:rPr>
                <w:rFonts w:ascii="仿宋_GB2312" w:hAnsi="仿宋_GB2312" w:cs="仿宋_GB2312" w:eastAsia="仿宋_GB2312"/>
                <w:sz w:val="24"/>
                <w:color w:val="0A82E5"/>
                <w:shd w:fill="FFFFFF" w:val="clear"/>
              </w:rPr>
              <w:t>3-4.本次活动因乙方原因导致侵害甲方或第三方合法权益的，应由乙方承担相应赔偿责任（包括并不限于甲方的直接经济损失、预期可得利益损失、向第三方承担费用的损失以及为实现债权而支出的律师费、保全费、诉讼费、公证费、鉴定费、调查费等一切合理费用），并向甲方支付合同总价款10%的违约金。</w:t>
            </w:r>
          </w:p>
          <w:p>
            <w:pPr>
              <w:pStyle w:val="null3"/>
              <w:ind w:firstLine="480"/>
              <w:jc w:val="both"/>
            </w:pPr>
            <w:r>
              <w:rPr>
                <w:rFonts w:ascii="仿宋_GB2312" w:hAnsi="仿宋_GB2312" w:cs="仿宋_GB2312" w:eastAsia="仿宋_GB2312"/>
                <w:sz w:val="24"/>
                <w:color w:val="0A82E5"/>
                <w:shd w:fill="FFFFFF" w:val="clear"/>
              </w:rPr>
              <w:t>3-5.若乙方未经甲方同意泄露本合同约定的任何秘密信息的，乙方应按照合同总价款的10%向甲方支付违约金，并赔偿因此给甲方造成的损失。</w:t>
            </w:r>
          </w:p>
          <w:p>
            <w:pPr>
              <w:pStyle w:val="null3"/>
              <w:ind w:firstLine="480"/>
              <w:jc w:val="both"/>
            </w:pPr>
            <w:r>
              <w:rPr>
                <w:rFonts w:ascii="仿宋_GB2312" w:hAnsi="仿宋_GB2312" w:cs="仿宋_GB2312" w:eastAsia="仿宋_GB2312"/>
                <w:sz w:val="24"/>
                <w:color w:val="0A82E5"/>
                <w:shd w:fill="FFFFFF" w:val="clear"/>
              </w:rPr>
              <w:t>3-6.乙方保证向甲方开具发票的真实性、合法性，若乙方向甲方开具的发票存在真实性、合法性问题，给甲方造成损失的（包括但不限于甲方的直接经济损失、预期可得利益损失、向第三方承担费用的损失以及为实现债权而支出的律师费、保全费、诉讼费、公证费、鉴定费、调查费等一切合理费用），乙方应按合同总价款的10%向甲方支付违约金，违约金不足以弥补损失的，乙方还应承担相应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2025年12月22日至2026年12月21日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2、请成交供应商在领取成交通知书时，向招标代理机构递交纸质版响应文件（纸质文件与线上评审电子文件保持一致）正本壹份、副本贰份，电子版响应文件（U盘）贰份。 3、根据《西安市财政局关于促进政府采购公平竞争优化营商环境的通知》市财函[2021]431号文第16条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ddjie688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提供供应商2025年1月1日以来任意三个月已缴纳的社会保障资金缴存单据或社保机构开具的社会保险参保缴费情况证明；依法不需要缴纳社会保障资金的供应商应提供加盖公章的相关证明文件。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提供供应商2025年1月1日以来任意三个月已缴纳的纳税证明或完税证明（至少包含增值税或企业所得税），依法免税的供应商应提供加盖公章的相关证明文件。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技术偏离表.docx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 （8分）</w:t>
            </w:r>
          </w:p>
        </w:tc>
        <w:tc>
          <w:tcPr>
            <w:tcW w:type="dxa" w:w="2492"/>
          </w:tcPr>
          <w:p>
            <w:pPr>
              <w:pStyle w:val="null3"/>
            </w:pPr>
            <w:r>
              <w:rPr>
                <w:rFonts w:ascii="仿宋_GB2312" w:hAnsi="仿宋_GB2312" w:cs="仿宋_GB2312" w:eastAsia="仿宋_GB2312"/>
              </w:rPr>
              <w:t>根据供应商对本项目理解、分析的完整性、可实施性、针对性进行评审。 项目理解、分析同时满足完整性、可实施性、针对性三项评审标准的，得8分； 项目理解、分析的完整性、可实施性、针对性其中有一项评审标准有瑕疵，得6分； 项目理解、分析的完整性、可实施性、针对性其中有两项评审标准有瑕疵，得4分； 项目理解、分析的完整性、可实施性、针对性其中有三项评审标准有瑕疵，得2分； 其他或未提供得不得分（瑕疵是指存在不完全满足评分标准，但项目仍可实施）。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 （12分）</w:t>
            </w:r>
          </w:p>
        </w:tc>
        <w:tc>
          <w:tcPr>
            <w:tcW w:type="dxa" w:w="2492"/>
          </w:tcPr>
          <w:p>
            <w:pPr>
              <w:pStyle w:val="null3"/>
            </w:pPr>
            <w:r>
              <w:rPr>
                <w:rFonts w:ascii="仿宋_GB2312" w:hAnsi="仿宋_GB2312" w:cs="仿宋_GB2312" w:eastAsia="仿宋_GB2312"/>
              </w:rPr>
              <w:t>一、评审内容 供应商针对本项目实际需求，包含：①农业农村信息化培训②农业技术培训③农业电商培训④培训体验服务。 二、评审标准 1、完整性：方案须全面，对评审内容中的各项要求有详细描述及说明； 2、可实施性：切合本项目实际情况，实施步骤清晰、合理； 3、针对性：方案能够紧扣项目实际情况，内容科学合理。 三、赋分标准（满分12分） ①农业农村信息化培训：每完全满足一项评审标准得1分，存在瑕疵得0.5分，满分3 分； ②农业技术培训：每完全满足一项评审标准得1分，存在瑕疵得0.5分，满分3 分； ③农业电商培训：每完全满足一项评审标准得1分，存在瑕疵得0.5分，满分3 分； ④培训体验服务：每完全满足一项评审标准得1分，存在瑕疵得0.5分，满分3 分； 瑕疵是指存在不完全满足评分标准，但项目仍可实施。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日常管理方案（9分）</w:t>
            </w:r>
          </w:p>
        </w:tc>
        <w:tc>
          <w:tcPr>
            <w:tcW w:type="dxa" w:w="2492"/>
          </w:tcPr>
          <w:p>
            <w:pPr>
              <w:pStyle w:val="null3"/>
            </w:pPr>
            <w:r>
              <w:rPr>
                <w:rFonts w:ascii="仿宋_GB2312" w:hAnsi="仿宋_GB2312" w:cs="仿宋_GB2312" w:eastAsia="仿宋_GB2312"/>
              </w:rPr>
              <w:t>一、评审内容 供应商针对项目日常管理，包含①业务指导②数据统计③考核制度。 二、评审标准 1、完整性：方案须全面，对评审内容中的各项要求有详细描述及说明； 2、可实施性：切合本项目实际情况，实施步骤清晰、合理； 3、针对性：方案能够紧扣项目实际情况，内容科学合理。 三、赋分标准（满分9分） ①业务指导：每完全满足一项评审标准得1分，存在瑕疵得0.5分，满分3 分； ②数据统计：每完全满足一项评审标准得1分，存在瑕疵得0.5分，满分3 分； ③考核制度：每完全满足一项评审标准得1分，存在瑕疵得0.5分，满分3 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服务方案（9分）</w:t>
            </w:r>
          </w:p>
        </w:tc>
        <w:tc>
          <w:tcPr>
            <w:tcW w:type="dxa" w:w="2492"/>
          </w:tcPr>
          <w:p>
            <w:pPr>
              <w:pStyle w:val="null3"/>
            </w:pPr>
            <w:r>
              <w:rPr>
                <w:rFonts w:ascii="仿宋_GB2312" w:hAnsi="仿宋_GB2312" w:cs="仿宋_GB2312" w:eastAsia="仿宋_GB2312"/>
              </w:rPr>
              <w:t>一、评审内容 供应商针对项目服务方案，包含①公益服务②便民服务③电子商务服务。 二、评审标准 1、完整性：方案须全面，对评审内容中的各项要求有详细描述及说明； 2、可实施性：切合本项目实际情况，实施步骤清晰、合理； 3、针对性：方案能够紧扣项目实际情况，内容科学合理。 三、赋分标准（满分9分） ①公益服务：每完全满足一项评审标准得1分，存在瑕疵得0.5分，满分3分； ②便民服务：每完全满足一项评审标准得1分，存在瑕疵得0.5分，满分3分； ③电子商务服务：每完全满足一项评审标准得1分，存在瑕疵得0.5分，满分3分；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人员配备方案 （8分）</w:t>
            </w:r>
          </w:p>
        </w:tc>
        <w:tc>
          <w:tcPr>
            <w:tcW w:type="dxa" w:w="2492"/>
          </w:tcPr>
          <w:p>
            <w:pPr>
              <w:pStyle w:val="null3"/>
            </w:pPr>
            <w:r>
              <w:rPr>
                <w:rFonts w:ascii="仿宋_GB2312" w:hAnsi="仿宋_GB2312" w:cs="仿宋_GB2312" w:eastAsia="仿宋_GB2312"/>
              </w:rPr>
              <w:t>根据人员配备方案的完整性、可实施性、针对性进行评审。 人员配备方案同时满足完整性、可实施性、针对性三项评审标准的，得8分； 人员配备方案的完整性、可实施性、针对性其中有一项评审标准有瑕疵，得6分； 人员配备方案的完整性、可实施性、针对性其中有两项评审标准有瑕疵，得4分； 人员配备方案的完整性、可实施性、针对性其中有三项评审标准有瑕疵，得2分； 其他或未提供得不得分（瑕疵是指存在不完全满足评分标准，但项目仍可实施）。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专家库名单（10分）</w:t>
            </w:r>
          </w:p>
        </w:tc>
        <w:tc>
          <w:tcPr>
            <w:tcW w:type="dxa" w:w="2492"/>
          </w:tcPr>
          <w:p>
            <w:pPr>
              <w:pStyle w:val="null3"/>
            </w:pPr>
            <w:r>
              <w:rPr>
                <w:rFonts w:ascii="仿宋_GB2312" w:hAnsi="仿宋_GB2312" w:cs="仿宋_GB2312" w:eastAsia="仿宋_GB2312"/>
              </w:rPr>
              <w:t>针对于农学、园艺、植物保护等相关领域技术专家提供相对应的专家信息名单，专家人员拥有高级职称或博士及以上学历。提供技术专家名单10人以上得满分，5-10人得5分，1-4人，得2分；不提供不得分。（备注：提供专家人员的学历证、职称证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重难点分析及解决方案（4分）</w:t>
            </w:r>
          </w:p>
        </w:tc>
        <w:tc>
          <w:tcPr>
            <w:tcW w:type="dxa" w:w="2492"/>
          </w:tcPr>
          <w:p>
            <w:pPr>
              <w:pStyle w:val="null3"/>
            </w:pPr>
            <w:r>
              <w:rPr>
                <w:rFonts w:ascii="仿宋_GB2312" w:hAnsi="仿宋_GB2312" w:cs="仿宋_GB2312" w:eastAsia="仿宋_GB2312"/>
              </w:rPr>
              <w:t>根据重难点分析及解决方案的完整性、可实施性、针对性进行评审。 重难点分析及解决方案同时满足完整性、可实施性、针对性三项评审标准的，得4分； 重难点分析及解决方案的完整性、可实施性、针对性其中有一项评审标准有瑕疵，得3分； 重难点分析及解决方案的完整性、可实施性、针对性其中有两项评审标准有瑕疵，得2分； 重难点分析及解决方案的完整性、可实施性、针对性其中有三项评审标准有瑕疵，得1分； 其他或未提供得不得分（瑕疵是指存在不完全满足评分标准，但项目仍可实施）。</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质量保障方案 （8分）</w:t>
            </w:r>
          </w:p>
        </w:tc>
        <w:tc>
          <w:tcPr>
            <w:tcW w:type="dxa" w:w="2492"/>
          </w:tcPr>
          <w:p>
            <w:pPr>
              <w:pStyle w:val="null3"/>
            </w:pPr>
            <w:r>
              <w:rPr>
                <w:rFonts w:ascii="仿宋_GB2312" w:hAnsi="仿宋_GB2312" w:cs="仿宋_GB2312" w:eastAsia="仿宋_GB2312"/>
              </w:rPr>
              <w:t>根据质量保障方案的完整性、可实施性、针对性进行评审。 质量保障方案同时满足完整性、可实施性、针对性三项评审标准的，得8分； 质量保障方案的完整性、可实施性、针对性其中有一项评审标准有瑕疵，得6分； 质量保障方案的完整性、可实施性、针对性其中有两项评审标准有瑕疵，得4分； 质量保障方案的完整性、可实施性、针对性其中有三项评审标准有瑕疵，得2分； 其他或未提供得不得分（瑕疵是指存在不完全满足评分标准，但项目仍可实施）。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企业实力（12分）</w:t>
            </w:r>
          </w:p>
        </w:tc>
        <w:tc>
          <w:tcPr>
            <w:tcW w:type="dxa" w:w="2492"/>
          </w:tcPr>
          <w:p>
            <w:pPr>
              <w:pStyle w:val="null3"/>
            </w:pPr>
            <w:r>
              <w:rPr>
                <w:rFonts w:ascii="仿宋_GB2312" w:hAnsi="仿宋_GB2312" w:cs="仿宋_GB2312" w:eastAsia="仿宋_GB2312"/>
              </w:rPr>
              <w:t>包括①供应商具有整合农资等适合工业品下行的相关产品与服务的能力；②对接西安市农产品销售渠道的能力；③对接合作社或园区，安排培训体验的能力。 针对每一项能力，每提供一份证明材料得2分，每项能力最高得4分。一份证明材料包含多项内容时按一项计入，未提供不得分。（以合作协议或框架协议为准。）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 （10分）</w:t>
            </w:r>
          </w:p>
        </w:tc>
        <w:tc>
          <w:tcPr>
            <w:tcW w:type="dxa" w:w="2492"/>
          </w:tcPr>
          <w:p>
            <w:pPr>
              <w:pStyle w:val="null3"/>
            </w:pPr>
            <w:r>
              <w:rPr>
                <w:rFonts w:ascii="仿宋_GB2312" w:hAnsi="仿宋_GB2312" w:cs="仿宋_GB2312" w:eastAsia="仿宋_GB2312"/>
              </w:rPr>
              <w:t>具有2022年1月1日以后类似项目业绩，每提供一个业绩得2分，满分10分。 注：以合同或中标通知书复印件加盖公章为依据。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