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版本号：XAJG（ZFCG）-2025091120250923001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2025-2026信息数据中心软硬件维保项目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XAJG（ZFCG）-20250911</w:t>
      </w:r>
      <w:r>
        <w:br/>
      </w:r>
      <w:r>
        <w:br/>
      </w:r>
      <w:r>
        <w:br/>
      </w:r>
    </w:p>
    <w:p>
      <w:pPr>
        <w:pStyle w:val="null3"/>
        <w:jc w:val="center"/>
        <w:outlineLvl w:val="2"/>
      </w:pPr>
      <w:r>
        <w:rPr>
          <w:rFonts w:ascii="仿宋_GB2312" w:hAnsi="仿宋_GB2312" w:cs="仿宋_GB2312" w:eastAsia="仿宋_GB2312"/>
          <w:sz w:val="28"/>
          <w:b/>
        </w:rPr>
        <w:t>西安市精神卫生中心</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2025-2026信息数据中心软硬件维保项目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XAJG（ZFCG）-20250911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2025-2026信息数据中心软硬件维保项目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精神卫生中心信息化基础环境如网络系统、电话系统和机房系统建成到现在已有多年，同时医院信息化经过多期的项目建设，已经初步形成了以私有云为中心的IT基础架构平台，在IT系统的可用性和安全性方面有了显著的提高。随着临床对业务可用性要求的不断提高，业务系统的不断建设，IT基础架构的复杂度在不断提高，运维压力逐渐显现出来，本次对全院网络设备维保服务进行招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采购包1（西安市精神卫生中心2025-2026信息数据中心软硬件维保项目）：属于专门面向中小企业采购。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2、授权书：法定代表人（主要负责人）委托代理人参加磋商时，应提供法定代表人（主要负责人）委托授权书；法定代表人（主要负责人）亲自参加磋商时，应提供法定代表人（主要负责人）身份证明书</w:t>
      </w:r>
    </w:p>
    <w:p>
      <w:pPr>
        <w:pStyle w:val="null3"/>
      </w:pPr>
      <w:r>
        <w:rPr>
          <w:rFonts w:ascii="仿宋_GB2312" w:hAnsi="仿宋_GB2312" w:cs="仿宋_GB2312" w:eastAsia="仿宋_GB2312"/>
        </w:rPr>
        <w:t>3、税收缴纳证明：提交响应文件截止时间前一年内至少一个月的纳税证明或完税证明（任意税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5、财务状况报告：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pPr>
        <w:pStyle w:val="null3"/>
      </w:pPr>
      <w:r>
        <w:rPr>
          <w:rFonts w:ascii="仿宋_GB2312" w:hAnsi="仿宋_GB2312" w:cs="仿宋_GB2312" w:eastAsia="仿宋_GB2312"/>
        </w:rPr>
        <w:t>6、专业技术能力说明：供应商提供具有履行本合同所必需的设备和专业技术能力的承诺函</w:t>
      </w:r>
    </w:p>
    <w:p>
      <w:pPr>
        <w:pStyle w:val="null3"/>
      </w:pPr>
      <w:r>
        <w:rPr>
          <w:rFonts w:ascii="仿宋_GB2312" w:hAnsi="仿宋_GB2312" w:cs="仿宋_GB2312" w:eastAsia="仿宋_GB2312"/>
        </w:rPr>
        <w:t>7、无重大违法记录：参加本次政府采购活动前3年内在经营活动中没有重大违法记录</w:t>
      </w:r>
    </w:p>
    <w:p>
      <w:pPr>
        <w:pStyle w:val="null3"/>
      </w:pPr>
      <w:r>
        <w:rPr>
          <w:rFonts w:ascii="仿宋_GB2312" w:hAnsi="仿宋_GB2312" w:cs="仿宋_GB2312" w:eastAsia="仿宋_GB2312"/>
        </w:rPr>
        <w:t>8、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磋商（供应商无须提供，磋商现场查询）</w:t>
      </w:r>
    </w:p>
    <w:p>
      <w:pPr>
        <w:pStyle w:val="null3"/>
      </w:pPr>
      <w:r>
        <w:rPr>
          <w:rFonts w:ascii="仿宋_GB2312" w:hAnsi="仿宋_GB2312" w:cs="仿宋_GB2312" w:eastAsia="仿宋_GB2312"/>
        </w:rPr>
        <w:t>9、供应商承诺函：供应商非采购人单位职工及家属投资开办，其法人、股东和经营管理人员非采购人单位职工及家属</w:t>
      </w:r>
    </w:p>
    <w:p>
      <w:pPr>
        <w:pStyle w:val="null3"/>
      </w:pPr>
      <w:r>
        <w:rPr>
          <w:rFonts w:ascii="仿宋_GB2312" w:hAnsi="仿宋_GB2312" w:cs="仿宋_GB2312" w:eastAsia="仿宋_GB2312"/>
        </w:rPr>
        <w:t>10、非联合体承诺书：本项目不接受联合体磋商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029-63609379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西安市碑林区小东门外炮房街48号盈栋大厦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牛超、顾扬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代理服务费收费标准：招标代理服务费以中标（成交）供应商的中标（成交）金额为基数，参照《国家计委关于印发&lt;招标代理服务收费管理暂行办法&gt;的通知》（计价格[2002]1980号）规定标准的基础上下浮30%、不足3900元的按照3900收取，由中标（成交）供应商向受托方支付。 2.由中标单位在领取中标通知书前一次性支付。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西安市精神卫生中心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西安建工建设工程招标有限公司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根据采购文件及采购合同约定执行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联系人：牛超、顾扬</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精神卫生中心信息化基础环境如网络系统、电话系统和机房系统建成到现在已有多年，同时医院信息化经过多期的项目建设，已经初步形成了以私有云为中心的IT基础架构平台，在IT系统的可用性和安全性方面有了显著的提高。随着临床对业务可用性要求的不断提高，业务系统的不断建设，IT基础架构的复杂度在不断提高，运维压力逐渐显现出来，本次对全院网络设备维保服务进行招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2025-2026信息数据中心软硬件维保服务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标的名称：2025-2026信息数据中心软硬件维保服务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left"/>
            </w:pPr>
            <w:r>
              <w:rPr>
                <w:rFonts w:ascii="仿宋_GB2312" w:hAnsi="仿宋_GB2312" w:cs="仿宋_GB2312" w:eastAsia="仿宋_GB2312"/>
                <w:sz w:val="24"/>
                <w:b/>
                <w:color w:val="000000"/>
              </w:rPr>
              <w:t>一、项目概况</w:t>
            </w:r>
          </w:p>
          <w:p>
            <w:pPr>
              <w:pStyle w:val="null3"/>
              <w:ind w:firstLine="480"/>
              <w:jc w:val="left"/>
            </w:pPr>
            <w:r>
              <w:rPr>
                <w:rFonts w:ascii="仿宋_GB2312" w:hAnsi="仿宋_GB2312" w:cs="仿宋_GB2312" w:eastAsia="仿宋_GB2312"/>
                <w:sz w:val="24"/>
                <w:color w:val="000000"/>
              </w:rPr>
              <w:t>西安市精神卫生中心信息化基础环境如网络系统、电话系统和机房系统建成到现在已有多年，同时医院信息化经过多期的项目建设，已经初步形成了以私有云为中心的</w:t>
            </w:r>
            <w:r>
              <w:rPr>
                <w:rFonts w:ascii="仿宋_GB2312" w:hAnsi="仿宋_GB2312" w:cs="仿宋_GB2312" w:eastAsia="仿宋_GB2312"/>
                <w:sz w:val="24"/>
                <w:color w:val="000000"/>
              </w:rPr>
              <w:t>IT基础架构平台，在IT系统的可用性和安全性方面有了显著的提高。随着临床对业务可用性要求的不断提高，业务系统的不断建设，IT基础架构的复杂度在不断提高，运维压力逐渐显现出来，本次对全院网络设备维保服务进行招标。</w:t>
            </w:r>
          </w:p>
          <w:p>
            <w:pPr>
              <w:pStyle w:val="null3"/>
              <w:jc w:val="left"/>
            </w:pPr>
            <w:r>
              <w:rPr>
                <w:rFonts w:ascii="仿宋_GB2312" w:hAnsi="仿宋_GB2312" w:cs="仿宋_GB2312" w:eastAsia="仿宋_GB2312"/>
                <w:sz w:val="24"/>
                <w:b/>
                <w:color w:val="000000"/>
              </w:rPr>
              <w:t>二、服务内容（包括工作区域、工作内容等）</w:t>
            </w:r>
          </w:p>
          <w:p>
            <w:pPr>
              <w:pStyle w:val="null3"/>
              <w:jc w:val="left"/>
            </w:pPr>
            <w:r>
              <w:rPr>
                <w:rFonts w:ascii="仿宋_GB2312" w:hAnsi="仿宋_GB2312" w:cs="仿宋_GB2312" w:eastAsia="仿宋_GB2312"/>
                <w:sz w:val="24"/>
                <w:b/>
                <w:color w:val="000000"/>
              </w:rPr>
              <w:t>（一）维保服务内容包括：</w:t>
            </w:r>
          </w:p>
          <w:p>
            <w:pPr>
              <w:pStyle w:val="null3"/>
              <w:ind w:firstLine="480"/>
              <w:jc w:val="left"/>
            </w:pPr>
            <w:r>
              <w:rPr>
                <w:rFonts w:ascii="仿宋_GB2312" w:hAnsi="仿宋_GB2312" w:cs="仿宋_GB2312" w:eastAsia="仿宋_GB2312"/>
                <w:sz w:val="24"/>
                <w:color w:val="000000"/>
              </w:rPr>
              <w:t>1、网络系统：包括内网、外网与设备网的所有网络设备，需要对院全内网、外网和设备网中的网络设备的维保服务；对全院网络进行优化；包括内网、外网的所有网络安全设备；对全院网络安全调测和优化。网络安全设备提供2台绿盟防火墙入侵防御和防病毒特征库1年升级服务。</w:t>
            </w:r>
          </w:p>
          <w:p>
            <w:pPr>
              <w:pStyle w:val="null3"/>
              <w:ind w:firstLine="480"/>
              <w:jc w:val="left"/>
            </w:pPr>
            <w:r>
              <w:rPr>
                <w:rFonts w:ascii="仿宋_GB2312" w:hAnsi="仿宋_GB2312" w:cs="仿宋_GB2312" w:eastAsia="仿宋_GB2312"/>
                <w:sz w:val="24"/>
                <w:color w:val="000000"/>
              </w:rPr>
              <w:t>2、电话系统：包括程控交换机系统设备与电话跳线维护；对医院电话系统设备的维保服务；</w:t>
            </w:r>
          </w:p>
          <w:p>
            <w:pPr>
              <w:pStyle w:val="null3"/>
              <w:ind w:firstLine="480"/>
              <w:jc w:val="left"/>
            </w:pPr>
            <w:r>
              <w:rPr>
                <w:rFonts w:ascii="仿宋_GB2312" w:hAnsi="仿宋_GB2312" w:cs="仿宋_GB2312" w:eastAsia="仿宋_GB2312"/>
                <w:sz w:val="24"/>
                <w:color w:val="000000"/>
              </w:rPr>
              <w:t>3、机房系统：包括主备机房的精密空调系统、不间断电源系统、智能精密配电系统、照明系统、动环系统、消防系统。对医院主备机房内主要设备提供维保服务；</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安防</w:t>
            </w:r>
            <w:r>
              <w:rPr>
                <w:rFonts w:ascii="仿宋_GB2312" w:hAnsi="仿宋_GB2312" w:cs="仿宋_GB2312" w:eastAsia="仿宋_GB2312"/>
                <w:sz w:val="24"/>
                <w:color w:val="000000"/>
              </w:rPr>
              <w:t>系统：包括</w:t>
            </w:r>
            <w:r>
              <w:rPr>
                <w:rFonts w:ascii="仿宋_GB2312" w:hAnsi="仿宋_GB2312" w:cs="仿宋_GB2312" w:eastAsia="仿宋_GB2312"/>
                <w:sz w:val="24"/>
                <w:color w:val="000000"/>
              </w:rPr>
              <w:t>安防</w:t>
            </w:r>
            <w:r>
              <w:rPr>
                <w:rFonts w:ascii="仿宋_GB2312" w:hAnsi="仿宋_GB2312" w:cs="仿宋_GB2312" w:eastAsia="仿宋_GB2312"/>
                <w:sz w:val="24"/>
                <w:color w:val="000000"/>
              </w:rPr>
              <w:t>系统前端网络摄像机，后端硬盘录像机和存储设备。对医院</w:t>
            </w:r>
            <w:r>
              <w:rPr>
                <w:rFonts w:ascii="仿宋_GB2312" w:hAnsi="仿宋_GB2312" w:cs="仿宋_GB2312" w:eastAsia="仿宋_GB2312"/>
                <w:sz w:val="24"/>
                <w:color w:val="000000"/>
              </w:rPr>
              <w:t>安防</w:t>
            </w:r>
            <w:r>
              <w:rPr>
                <w:rFonts w:ascii="仿宋_GB2312" w:hAnsi="仿宋_GB2312" w:cs="仿宋_GB2312" w:eastAsia="仿宋_GB2312"/>
                <w:sz w:val="24"/>
                <w:color w:val="000000"/>
              </w:rPr>
              <w:t>系统主要设备提供维保服务。</w:t>
            </w:r>
          </w:p>
          <w:p>
            <w:pPr>
              <w:pStyle w:val="null3"/>
              <w:ind w:firstLine="480"/>
              <w:jc w:val="left"/>
            </w:pPr>
            <w:r>
              <w:rPr>
                <w:rFonts w:ascii="仿宋_GB2312" w:hAnsi="仿宋_GB2312" w:cs="仿宋_GB2312" w:eastAsia="仿宋_GB2312"/>
                <w:sz w:val="24"/>
                <w:color w:val="000000"/>
              </w:rPr>
              <w:t>5、业务系统支撑平台系统：</w:t>
            </w:r>
          </w:p>
          <w:p>
            <w:pPr>
              <w:pStyle w:val="null3"/>
              <w:ind w:firstLine="480"/>
              <w:jc w:val="left"/>
            </w:pPr>
            <w:r>
              <w:rPr>
                <w:rFonts w:ascii="仿宋_GB2312" w:hAnsi="仿宋_GB2312" w:cs="仿宋_GB2312" w:eastAsia="仿宋_GB2312"/>
                <w:sz w:val="24"/>
                <w:color w:val="000000"/>
              </w:rPr>
              <w:t>5.1、操作系统高级维护服务：包括Linux、Unix、Windows系统的磁盘管理、用户管理、性能</w:t>
            </w:r>
            <w:r>
              <w:rPr>
                <w:rFonts w:ascii="仿宋_GB2312" w:hAnsi="仿宋_GB2312" w:cs="仿宋_GB2312" w:eastAsia="仿宋_GB2312"/>
                <w:sz w:val="24"/>
                <w:color w:val="000000"/>
              </w:rPr>
              <w:t>监测</w:t>
            </w:r>
            <w:r>
              <w:rPr>
                <w:rFonts w:ascii="仿宋_GB2312" w:hAnsi="仿宋_GB2312" w:cs="仿宋_GB2312" w:eastAsia="仿宋_GB2312"/>
                <w:sz w:val="24"/>
                <w:color w:val="000000"/>
              </w:rPr>
              <w:t>、错误排查、高可用性等服务。范围包括医院数据中心所有</w:t>
            </w:r>
            <w:r>
              <w:rPr>
                <w:rFonts w:ascii="仿宋_GB2312" w:hAnsi="仿宋_GB2312" w:cs="仿宋_GB2312" w:eastAsia="仿宋_GB2312"/>
                <w:sz w:val="24"/>
                <w:color w:val="000000"/>
              </w:rPr>
              <w:t>操作</w:t>
            </w:r>
            <w:r>
              <w:rPr>
                <w:rFonts w:ascii="仿宋_GB2312" w:hAnsi="仿宋_GB2312" w:cs="仿宋_GB2312" w:eastAsia="仿宋_GB2312"/>
                <w:sz w:val="24"/>
                <w:color w:val="000000"/>
              </w:rPr>
              <w:t>系统。</w:t>
            </w:r>
          </w:p>
          <w:p>
            <w:pPr>
              <w:pStyle w:val="null3"/>
              <w:ind w:firstLine="480"/>
              <w:jc w:val="left"/>
            </w:pPr>
            <w:r>
              <w:rPr>
                <w:rFonts w:ascii="仿宋_GB2312" w:hAnsi="仿宋_GB2312" w:cs="仿宋_GB2312" w:eastAsia="仿宋_GB2312"/>
                <w:sz w:val="24"/>
                <w:color w:val="000000"/>
              </w:rPr>
              <w:t>5.2、数据库高级服务:包括 ORACLE 数据库、SQL Server、MySQL 等医院所有业务系统数据库的巡检工作、备份恢复、灾备演练等工作，每年完成4次备份恢复测试工作，协助用户完成灾备演练工作。每年4次的深度性能调优。每年完成现场的技术培训服务不少于6次，每次不少于1小时。</w:t>
            </w:r>
          </w:p>
          <w:p>
            <w:pPr>
              <w:pStyle w:val="null3"/>
              <w:ind w:firstLine="480"/>
              <w:jc w:val="left"/>
            </w:pPr>
            <w:r>
              <w:rPr>
                <w:rFonts w:ascii="仿宋_GB2312" w:hAnsi="仿宋_GB2312" w:cs="仿宋_GB2312" w:eastAsia="仿宋_GB2312"/>
                <w:sz w:val="24"/>
                <w:color w:val="000000"/>
              </w:rPr>
              <w:t>5.3、存储（含存储交换机）运维服务：包括运维的存储设备包括双活存储、全闪存储、灾备存储、存储交换机等。包括日常的巡检，应急，配置变更，拓扑变更等，提供存储的日常备件更换服务。范围包括</w:t>
            </w:r>
            <w:r>
              <w:rPr>
                <w:rFonts w:ascii="仿宋_GB2312" w:hAnsi="仿宋_GB2312" w:cs="仿宋_GB2312" w:eastAsia="仿宋_GB2312"/>
                <w:sz w:val="24"/>
                <w:color w:val="000000"/>
              </w:rPr>
              <w:t>医院</w:t>
            </w:r>
            <w:r>
              <w:rPr>
                <w:rFonts w:ascii="仿宋_GB2312" w:hAnsi="仿宋_GB2312" w:cs="仿宋_GB2312" w:eastAsia="仿宋_GB2312"/>
                <w:sz w:val="24"/>
                <w:color w:val="000000"/>
              </w:rPr>
              <w:t>数据中心所有存储。</w:t>
            </w:r>
          </w:p>
          <w:p>
            <w:pPr>
              <w:pStyle w:val="null3"/>
              <w:ind w:firstLine="480"/>
              <w:jc w:val="left"/>
            </w:pPr>
            <w:r>
              <w:rPr>
                <w:rFonts w:ascii="仿宋_GB2312" w:hAnsi="仿宋_GB2312" w:cs="仿宋_GB2312" w:eastAsia="仿宋_GB2312"/>
                <w:sz w:val="24"/>
                <w:color w:val="000000"/>
              </w:rPr>
              <w:t>5.4、私有云平台服务：包括宏杉私有云平台现场技术支持服务，私有云的规划实施，运营，升级、架构优化与调整，虚拟机的备份与恢复，现场的技术培训服务等，提供私有云服务器的日常备件更换服务。范围包括</w:t>
            </w:r>
            <w:r>
              <w:rPr>
                <w:rFonts w:ascii="仿宋_GB2312" w:hAnsi="仿宋_GB2312" w:cs="仿宋_GB2312" w:eastAsia="仿宋_GB2312"/>
                <w:sz w:val="24"/>
                <w:color w:val="000000"/>
              </w:rPr>
              <w:t>医院</w:t>
            </w:r>
            <w:r>
              <w:rPr>
                <w:rFonts w:ascii="仿宋_GB2312" w:hAnsi="仿宋_GB2312" w:cs="仿宋_GB2312" w:eastAsia="仿宋_GB2312"/>
                <w:sz w:val="24"/>
                <w:color w:val="000000"/>
              </w:rPr>
              <w:t>数据中心所有私有云平台及云管平台。</w:t>
            </w:r>
          </w:p>
          <w:p>
            <w:pPr>
              <w:pStyle w:val="null3"/>
              <w:ind w:firstLine="480"/>
              <w:jc w:val="left"/>
            </w:pPr>
            <w:r>
              <w:rPr>
                <w:rFonts w:ascii="仿宋_GB2312" w:hAnsi="仿宋_GB2312" w:cs="仿宋_GB2312" w:eastAsia="仿宋_GB2312"/>
                <w:sz w:val="24"/>
                <w:color w:val="000000"/>
              </w:rPr>
              <w:t>5.5、备份及容灾切换软件维保服务：包括此次包含现有容灾切换软件和备份软件维护，服务内容包括新增客户端的部署，备份策略制定，备份恢复测试，以及日常的运维、备份验证、演练服务等。提供容灾切换软件的日常管理和容灾备份切换演练测试工作。</w:t>
            </w:r>
          </w:p>
          <w:p>
            <w:pPr>
              <w:pStyle w:val="null3"/>
              <w:ind w:firstLine="480"/>
              <w:jc w:val="left"/>
            </w:pPr>
            <w:r>
              <w:rPr>
                <w:rFonts w:ascii="仿宋_GB2312" w:hAnsi="仿宋_GB2312" w:cs="仿宋_GB2312" w:eastAsia="仿宋_GB2312"/>
                <w:sz w:val="24"/>
                <w:color w:val="000000"/>
              </w:rPr>
              <w:t>5.6、其他运维服务：包括全年不限次数应急响应服务；不少于12次常规巡检服务；不少于4次主动优化服务；提供重要节日及场景现场保障服务；提供</w:t>
            </w:r>
            <w:r>
              <w:rPr>
                <w:rFonts w:ascii="仿宋_GB2312" w:hAnsi="仿宋_GB2312" w:cs="仿宋_GB2312" w:eastAsia="仿宋_GB2312"/>
                <w:sz w:val="24"/>
                <w:color w:val="000000"/>
              </w:rPr>
              <w:t>医院</w:t>
            </w:r>
            <w:r>
              <w:rPr>
                <w:rFonts w:ascii="仿宋_GB2312" w:hAnsi="仿宋_GB2312" w:cs="仿宋_GB2312" w:eastAsia="仿宋_GB2312"/>
                <w:sz w:val="24"/>
                <w:color w:val="000000"/>
              </w:rPr>
              <w:t>需要的其他数据中心运维服务。</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新购备份</w:t>
            </w:r>
            <w:r>
              <w:rPr>
                <w:rFonts w:ascii="仿宋_GB2312" w:hAnsi="仿宋_GB2312" w:cs="仿宋_GB2312" w:eastAsia="仿宋_GB2312"/>
                <w:sz w:val="24"/>
                <w:color w:val="000000"/>
              </w:rPr>
              <w:t>管理系统（</w:t>
            </w:r>
            <w:r>
              <w:rPr>
                <w:rFonts w:ascii="仿宋_GB2312" w:hAnsi="仿宋_GB2312" w:cs="仿宋_GB2312" w:eastAsia="仿宋_GB2312"/>
                <w:sz w:val="24"/>
                <w:color w:val="000000"/>
              </w:rPr>
              <w:t>1套）：</w:t>
            </w:r>
          </w:p>
          <w:p>
            <w:pPr>
              <w:pStyle w:val="null3"/>
              <w:ind w:firstLine="480"/>
              <w:jc w:val="left"/>
            </w:pPr>
            <w:r>
              <w:rPr>
                <w:rFonts w:ascii="仿宋_GB2312" w:hAnsi="仿宋_GB2312" w:cs="仿宋_GB2312" w:eastAsia="仿宋_GB2312"/>
                <w:sz w:val="24"/>
                <w:color w:val="000000"/>
              </w:rPr>
              <w:t>6.1、</w:t>
            </w:r>
            <w:r>
              <w:rPr>
                <w:rFonts w:ascii="仿宋_GB2312" w:hAnsi="仿宋_GB2312" w:cs="仿宋_GB2312" w:eastAsia="仿宋_GB2312"/>
                <w:sz w:val="24"/>
                <w:color w:val="000000"/>
              </w:rPr>
              <w:t>新购</w:t>
            </w:r>
            <w:r>
              <w:rPr>
                <w:rFonts w:ascii="仿宋_GB2312" w:hAnsi="仿宋_GB2312" w:cs="仿宋_GB2312" w:eastAsia="仿宋_GB2312"/>
                <w:sz w:val="24"/>
                <w:color w:val="000000"/>
              </w:rPr>
              <w:t>备份</w:t>
            </w:r>
            <w:r>
              <w:rPr>
                <w:rFonts w:ascii="仿宋_GB2312" w:hAnsi="仿宋_GB2312" w:cs="仿宋_GB2312" w:eastAsia="仿宋_GB2312"/>
                <w:sz w:val="24"/>
                <w:color w:val="000000"/>
              </w:rPr>
              <w:t>管理</w:t>
            </w:r>
            <w:r>
              <w:rPr>
                <w:rFonts w:ascii="仿宋_GB2312" w:hAnsi="仿宋_GB2312" w:cs="仿宋_GB2312" w:eastAsia="仿宋_GB2312"/>
                <w:sz w:val="24"/>
                <w:color w:val="000000"/>
              </w:rPr>
              <w:t>系统一套，具体要求如下：</w:t>
            </w:r>
          </w:p>
          <w:p>
            <w:pPr>
              <w:pStyle w:val="null3"/>
              <w:ind w:left="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20TB 备份基础授权包许可，不限客户端、数据库数量和种类。附带采购5块7200 2T SATA硬盘。</w:t>
            </w:r>
          </w:p>
          <w:p>
            <w:pPr>
              <w:pStyle w:val="null3"/>
              <w:ind w:left="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、配置图形化管理界面，界面支持管理、配置、维护等功能，支持报表统计、导出，支持多种认证方式，支持多租户资源隔离等；</w:t>
            </w:r>
          </w:p>
          <w:p>
            <w:pPr>
              <w:pStyle w:val="null3"/>
              <w:ind w:left="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Windows、Linux、CentOS、AIX、Solaris、HP-UX等操作系统；支持中标麒麟、银河麒麟、统信UOS等国产操作系统；支持VMware、KVM、OpenStack、CAS等虚拟化平台及虚拟机；</w:t>
            </w:r>
          </w:p>
          <w:p>
            <w:pPr>
              <w:pStyle w:val="null3"/>
              <w:ind w:left="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、支持基于图形化的</w:t>
            </w:r>
            <w:r>
              <w:rPr>
                <w:rFonts w:ascii="仿宋_GB2312" w:hAnsi="仿宋_GB2312" w:cs="仿宋_GB2312" w:eastAsia="仿宋_GB2312"/>
                <w:sz w:val="24"/>
                <w:color w:val="000000"/>
              </w:rPr>
              <w:t>Oracle、Sybase、SQL Server、DB2, MySQL, MaxDB、SAP HANA, PostgreSQL, 达梦、人大金仓、南通、神通等所有主流数据库的联机备份和恢复；支持Oracle数据通过日志实时同步功能；</w:t>
            </w:r>
          </w:p>
          <w:p>
            <w:pPr>
              <w:pStyle w:val="null3"/>
              <w:ind w:left="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3年原厂商维保服务，提供原厂服务承诺函。</w:t>
            </w:r>
          </w:p>
          <w:p>
            <w:pPr>
              <w:pStyle w:val="null3"/>
              <w:jc w:val="left"/>
            </w:pPr>
            <w:r>
              <w:rPr>
                <w:rFonts w:ascii="仿宋_GB2312" w:hAnsi="仿宋_GB2312" w:cs="仿宋_GB2312" w:eastAsia="仿宋_GB2312"/>
                <w:sz w:val="24"/>
                <w:b/>
                <w:color w:val="000000"/>
              </w:rPr>
              <w:t>（二）信息数据中心软硬件维保项目清单如下：</w:t>
            </w:r>
          </w:p>
          <w:tbl>
            <w:tblPr>
              <w:tblInd w:type="dxa" w:w="120"/>
              <w:tblBorders>
                <w:top w:val="none" w:color="000000" w:sz="4"/>
                <w:left w:val="none" w:color="000000" w:sz="4"/>
                <w:bottom w:val="none" w:color="000000" w:sz="4"/>
                <w:right w:val="none" w:color="000000" w:sz="4"/>
                <w:insideH w:val="none"/>
                <w:insideV w:val="none"/>
              </w:tblBorders>
            </w:tblPr>
            <w:tblGrid>
              <w:gridCol w:w="139"/>
              <w:gridCol w:w="419"/>
              <w:gridCol w:w="1716"/>
              <w:gridCol w:w="139"/>
              <w:gridCol w:w="139"/>
            </w:tblGrid>
            <w:tr>
              <w:tc>
                <w:tcPr>
                  <w:tcW w:type="dxa" w:w="139"/>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19"/>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716"/>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服务内容</w:t>
                  </w:r>
                </w:p>
              </w:tc>
              <w:tc>
                <w:tcPr>
                  <w:tcW w:type="dxa" w:w="139"/>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39"/>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网络系统维保服务</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核心交换机主机</w:t>
                  </w:r>
                  <w:r>
                    <w:rPr>
                      <w:rFonts w:ascii="仿宋_GB2312" w:hAnsi="仿宋_GB2312" w:cs="仿宋_GB2312" w:eastAsia="仿宋_GB2312"/>
                      <w:sz w:val="24"/>
                      <w:color w:val="000000"/>
                    </w:rPr>
                    <w:t>(含引擎、交换网板、双电源、业务板）4套；汇聚交换机及接入交换机191套，无线控制器4套；无线AP275台；网管服务器1套；安全防护设备包括防火墙、VPN设备、防毒墙、入侵防御、入侵检测、上网行为管理、安全感知平台、WAF、网闸等20套。</w:t>
                  </w:r>
                  <w:r>
                    <w:rPr>
                      <w:rFonts w:ascii="仿宋_GB2312" w:hAnsi="仿宋_GB2312" w:cs="仿宋_GB2312" w:eastAsia="仿宋_GB2312"/>
                      <w:sz w:val="24"/>
                      <w:color w:val="000000"/>
                    </w:rPr>
                    <w:t>网络安全设备提供</w:t>
                  </w:r>
                  <w:r>
                    <w:rPr>
                      <w:rFonts w:ascii="仿宋_GB2312" w:hAnsi="仿宋_GB2312" w:cs="仿宋_GB2312" w:eastAsia="仿宋_GB2312"/>
                      <w:sz w:val="24"/>
                      <w:color w:val="000000"/>
                    </w:rPr>
                    <w:t>2台绿盟防火墙入侵防御和防病毒特征库1年升级服务。</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电话系统维保服务</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全院电话系统设备维保调测，电话号码更换跳线与配合等相关服务，在用话机</w:t>
                  </w:r>
                  <w:r>
                    <w:rPr>
                      <w:rFonts w:ascii="仿宋_GB2312" w:hAnsi="仿宋_GB2312" w:cs="仿宋_GB2312" w:eastAsia="仿宋_GB2312"/>
                      <w:sz w:val="24"/>
                      <w:color w:val="000000"/>
                    </w:rPr>
                    <w:t>200余部。</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机房系统维保服务</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包括主备机房基础环境维保服务：</w:t>
                  </w:r>
                  <w:r>
                    <w:br/>
                  </w:r>
                  <w:r>
                    <w:rPr>
                      <w:rFonts w:ascii="仿宋_GB2312" w:hAnsi="仿宋_GB2312" w:cs="仿宋_GB2312" w:eastAsia="仿宋_GB2312"/>
                      <w:sz w:val="24"/>
                      <w:color w:val="000000"/>
                    </w:rPr>
                    <w:t>主机房：</w:t>
                  </w:r>
                  <w:r>
                    <w:rPr>
                      <w:rFonts w:ascii="仿宋_GB2312" w:hAnsi="仿宋_GB2312" w:cs="仿宋_GB2312" w:eastAsia="仿宋_GB2312"/>
                      <w:sz w:val="24"/>
                      <w:color w:val="000000"/>
                    </w:rPr>
                    <w:t>30KW精密空调2套，UPS主机1套（不含电池），智能配电系统1套，照明系统1套，消防报警系统1套，动力环境系统包含</w:t>
                  </w:r>
                  <w:r>
                    <w:rPr>
                      <w:rFonts w:ascii="仿宋_GB2312" w:hAnsi="仿宋_GB2312" w:cs="仿宋_GB2312" w:eastAsia="仿宋_GB2312"/>
                      <w:sz w:val="24"/>
                      <w:color w:val="000000"/>
                    </w:rPr>
                    <w:t>监测精密</w:t>
                  </w:r>
                  <w:r>
                    <w:rPr>
                      <w:rFonts w:ascii="仿宋_GB2312" w:hAnsi="仿宋_GB2312" w:cs="仿宋_GB2312" w:eastAsia="仿宋_GB2312"/>
                      <w:sz w:val="24"/>
                      <w:color w:val="000000"/>
                    </w:rPr>
                    <w:t>空调、</w:t>
                  </w:r>
                  <w:r>
                    <w:rPr>
                      <w:rFonts w:ascii="仿宋_GB2312" w:hAnsi="仿宋_GB2312" w:cs="仿宋_GB2312" w:eastAsia="仿宋_GB2312"/>
                      <w:sz w:val="24"/>
                      <w:color w:val="000000"/>
                    </w:rPr>
                    <w:t>UPS、配电、门禁、视频</w:t>
                  </w:r>
                  <w:r>
                    <w:rPr>
                      <w:rFonts w:ascii="仿宋_GB2312" w:hAnsi="仿宋_GB2312" w:cs="仿宋_GB2312" w:eastAsia="仿宋_GB2312"/>
                      <w:sz w:val="24"/>
                      <w:color w:val="000000"/>
                    </w:rPr>
                    <w:t>摄像机</w:t>
                  </w:r>
                  <w:r>
                    <w:rPr>
                      <w:rFonts w:ascii="仿宋_GB2312" w:hAnsi="仿宋_GB2312" w:cs="仿宋_GB2312" w:eastAsia="仿宋_GB2312"/>
                      <w:sz w:val="24"/>
                      <w:color w:val="000000"/>
                    </w:rPr>
                    <w:t>等</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备机房：</w:t>
                  </w:r>
                  <w:r>
                    <w:rPr>
                      <w:rFonts w:ascii="仿宋_GB2312" w:hAnsi="仿宋_GB2312" w:cs="仿宋_GB2312" w:eastAsia="仿宋_GB2312"/>
                      <w:sz w:val="24"/>
                      <w:color w:val="000000"/>
                    </w:rPr>
                    <w:t>12.5KW精密空调2套，UPS主机1套（不含电池），智能配电系统1套，照明系统1套，消防报警系统1套，动力环境系统包含</w:t>
                  </w:r>
                  <w:r>
                    <w:rPr>
                      <w:rFonts w:ascii="仿宋_GB2312" w:hAnsi="仿宋_GB2312" w:cs="仿宋_GB2312" w:eastAsia="仿宋_GB2312"/>
                      <w:sz w:val="24"/>
                      <w:color w:val="000000"/>
                    </w:rPr>
                    <w:t>监测精密</w:t>
                  </w:r>
                  <w:r>
                    <w:rPr>
                      <w:rFonts w:ascii="仿宋_GB2312" w:hAnsi="仿宋_GB2312" w:cs="仿宋_GB2312" w:eastAsia="仿宋_GB2312"/>
                      <w:sz w:val="24"/>
                      <w:color w:val="000000"/>
                    </w:rPr>
                    <w:t>空调、</w:t>
                  </w:r>
                  <w:r>
                    <w:rPr>
                      <w:rFonts w:ascii="仿宋_GB2312" w:hAnsi="仿宋_GB2312" w:cs="仿宋_GB2312" w:eastAsia="仿宋_GB2312"/>
                      <w:sz w:val="24"/>
                      <w:color w:val="000000"/>
                    </w:rPr>
                    <w:t>UPS、配电、门禁、视频</w:t>
                  </w:r>
                  <w:r>
                    <w:rPr>
                      <w:rFonts w:ascii="仿宋_GB2312" w:hAnsi="仿宋_GB2312" w:cs="仿宋_GB2312" w:eastAsia="仿宋_GB2312"/>
                      <w:sz w:val="24"/>
                      <w:color w:val="000000"/>
                    </w:rPr>
                    <w:t>摄像机</w:t>
                  </w:r>
                  <w:r>
                    <w:rPr>
                      <w:rFonts w:ascii="仿宋_GB2312" w:hAnsi="仿宋_GB2312" w:cs="仿宋_GB2312" w:eastAsia="仿宋_GB2312"/>
                      <w:sz w:val="24"/>
                      <w:color w:val="000000"/>
                    </w:rPr>
                    <w:t>等</w:t>
                  </w:r>
                  <w:r>
                    <w:rPr>
                      <w:rFonts w:ascii="仿宋_GB2312" w:hAnsi="仿宋_GB2312" w:cs="仿宋_GB2312" w:eastAsia="仿宋_GB2312"/>
                      <w:sz w:val="24"/>
                      <w:color w:val="000000"/>
                    </w:rPr>
                    <w:t>1套。</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安防</w:t>
                  </w:r>
                  <w:r>
                    <w:rPr>
                      <w:rFonts w:ascii="仿宋_GB2312" w:hAnsi="仿宋_GB2312" w:cs="仿宋_GB2312" w:eastAsia="仿宋_GB2312"/>
                      <w:sz w:val="24"/>
                      <w:color w:val="000000"/>
                    </w:rPr>
                    <w:t>设备维保服务</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网络摄像机</w:t>
                  </w:r>
                  <w:r>
                    <w:rPr>
                      <w:rFonts w:ascii="仿宋_GB2312" w:hAnsi="仿宋_GB2312" w:cs="仿宋_GB2312" w:eastAsia="仿宋_GB2312"/>
                      <w:sz w:val="24"/>
                      <w:color w:val="000000"/>
                    </w:rPr>
                    <w:t>433台，硬盘录像机9套，存储7套，监视器22套，解码器8套。</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业务系统支撑平台</w:t>
                  </w:r>
                  <w:r>
                    <w:br/>
                  </w:r>
                  <w:r>
                    <w:rPr>
                      <w:rFonts w:ascii="仿宋_GB2312" w:hAnsi="仿宋_GB2312" w:cs="仿宋_GB2312" w:eastAsia="仿宋_GB2312"/>
                      <w:sz w:val="24"/>
                      <w:color w:val="000000"/>
                    </w:rPr>
                    <w:t>私有云等维保服务</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1、操作系统高级维护服务</w:t>
                  </w:r>
                  <w:r>
                    <w:br/>
                  </w:r>
                  <w:r>
                    <w:rPr>
                      <w:rFonts w:ascii="仿宋_GB2312" w:hAnsi="仿宋_GB2312" w:cs="仿宋_GB2312" w:eastAsia="仿宋_GB2312"/>
                      <w:sz w:val="24"/>
                      <w:color w:val="000000"/>
                    </w:rPr>
                    <w:t>包括</w:t>
                  </w:r>
                  <w:r>
                    <w:rPr>
                      <w:rFonts w:ascii="仿宋_GB2312" w:hAnsi="仿宋_GB2312" w:cs="仿宋_GB2312" w:eastAsia="仿宋_GB2312"/>
                      <w:sz w:val="24"/>
                      <w:color w:val="000000"/>
                    </w:rPr>
                    <w:t>Linux、Unix、Windows系统的磁盘管理、用户管理、性能</w:t>
                  </w:r>
                  <w:r>
                    <w:rPr>
                      <w:rFonts w:ascii="仿宋_GB2312" w:hAnsi="仿宋_GB2312" w:cs="仿宋_GB2312" w:eastAsia="仿宋_GB2312"/>
                      <w:sz w:val="24"/>
                      <w:color w:val="000000"/>
                    </w:rPr>
                    <w:t>监测</w:t>
                  </w:r>
                  <w:r>
                    <w:rPr>
                      <w:rFonts w:ascii="仿宋_GB2312" w:hAnsi="仿宋_GB2312" w:cs="仿宋_GB2312" w:eastAsia="仿宋_GB2312"/>
                      <w:sz w:val="24"/>
                      <w:color w:val="000000"/>
                    </w:rPr>
                    <w:t>、错误排查、高可用性等服务。范围包括医院数据中心所有操作系统。</w:t>
                  </w:r>
                  <w:r>
                    <w:br/>
                  </w:r>
                  <w:r>
                    <w:rPr>
                      <w:rFonts w:ascii="仿宋_GB2312" w:hAnsi="仿宋_GB2312" w:cs="仿宋_GB2312" w:eastAsia="仿宋_GB2312"/>
                      <w:sz w:val="24"/>
                      <w:color w:val="000000"/>
                    </w:rPr>
                    <w:t>2、Oracle、SQL Server、MySQL等数据库相关服务</w:t>
                  </w:r>
                  <w:r>
                    <w:br/>
                  </w:r>
                  <w:r>
                    <w:rPr>
                      <w:rFonts w:ascii="仿宋_GB2312" w:hAnsi="仿宋_GB2312" w:cs="仿宋_GB2312" w:eastAsia="仿宋_GB2312"/>
                      <w:sz w:val="24"/>
                      <w:color w:val="000000"/>
                    </w:rPr>
                    <w:t>数据库高级服务</w:t>
                  </w:r>
                  <w:r>
                    <w:rPr>
                      <w:rFonts w:ascii="仿宋_GB2312" w:hAnsi="仿宋_GB2312" w:cs="仿宋_GB2312" w:eastAsia="仿宋_GB2312"/>
                      <w:sz w:val="24"/>
                      <w:color w:val="000000"/>
                    </w:rPr>
                    <w:t>:包括 ORACLE 数据库、SQL Server、MySQL 等医院所有业务系统数据库的巡检工作、备份恢复、灾备演练等工作，每年完成4次备份恢复测试工作，协助用户完成灾备演练工作。每年4次的深度性能调优。每年完成现场的技术培训服务不少于6次，每次不少于1小时。</w:t>
                  </w:r>
                  <w:r>
                    <w:rPr>
                      <w:rFonts w:ascii="仿宋_GB2312" w:hAnsi="仿宋_GB2312" w:cs="仿宋_GB2312" w:eastAsia="仿宋_GB2312"/>
                      <w:sz w:val="24"/>
                      <w:color w:val="000000"/>
                    </w:rPr>
                    <w:t>范围包括医院数据中心所有数据库。</w:t>
                  </w:r>
                  <w:r>
                    <w:br/>
                  </w:r>
                  <w:r>
                    <w:rPr>
                      <w:rFonts w:ascii="仿宋_GB2312" w:hAnsi="仿宋_GB2312" w:cs="仿宋_GB2312" w:eastAsia="仿宋_GB2312"/>
                      <w:sz w:val="24"/>
                      <w:color w:val="000000"/>
                    </w:rPr>
                    <w:t>3、存储（含存储交换机）运维服务</w:t>
                  </w:r>
                  <w:r>
                    <w:br/>
                  </w:r>
                  <w:r>
                    <w:rPr>
                      <w:rFonts w:ascii="仿宋_GB2312" w:hAnsi="仿宋_GB2312" w:cs="仿宋_GB2312" w:eastAsia="仿宋_GB2312"/>
                      <w:sz w:val="24"/>
                      <w:color w:val="000000"/>
                    </w:rPr>
                    <w:t>此次运维的存储设备包括双活存储、全闪存储、灾备存储、存储交换机等。包括日常的巡检，应急，配置变更，拓扑变更等，提供存储的日常备件更换服务。范围包括医院数据中心所有存储。</w:t>
                  </w:r>
                  <w:r>
                    <w:br/>
                  </w:r>
                  <w:r>
                    <w:rPr>
                      <w:rFonts w:ascii="仿宋_GB2312" w:hAnsi="仿宋_GB2312" w:cs="仿宋_GB2312" w:eastAsia="仿宋_GB2312"/>
                      <w:sz w:val="24"/>
                      <w:color w:val="000000"/>
                    </w:rPr>
                    <w:t>4、私有云平台服务</w:t>
                  </w:r>
                  <w:r>
                    <w:br/>
                  </w:r>
                  <w:r>
                    <w:rPr>
                      <w:rFonts w:ascii="仿宋_GB2312" w:hAnsi="仿宋_GB2312" w:cs="仿宋_GB2312" w:eastAsia="仿宋_GB2312"/>
                      <w:sz w:val="24"/>
                      <w:color w:val="000000"/>
                    </w:rPr>
                    <w:t>私有云平台现场技术支持服务，私有云的规划实施，运营，升级、架构优化与调整，虚拟机的备份与恢复，现场的技术培训服务等，提供私有云服务器的日常备件更换服务。范围包括医院数据中心所有私有云平台及云管平台。</w:t>
                  </w:r>
                  <w:r>
                    <w:br/>
                  </w:r>
                  <w:r>
                    <w:rPr>
                      <w:rFonts w:ascii="仿宋_GB2312" w:hAnsi="仿宋_GB2312" w:cs="仿宋_GB2312" w:eastAsia="仿宋_GB2312"/>
                      <w:sz w:val="24"/>
                      <w:color w:val="000000"/>
                    </w:rPr>
                    <w:t>5、备份及容灾切换软件维保服务</w:t>
                  </w:r>
                  <w:r>
                    <w:br/>
                  </w:r>
                  <w:r>
                    <w:rPr>
                      <w:rFonts w:ascii="仿宋_GB2312" w:hAnsi="仿宋_GB2312" w:cs="仿宋_GB2312" w:eastAsia="仿宋_GB2312"/>
                      <w:sz w:val="24"/>
                      <w:color w:val="000000"/>
                    </w:rPr>
                    <w:t>此次包含现有容灾切换软件和备份软件维护，服务内容包括新增客户端的部署，备份策略制定，备份恢复测试，以及日常的运维、备份验证、演练服务等。提供容灾切换软件的日常管理和容灾备份切换演练测试工作。</w:t>
                  </w:r>
                  <w:r>
                    <w:br/>
                  </w:r>
                  <w:r>
                    <w:rPr>
                      <w:rFonts w:ascii="仿宋_GB2312" w:hAnsi="仿宋_GB2312" w:cs="仿宋_GB2312" w:eastAsia="仿宋_GB2312"/>
                      <w:sz w:val="24"/>
                      <w:color w:val="000000"/>
                    </w:rPr>
                    <w:t>6、其他运维服务</w:t>
                  </w:r>
                  <w:r>
                    <w:br/>
                  </w:r>
                  <w:r>
                    <w:rPr>
                      <w:rFonts w:ascii="仿宋_GB2312" w:hAnsi="仿宋_GB2312" w:cs="仿宋_GB2312" w:eastAsia="仿宋_GB2312"/>
                      <w:sz w:val="24"/>
                      <w:color w:val="000000"/>
                    </w:rPr>
                    <w:t>全年不限次数应急响应服务；不少于</w:t>
                  </w:r>
                  <w:r>
                    <w:rPr>
                      <w:rFonts w:ascii="仿宋_GB2312" w:hAnsi="仿宋_GB2312" w:cs="仿宋_GB2312" w:eastAsia="仿宋_GB2312"/>
                      <w:sz w:val="24"/>
                      <w:color w:val="000000"/>
                    </w:rPr>
                    <w:t>12次常规巡检服务；不少于4次主动优化服务；提供重要节日及场景现场保障服务；提供医院需要的其他数据中心运维服务。</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备份系统</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(1)、20TB 备份基础授权包许可，不限客户端、数据库数量和种类。附带采购5块7200 2T SATA硬盘；</w:t>
                  </w:r>
                </w:p>
                <w:p>
                  <w:pPr>
                    <w:pStyle w:val="null3"/>
                    <w:jc w:val="left"/>
                  </w:pPr>
                  <w:r>
                    <w:rPr>
                      <w:rFonts w:ascii="仿宋_GB2312" w:hAnsi="仿宋_GB2312" w:cs="仿宋_GB2312" w:eastAsia="仿宋_GB2312"/>
                      <w:sz w:val="24"/>
                      <w:color w:val="000000"/>
                    </w:rPr>
                    <w:t>(2)、配置图形化管理界面，界面支持管理、配置、维护等功能，支持报表统计、导出，支持多种认证方式，支持多租户资源隔离等；</w:t>
                  </w:r>
                </w:p>
                <w:p>
                  <w:pPr>
                    <w:pStyle w:val="null3"/>
                    <w:jc w:val="left"/>
                  </w:pPr>
                  <w:r>
                    <w:rPr>
                      <w:rFonts w:ascii="仿宋_GB2312" w:hAnsi="仿宋_GB2312" w:cs="仿宋_GB2312" w:eastAsia="仿宋_GB2312"/>
                      <w:sz w:val="24"/>
                      <w:color w:val="000000"/>
                    </w:rPr>
                    <w:t>(3)、支持Windows、Linux、CentOS、AIX、Solaris、HP-UX等操作系统；支持中标麒麟、银河麒麟、统信UOS等国产操作系统；支持VMware、KVM、OpenStack、CAS等虚拟化平台及虚拟机；</w:t>
                  </w:r>
                </w:p>
                <w:p>
                  <w:pPr>
                    <w:pStyle w:val="null3"/>
                    <w:jc w:val="left"/>
                  </w:pPr>
                  <w:r>
                    <w:rPr>
                      <w:rFonts w:ascii="仿宋_GB2312" w:hAnsi="仿宋_GB2312" w:cs="仿宋_GB2312" w:eastAsia="仿宋_GB2312"/>
                      <w:sz w:val="24"/>
                      <w:color w:val="000000"/>
                    </w:rPr>
                    <w:t>(4)、支持基于图形化的Oracle、Sybase、SQL Server、DB2, MySQL, MaxDB、SAP HANA, PostgreSQL, 达梦、人大金仓、南通、神通等所有主流数据库的联机备份和恢复；支持Oracle数据通过日志实时同步功能；</w:t>
                  </w:r>
                </w:p>
                <w:p>
                  <w:pPr>
                    <w:pStyle w:val="null3"/>
                    <w:jc w:val="left"/>
                  </w:pPr>
                  <w:r>
                    <w:rPr>
                      <w:rFonts w:ascii="仿宋_GB2312" w:hAnsi="仿宋_GB2312" w:cs="仿宋_GB2312" w:eastAsia="仿宋_GB2312"/>
                      <w:sz w:val="24"/>
                      <w:color w:val="000000"/>
                    </w:rPr>
                    <w:t>(5)、提供3年原厂商维保服务，提供原厂服务承诺函。</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bl>
          <w:p>
            <w:pPr>
              <w:pStyle w:val="null3"/>
              <w:spacing w:before="315"/>
              <w:ind w:left="420"/>
              <w:jc w:val="left"/>
            </w:pPr>
            <w:r>
              <w:rPr>
                <w:rFonts w:ascii="仿宋_GB2312" w:hAnsi="仿宋_GB2312" w:cs="仿宋_GB2312" w:eastAsia="仿宋_GB2312"/>
                <w:sz w:val="24"/>
                <w:b/>
                <w:color w:val="000000"/>
              </w:rPr>
              <w:t>三、技术要求（如有，一般适合于技术服务项目）</w:t>
            </w:r>
          </w:p>
          <w:p>
            <w:pPr>
              <w:pStyle w:val="null3"/>
              <w:ind w:firstLine="480"/>
              <w:jc w:val="left"/>
            </w:pPr>
            <w:r>
              <w:rPr>
                <w:rFonts w:ascii="仿宋_GB2312" w:hAnsi="仿宋_GB2312" w:cs="仿宋_GB2312" w:eastAsia="仿宋_GB2312"/>
                <w:sz w:val="24"/>
                <w:color w:val="000000"/>
              </w:rPr>
              <w:t>1、在线支持中心：提供售前咨询、设备故障分析、软件故障排除、应用操作指导及服务追踪。</w:t>
            </w:r>
          </w:p>
          <w:p>
            <w:pPr>
              <w:pStyle w:val="null3"/>
              <w:ind w:firstLine="480"/>
              <w:jc w:val="left"/>
            </w:pPr>
            <w:r>
              <w:rPr>
                <w:rFonts w:ascii="仿宋_GB2312" w:hAnsi="仿宋_GB2312" w:cs="仿宋_GB2312" w:eastAsia="仿宋_GB2312"/>
                <w:sz w:val="24"/>
                <w:color w:val="000000"/>
              </w:rPr>
              <w:t>2、备件库：故障设备维修、配件</w:t>
            </w:r>
            <w:r>
              <w:rPr>
                <w:rFonts w:ascii="仿宋_GB2312" w:hAnsi="仿宋_GB2312" w:cs="仿宋_GB2312" w:eastAsia="仿宋_GB2312"/>
                <w:sz w:val="24"/>
                <w:color w:val="000000"/>
              </w:rPr>
              <w:t>（</w:t>
            </w:r>
            <w:r>
              <w:rPr>
                <w:rFonts w:ascii="仿宋_GB2312" w:hAnsi="仿宋_GB2312" w:cs="仿宋_GB2312" w:eastAsia="仿宋_GB2312"/>
                <w:sz w:val="24"/>
                <w:color w:val="000000"/>
              </w:rPr>
              <w:t>适配现有各种系统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与备件派送。</w:t>
            </w:r>
          </w:p>
          <w:p>
            <w:pPr>
              <w:pStyle w:val="null3"/>
              <w:ind w:firstLine="480"/>
              <w:jc w:val="left"/>
            </w:pPr>
            <w:r>
              <w:rPr>
                <w:rFonts w:ascii="仿宋_GB2312" w:hAnsi="仿宋_GB2312" w:cs="仿宋_GB2312" w:eastAsia="仿宋_GB2312"/>
                <w:sz w:val="24"/>
                <w:color w:val="000000"/>
              </w:rPr>
              <w:t>3、产品维护中心：顾问咨询、设计实施、教学培训、支持维护、运行管理。</w:t>
            </w:r>
          </w:p>
          <w:p>
            <w:pPr>
              <w:pStyle w:val="null3"/>
              <w:ind w:firstLine="480"/>
              <w:jc w:val="left"/>
            </w:pPr>
            <w:r>
              <w:rPr>
                <w:rFonts w:ascii="仿宋_GB2312" w:hAnsi="仿宋_GB2312" w:cs="仿宋_GB2312" w:eastAsia="仿宋_GB2312"/>
                <w:sz w:val="24"/>
                <w:color w:val="000000"/>
              </w:rPr>
              <w:t>4、设备运维管理，系统巡检，技术支持。</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、提供数据库工程师、数据安全工程师及网络工程师等人员履约能力证明文件。</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、提供宏杉私有云平台授权服务文件；</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备份</w:t>
            </w:r>
            <w:r>
              <w:rPr>
                <w:rFonts w:ascii="仿宋_GB2312" w:hAnsi="仿宋_GB2312" w:cs="仿宋_GB2312" w:eastAsia="仿宋_GB2312"/>
                <w:sz w:val="24"/>
                <w:color w:val="000000"/>
              </w:rPr>
              <w:t>管理系统的授权服务文件。</w:t>
            </w:r>
          </w:p>
          <w:p>
            <w:pPr>
              <w:pStyle w:val="null3"/>
              <w:spacing w:before="315"/>
              <w:ind w:left="420"/>
              <w:jc w:val="left"/>
            </w:pPr>
            <w:r>
              <w:rPr>
                <w:rFonts w:ascii="仿宋_GB2312" w:hAnsi="仿宋_GB2312" w:cs="仿宋_GB2312" w:eastAsia="仿宋_GB2312"/>
                <w:sz w:val="24"/>
                <w:b/>
                <w:color w:val="000000"/>
              </w:rPr>
              <w:t>四、服务要求（如对人员配置、专业设备、服务标准等）</w:t>
            </w:r>
          </w:p>
          <w:p>
            <w:pPr>
              <w:pStyle w:val="null3"/>
              <w:ind w:firstLine="482"/>
              <w:jc w:val="left"/>
            </w:pPr>
            <w:r>
              <w:rPr>
                <w:rFonts w:ascii="仿宋_GB2312" w:hAnsi="仿宋_GB2312" w:cs="仿宋_GB2312" w:eastAsia="仿宋_GB2312"/>
                <w:sz w:val="24"/>
                <w:b/>
                <w:color w:val="000000"/>
              </w:rPr>
              <w:t>（一）网络系统维保内容</w:t>
            </w:r>
          </w:p>
          <w:p>
            <w:pPr>
              <w:pStyle w:val="null3"/>
              <w:ind w:firstLine="480"/>
              <w:jc w:val="left"/>
            </w:pPr>
            <w:r>
              <w:rPr>
                <w:rFonts w:ascii="仿宋_GB2312" w:hAnsi="仿宋_GB2312" w:cs="仿宋_GB2312" w:eastAsia="仿宋_GB2312"/>
                <w:sz w:val="24"/>
                <w:color w:val="000000"/>
              </w:rPr>
              <w:t>保障医院内网、外网与设备网的所有网络设备及安全设备；对全院内网、外网和设备网中的网络设备及安全设备提供维保服务；对全院网络平台进行优化；供应商对网络系统在维保期内提供</w:t>
            </w:r>
            <w:r>
              <w:rPr>
                <w:rFonts w:ascii="仿宋_GB2312" w:hAnsi="仿宋_GB2312" w:cs="仿宋_GB2312" w:eastAsia="仿宋_GB2312"/>
                <w:sz w:val="24"/>
                <w:color w:val="000000"/>
              </w:rPr>
              <w:t>4次巡检，保障网络系统正常稳定运行。坏件更换（包括网络单体设备价格小于4000元的设备由供应商负责提供），如网络设备出现故障宕机30分钟无法修复，由供应商提供设备备件替换恢复业务。</w:t>
            </w:r>
          </w:p>
          <w:p>
            <w:pPr>
              <w:pStyle w:val="null3"/>
              <w:ind w:firstLine="482"/>
              <w:jc w:val="left"/>
            </w:pPr>
            <w:r>
              <w:rPr>
                <w:rFonts w:ascii="仿宋_GB2312" w:hAnsi="仿宋_GB2312" w:cs="仿宋_GB2312" w:eastAsia="仿宋_GB2312"/>
                <w:sz w:val="24"/>
                <w:b/>
                <w:color w:val="000000"/>
              </w:rPr>
              <w:t>（二）电话系统维保内容</w:t>
            </w:r>
          </w:p>
          <w:p>
            <w:pPr>
              <w:pStyle w:val="null3"/>
              <w:ind w:firstLine="480"/>
              <w:jc w:val="left"/>
            </w:pPr>
            <w:r>
              <w:rPr>
                <w:rFonts w:ascii="仿宋_GB2312" w:hAnsi="仿宋_GB2312" w:cs="仿宋_GB2312" w:eastAsia="仿宋_GB2312"/>
                <w:sz w:val="24"/>
                <w:color w:val="000000"/>
              </w:rPr>
              <w:t>保障医院对电话系统出现的故障进行处理，配合我方进行电话网络维护，保障电话网络正常稳定运行。供应商对电话系统在维保期内提供</w:t>
            </w:r>
            <w:r>
              <w:rPr>
                <w:rFonts w:ascii="仿宋_GB2312" w:hAnsi="仿宋_GB2312" w:cs="仿宋_GB2312" w:eastAsia="仿宋_GB2312"/>
                <w:sz w:val="24"/>
                <w:color w:val="000000"/>
              </w:rPr>
              <w:t>4次巡检，保障电话系统正常稳定运行。</w:t>
            </w:r>
          </w:p>
          <w:p>
            <w:pPr>
              <w:pStyle w:val="null3"/>
              <w:ind w:firstLine="482"/>
              <w:jc w:val="left"/>
            </w:pPr>
            <w:r>
              <w:rPr>
                <w:rFonts w:ascii="仿宋_GB2312" w:hAnsi="仿宋_GB2312" w:cs="仿宋_GB2312" w:eastAsia="仿宋_GB2312"/>
                <w:sz w:val="24"/>
                <w:b/>
                <w:color w:val="000000"/>
              </w:rPr>
              <w:t>（三）机房系统维保内容</w:t>
            </w:r>
          </w:p>
          <w:p>
            <w:pPr>
              <w:pStyle w:val="null3"/>
              <w:ind w:firstLine="480"/>
              <w:jc w:val="left"/>
            </w:pPr>
            <w:r>
              <w:rPr>
                <w:rFonts w:ascii="仿宋_GB2312" w:hAnsi="仿宋_GB2312" w:cs="仿宋_GB2312" w:eastAsia="仿宋_GB2312"/>
                <w:sz w:val="24"/>
                <w:color w:val="000000"/>
              </w:rPr>
              <w:t>保障医院对机房包括主备机房的精密空调、</w:t>
            </w:r>
            <w:r>
              <w:rPr>
                <w:rFonts w:ascii="仿宋_GB2312" w:hAnsi="仿宋_GB2312" w:cs="仿宋_GB2312" w:eastAsia="仿宋_GB2312"/>
                <w:sz w:val="24"/>
                <w:color w:val="000000"/>
              </w:rPr>
              <w:t>UPS主机、智能精密配电柜、照明系统、动环系统、消防系统所包含设备进行维护保养等工作，保障机房正常运行，机房正常运行才能更有效的保障整个信息系统的运行。供应商对机房系统在维保期内提供4次巡检，保障机房系统正常稳定运行。</w:t>
            </w:r>
          </w:p>
          <w:p>
            <w:pPr>
              <w:pStyle w:val="null3"/>
              <w:ind w:firstLine="482"/>
              <w:jc w:val="left"/>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安防</w:t>
            </w:r>
            <w:r>
              <w:rPr>
                <w:rFonts w:ascii="仿宋_GB2312" w:hAnsi="仿宋_GB2312" w:cs="仿宋_GB2312" w:eastAsia="仿宋_GB2312"/>
                <w:sz w:val="24"/>
                <w:b/>
                <w:color w:val="000000"/>
              </w:rPr>
              <w:t>系统维保内容</w:t>
            </w:r>
          </w:p>
          <w:p>
            <w:pPr>
              <w:pStyle w:val="null3"/>
              <w:ind w:firstLine="480"/>
              <w:jc w:val="left"/>
            </w:pPr>
            <w:r>
              <w:rPr>
                <w:rFonts w:ascii="仿宋_GB2312" w:hAnsi="仿宋_GB2312" w:cs="仿宋_GB2312" w:eastAsia="仿宋_GB2312"/>
                <w:sz w:val="24"/>
                <w:color w:val="000000"/>
              </w:rPr>
              <w:t>保障医院对</w:t>
            </w:r>
            <w:r>
              <w:rPr>
                <w:rFonts w:ascii="仿宋_GB2312" w:hAnsi="仿宋_GB2312" w:cs="仿宋_GB2312" w:eastAsia="仿宋_GB2312"/>
                <w:sz w:val="24"/>
                <w:color w:val="000000"/>
              </w:rPr>
              <w:t>安防</w:t>
            </w:r>
            <w:r>
              <w:rPr>
                <w:rFonts w:ascii="仿宋_GB2312" w:hAnsi="仿宋_GB2312" w:cs="仿宋_GB2312" w:eastAsia="仿宋_GB2312"/>
                <w:sz w:val="24"/>
                <w:color w:val="000000"/>
              </w:rPr>
              <w:t>系统包括硬盘录像机、存储、网络摄像机、出现的故障进行处理和坏件更换（包括</w:t>
            </w:r>
            <w:r>
              <w:rPr>
                <w:rFonts w:ascii="仿宋_GB2312" w:hAnsi="仿宋_GB2312" w:cs="仿宋_GB2312" w:eastAsia="仿宋_GB2312"/>
                <w:sz w:val="24"/>
                <w:color w:val="000000"/>
              </w:rPr>
              <w:t>安防系统</w:t>
            </w:r>
            <w:r>
              <w:rPr>
                <w:rFonts w:ascii="仿宋_GB2312" w:hAnsi="仿宋_GB2312" w:cs="仿宋_GB2312" w:eastAsia="仿宋_GB2312"/>
                <w:sz w:val="24"/>
                <w:color w:val="000000"/>
              </w:rPr>
              <w:t>单体设备价格小于</w:t>
            </w:r>
            <w:r>
              <w:rPr>
                <w:rFonts w:ascii="仿宋_GB2312" w:hAnsi="仿宋_GB2312" w:cs="仿宋_GB2312" w:eastAsia="仿宋_GB2312"/>
                <w:sz w:val="24"/>
                <w:color w:val="000000"/>
              </w:rPr>
              <w:t>2000元与设备总价累计小于50000元的设备由供应商负责提供）等进行</w:t>
            </w:r>
            <w:r>
              <w:rPr>
                <w:rFonts w:ascii="仿宋_GB2312" w:hAnsi="仿宋_GB2312" w:cs="仿宋_GB2312" w:eastAsia="仿宋_GB2312"/>
                <w:sz w:val="24"/>
                <w:color w:val="000000"/>
              </w:rPr>
              <w:t>安防系统</w:t>
            </w:r>
            <w:r>
              <w:rPr>
                <w:rFonts w:ascii="仿宋_GB2312" w:hAnsi="仿宋_GB2312" w:cs="仿宋_GB2312" w:eastAsia="仿宋_GB2312"/>
                <w:sz w:val="24"/>
                <w:color w:val="000000"/>
              </w:rPr>
              <w:t>维护，供应商对</w:t>
            </w:r>
            <w:r>
              <w:rPr>
                <w:rFonts w:ascii="仿宋_GB2312" w:hAnsi="仿宋_GB2312" w:cs="仿宋_GB2312" w:eastAsia="仿宋_GB2312"/>
                <w:sz w:val="24"/>
                <w:color w:val="000000"/>
              </w:rPr>
              <w:t>安防</w:t>
            </w:r>
            <w:r>
              <w:rPr>
                <w:rFonts w:ascii="仿宋_GB2312" w:hAnsi="仿宋_GB2312" w:cs="仿宋_GB2312" w:eastAsia="仿宋_GB2312"/>
                <w:sz w:val="24"/>
                <w:color w:val="000000"/>
              </w:rPr>
              <w:t>系统在维保期内提供</w:t>
            </w:r>
            <w:r>
              <w:rPr>
                <w:rFonts w:ascii="仿宋_GB2312" w:hAnsi="仿宋_GB2312" w:cs="仿宋_GB2312" w:eastAsia="仿宋_GB2312"/>
                <w:sz w:val="24"/>
                <w:color w:val="000000"/>
              </w:rPr>
              <w:t>12次巡检，保障</w:t>
            </w:r>
            <w:r>
              <w:rPr>
                <w:rFonts w:ascii="仿宋_GB2312" w:hAnsi="仿宋_GB2312" w:cs="仿宋_GB2312" w:eastAsia="仿宋_GB2312"/>
                <w:sz w:val="24"/>
                <w:color w:val="000000"/>
              </w:rPr>
              <w:t>安防</w:t>
            </w:r>
            <w:r>
              <w:rPr>
                <w:rFonts w:ascii="仿宋_GB2312" w:hAnsi="仿宋_GB2312" w:cs="仿宋_GB2312" w:eastAsia="仿宋_GB2312"/>
                <w:sz w:val="24"/>
                <w:color w:val="000000"/>
              </w:rPr>
              <w:t>系统正常稳定运行。</w:t>
            </w:r>
          </w:p>
          <w:p>
            <w:pPr>
              <w:pStyle w:val="null3"/>
              <w:ind w:firstLine="480"/>
              <w:jc w:val="left"/>
            </w:pPr>
            <w:r>
              <w:rPr>
                <w:rFonts w:ascii="仿宋_GB2312" w:hAnsi="仿宋_GB2312" w:cs="仿宋_GB2312" w:eastAsia="仿宋_GB2312"/>
                <w:sz w:val="24"/>
                <w:color w:val="000000"/>
              </w:rPr>
              <w:t>供应商必须提供可靠的技术支持，对医院网络系统、电话系统、机房系统及</w:t>
            </w:r>
            <w:r>
              <w:rPr>
                <w:rFonts w:ascii="仿宋_GB2312" w:hAnsi="仿宋_GB2312" w:cs="仿宋_GB2312" w:eastAsia="仿宋_GB2312"/>
                <w:sz w:val="24"/>
                <w:color w:val="000000"/>
              </w:rPr>
              <w:t>安防</w:t>
            </w:r>
            <w:r>
              <w:rPr>
                <w:rFonts w:ascii="仿宋_GB2312" w:hAnsi="仿宋_GB2312" w:cs="仿宋_GB2312" w:eastAsia="仿宋_GB2312"/>
                <w:sz w:val="24"/>
                <w:color w:val="000000"/>
              </w:rPr>
              <w:t>系统做好全面保障，保障医院信息化基础平台的正常运行。</w:t>
            </w:r>
          </w:p>
          <w:p>
            <w:pPr>
              <w:pStyle w:val="null3"/>
              <w:ind w:firstLine="482"/>
              <w:jc w:val="left"/>
            </w:pPr>
            <w:r>
              <w:rPr>
                <w:rFonts w:ascii="仿宋_GB2312" w:hAnsi="仿宋_GB2312" w:cs="仿宋_GB2312" w:eastAsia="仿宋_GB2312"/>
                <w:sz w:val="24"/>
                <w:b/>
                <w:color w:val="000000"/>
              </w:rPr>
              <w:t>（五）业务系统支撑平台私有云等维保内容</w:t>
            </w:r>
          </w:p>
          <w:p>
            <w:pPr>
              <w:pStyle w:val="null3"/>
              <w:ind w:firstLine="480"/>
              <w:jc w:val="left"/>
            </w:pPr>
            <w:r>
              <w:rPr>
                <w:rFonts w:ascii="仿宋_GB2312" w:hAnsi="仿宋_GB2312" w:cs="仿宋_GB2312" w:eastAsia="仿宋_GB2312"/>
                <w:sz w:val="24"/>
                <w:color w:val="000000"/>
              </w:rPr>
              <w:t>维保服务为全年保障型服务，时间要求</w:t>
            </w:r>
            <w:r>
              <w:rPr>
                <w:rFonts w:ascii="仿宋_GB2312" w:hAnsi="仿宋_GB2312" w:cs="仿宋_GB2312" w:eastAsia="仿宋_GB2312"/>
                <w:sz w:val="24"/>
                <w:color w:val="000000"/>
              </w:rPr>
              <w:t>7x24小时，故障10分钟响应，远程处理1小时内排除故障；需现场服务时,1小时内到用户现场，2小时内解决问题恢复业务；其他情况根据医院要求履行服务。根据用户需求，全年不限服务次数，同时提供不限次数的重大节日和重要场合现场保障服务。</w:t>
            </w:r>
          </w:p>
          <w:p>
            <w:pPr>
              <w:pStyle w:val="null3"/>
              <w:ind w:firstLine="482"/>
              <w:jc w:val="left"/>
            </w:pPr>
            <w:r>
              <w:rPr>
                <w:rFonts w:ascii="仿宋_GB2312" w:hAnsi="仿宋_GB2312" w:cs="仿宋_GB2312" w:eastAsia="仿宋_GB2312"/>
                <w:sz w:val="24"/>
                <w:b/>
                <w:color w:val="000000"/>
              </w:rPr>
              <w:t>（六）技术支持和维保服务</w:t>
            </w:r>
          </w:p>
          <w:p>
            <w:pPr>
              <w:pStyle w:val="null3"/>
              <w:ind w:firstLine="480"/>
              <w:jc w:val="left"/>
            </w:pPr>
            <w:r>
              <w:rPr>
                <w:rFonts w:ascii="仿宋_GB2312" w:hAnsi="仿宋_GB2312" w:cs="仿宋_GB2312" w:eastAsia="仿宋_GB2312"/>
                <w:sz w:val="24"/>
                <w:color w:val="000000"/>
              </w:rPr>
              <w:t>技术支持和运维服务是本项目最重要的部分。在运行过程中遇到问题的报告途径及相应办法将被明确设定。在系统正常运行期间，服务供应商对网络系统的运行提供常规的技术服务包括：</w:t>
            </w:r>
          </w:p>
          <w:p>
            <w:pPr>
              <w:pStyle w:val="null3"/>
              <w:ind w:firstLine="480"/>
              <w:jc w:val="left"/>
            </w:pPr>
            <w:r>
              <w:rPr>
                <w:rFonts w:ascii="仿宋_GB2312" w:hAnsi="仿宋_GB2312" w:cs="仿宋_GB2312" w:eastAsia="仿宋_GB2312"/>
                <w:sz w:val="24"/>
                <w:color w:val="000000"/>
              </w:rPr>
              <w:t>1、运行期间正常的定期维护工作</w:t>
            </w:r>
          </w:p>
          <w:p>
            <w:pPr>
              <w:pStyle w:val="null3"/>
              <w:ind w:firstLine="480"/>
              <w:jc w:val="left"/>
            </w:pPr>
            <w:r>
              <w:rPr>
                <w:rFonts w:ascii="仿宋_GB2312" w:hAnsi="仿宋_GB2312" w:cs="仿宋_GB2312" w:eastAsia="仿宋_GB2312"/>
                <w:sz w:val="24"/>
                <w:color w:val="000000"/>
              </w:rPr>
              <w:t>2、运行期间故障的及时响应和修正</w:t>
            </w:r>
          </w:p>
          <w:p>
            <w:pPr>
              <w:pStyle w:val="null3"/>
              <w:ind w:firstLine="480"/>
              <w:jc w:val="left"/>
            </w:pPr>
            <w:r>
              <w:rPr>
                <w:rFonts w:ascii="仿宋_GB2312" w:hAnsi="仿宋_GB2312" w:cs="仿宋_GB2312" w:eastAsia="仿宋_GB2312"/>
                <w:sz w:val="24"/>
                <w:color w:val="000000"/>
              </w:rPr>
              <w:t>3、软硬件系统在扩充功能和更新升级时的技术支持</w:t>
            </w:r>
          </w:p>
          <w:p>
            <w:pPr>
              <w:pStyle w:val="null3"/>
              <w:ind w:firstLine="480"/>
              <w:jc w:val="left"/>
            </w:pPr>
            <w:r>
              <w:rPr>
                <w:rFonts w:ascii="仿宋_GB2312" w:hAnsi="仿宋_GB2312" w:cs="仿宋_GB2312" w:eastAsia="仿宋_GB2312"/>
                <w:sz w:val="24"/>
                <w:color w:val="000000"/>
              </w:rPr>
              <w:t>4、系统在扩建和业务范围增加时的咨询和技术支持</w:t>
            </w:r>
          </w:p>
          <w:p>
            <w:pPr>
              <w:pStyle w:val="null3"/>
              <w:ind w:firstLine="480"/>
              <w:jc w:val="left"/>
            </w:pPr>
            <w:r>
              <w:rPr>
                <w:rFonts w:ascii="仿宋_GB2312" w:hAnsi="仿宋_GB2312" w:cs="仿宋_GB2312" w:eastAsia="仿宋_GB2312"/>
                <w:sz w:val="24"/>
                <w:color w:val="000000"/>
              </w:rPr>
              <w:t>5、系统软、硬件出现的升级、保修和更换等工作。</w:t>
            </w:r>
          </w:p>
          <w:p>
            <w:pPr>
              <w:pStyle w:val="null3"/>
              <w:ind w:firstLine="480"/>
              <w:jc w:val="left"/>
            </w:pPr>
            <w:r>
              <w:rPr>
                <w:rFonts w:ascii="仿宋_GB2312" w:hAnsi="仿宋_GB2312" w:cs="仿宋_GB2312" w:eastAsia="仿宋_GB2312"/>
                <w:sz w:val="24"/>
                <w:color w:val="000000"/>
              </w:rPr>
              <w:t>6、重要时间节点的保障工作。</w:t>
            </w:r>
          </w:p>
          <w:p>
            <w:pPr>
              <w:pStyle w:val="null3"/>
              <w:ind w:firstLine="482"/>
              <w:jc w:val="left"/>
            </w:pPr>
            <w:r>
              <w:rPr>
                <w:rFonts w:ascii="仿宋_GB2312" w:hAnsi="仿宋_GB2312" w:cs="仿宋_GB2312" w:eastAsia="仿宋_GB2312"/>
                <w:sz w:val="24"/>
                <w:b/>
                <w:color w:val="000000"/>
              </w:rPr>
              <w:t>技术支持服务内容</w:t>
            </w:r>
          </w:p>
          <w:p>
            <w:pPr>
              <w:pStyle w:val="null3"/>
              <w:ind w:firstLine="480"/>
              <w:jc w:val="left"/>
            </w:pPr>
            <w:r>
              <w:rPr>
                <w:rFonts w:ascii="仿宋_GB2312" w:hAnsi="仿宋_GB2312" w:cs="仿宋_GB2312" w:eastAsia="仿宋_GB2312"/>
                <w:sz w:val="24"/>
                <w:color w:val="000000"/>
              </w:rPr>
              <w:t>1、系统功能完善</w:t>
            </w:r>
          </w:p>
          <w:p>
            <w:pPr>
              <w:pStyle w:val="null3"/>
              <w:ind w:firstLine="480"/>
              <w:jc w:val="left"/>
            </w:pPr>
            <w:r>
              <w:rPr>
                <w:rFonts w:ascii="仿宋_GB2312" w:hAnsi="仿宋_GB2312" w:cs="仿宋_GB2312" w:eastAsia="仿宋_GB2312"/>
                <w:sz w:val="24"/>
                <w:color w:val="000000"/>
              </w:rPr>
              <w:t>2、系统平台（软硬件）维护</w:t>
            </w:r>
          </w:p>
          <w:p>
            <w:pPr>
              <w:pStyle w:val="null3"/>
              <w:ind w:firstLine="480"/>
              <w:jc w:val="left"/>
            </w:pPr>
            <w:r>
              <w:rPr>
                <w:rFonts w:ascii="仿宋_GB2312" w:hAnsi="仿宋_GB2312" w:cs="仿宋_GB2312" w:eastAsia="仿宋_GB2312"/>
                <w:sz w:val="24"/>
                <w:color w:val="000000"/>
              </w:rPr>
              <w:t>3、系统运行分析服务；</w:t>
            </w:r>
          </w:p>
          <w:p>
            <w:pPr>
              <w:pStyle w:val="null3"/>
              <w:ind w:firstLine="482"/>
              <w:jc w:val="left"/>
            </w:pPr>
            <w:r>
              <w:rPr>
                <w:rFonts w:ascii="仿宋_GB2312" w:hAnsi="仿宋_GB2312" w:cs="仿宋_GB2312" w:eastAsia="仿宋_GB2312"/>
                <w:sz w:val="24"/>
                <w:b/>
                <w:color w:val="000000"/>
              </w:rPr>
              <w:t>技术支持和运维服务方式</w:t>
            </w:r>
          </w:p>
          <w:p>
            <w:pPr>
              <w:pStyle w:val="null3"/>
              <w:ind w:firstLine="480"/>
              <w:jc w:val="left"/>
            </w:pPr>
            <w:r>
              <w:rPr>
                <w:rFonts w:ascii="仿宋_GB2312" w:hAnsi="仿宋_GB2312" w:cs="仿宋_GB2312" w:eastAsia="仿宋_GB2312"/>
                <w:sz w:val="24"/>
                <w:color w:val="000000"/>
              </w:rPr>
              <w:t>1、多联络渠道（电话、即时通讯、传真、邮件）</w:t>
            </w:r>
          </w:p>
          <w:p>
            <w:pPr>
              <w:pStyle w:val="null3"/>
              <w:ind w:firstLine="480"/>
              <w:jc w:val="left"/>
            </w:pPr>
            <w:r>
              <w:rPr>
                <w:rFonts w:ascii="仿宋_GB2312" w:hAnsi="仿宋_GB2312" w:cs="仿宋_GB2312" w:eastAsia="仿宋_GB2312"/>
                <w:sz w:val="24"/>
                <w:color w:val="000000"/>
              </w:rPr>
              <w:t>2、技术咨询、电话支持、在线技术支持</w:t>
            </w:r>
          </w:p>
          <w:p>
            <w:pPr>
              <w:pStyle w:val="null3"/>
              <w:ind w:firstLine="480"/>
              <w:jc w:val="left"/>
            </w:pPr>
            <w:r>
              <w:rPr>
                <w:rFonts w:ascii="仿宋_GB2312" w:hAnsi="仿宋_GB2312" w:cs="仿宋_GB2312" w:eastAsia="仿宋_GB2312"/>
                <w:sz w:val="24"/>
                <w:color w:val="000000"/>
              </w:rPr>
              <w:t>3、现场技术支持（技术督导、技术培训）</w:t>
            </w:r>
          </w:p>
          <w:p>
            <w:pPr>
              <w:pStyle w:val="null3"/>
              <w:ind w:firstLine="480"/>
              <w:jc w:val="left"/>
            </w:pPr>
            <w:r>
              <w:rPr>
                <w:rFonts w:ascii="仿宋_GB2312" w:hAnsi="仿宋_GB2312" w:cs="仿宋_GB2312" w:eastAsia="仿宋_GB2312"/>
                <w:sz w:val="24"/>
                <w:color w:val="000000"/>
              </w:rPr>
              <w:t>4、现场运维（状态检测/检查、升级、排障、优化、运行分析）</w:t>
            </w:r>
          </w:p>
          <w:p>
            <w:pPr>
              <w:pStyle w:val="null3"/>
              <w:ind w:firstLine="480"/>
              <w:jc w:val="left"/>
            </w:pPr>
            <w:r>
              <w:rPr>
                <w:rFonts w:ascii="仿宋_GB2312" w:hAnsi="仿宋_GB2312" w:cs="仿宋_GB2312" w:eastAsia="仿宋_GB2312"/>
                <w:sz w:val="24"/>
                <w:color w:val="000000"/>
              </w:rPr>
              <w:t>5、主动服务（定期检测、主动升级、技术培训、技术研讨、服务报告）</w:t>
            </w:r>
          </w:p>
          <w:p>
            <w:pPr>
              <w:pStyle w:val="null3"/>
              <w:ind w:firstLine="482"/>
              <w:jc w:val="left"/>
            </w:pPr>
            <w:r>
              <w:rPr>
                <w:rFonts w:ascii="仿宋_GB2312" w:hAnsi="仿宋_GB2312" w:cs="仿宋_GB2312" w:eastAsia="仿宋_GB2312"/>
                <w:sz w:val="24"/>
                <w:b/>
                <w:color w:val="000000"/>
              </w:rPr>
              <w:t>故障响应</w:t>
            </w:r>
          </w:p>
          <w:p>
            <w:pPr>
              <w:pStyle w:val="null3"/>
              <w:ind w:firstLine="480"/>
              <w:jc w:val="left"/>
            </w:pPr>
            <w:r>
              <w:rPr>
                <w:rFonts w:ascii="仿宋_GB2312" w:hAnsi="仿宋_GB2312" w:cs="仿宋_GB2312" w:eastAsia="仿宋_GB2312"/>
                <w:sz w:val="24"/>
                <w:color w:val="000000"/>
              </w:rPr>
              <w:t>故障严重程度的定义</w:t>
            </w:r>
          </w:p>
          <w:p>
            <w:pPr>
              <w:pStyle w:val="null3"/>
              <w:ind w:firstLine="480"/>
              <w:jc w:val="left"/>
            </w:pPr>
            <w:r>
              <w:rPr>
                <w:rFonts w:ascii="仿宋_GB2312" w:hAnsi="仿宋_GB2312" w:cs="仿宋_GB2312" w:eastAsia="仿宋_GB2312"/>
                <w:sz w:val="24"/>
                <w:color w:val="000000"/>
              </w:rPr>
              <w:t>故障级别标准的恰当定义和履行，将保证我方万分紧急的请求能在一大堆并不是特别紧急的请求中被服务供应商立即识别出来，并予以优先处理。需要按照实际情况评价客户系统的故障情况，不真实的评价将干扰工程师对故障的判断。</w:t>
            </w:r>
          </w:p>
          <w:tbl>
            <w:tblPr>
              <w:tblInd w:type="dxa" w:w="120"/>
              <w:tblBorders>
                <w:top w:val="none" w:color="000000" w:sz="4"/>
                <w:left w:val="none" w:color="000000" w:sz="4"/>
                <w:bottom w:val="none" w:color="000000" w:sz="4"/>
                <w:right w:val="none" w:color="000000" w:sz="4"/>
                <w:insideH w:val="none"/>
                <w:insideV w:val="none"/>
              </w:tblBorders>
            </w:tblPr>
            <w:tblGrid>
              <w:gridCol w:w="839"/>
              <w:gridCol w:w="1713"/>
            </w:tblGrid>
            <w:tr>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4"/>
                      <w:b/>
                      <w:color w:val="000000"/>
                    </w:rPr>
                    <w:t>故障级别</w:t>
                  </w:r>
                </w:p>
              </w:tc>
              <w:tc>
                <w:tcPr>
                  <w:tcW w:type="dxa" w:w="1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4"/>
                      <w:b/>
                      <w:color w:val="000000"/>
                    </w:rPr>
                    <w:t>故障表现</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级别</w:t>
                  </w:r>
                  <w:r>
                    <w:rPr>
                      <w:rFonts w:ascii="仿宋_GB2312" w:hAnsi="仿宋_GB2312" w:cs="仿宋_GB2312" w:eastAsia="仿宋_GB2312"/>
                      <w:sz w:val="24"/>
                      <w:color w:val="000000"/>
                    </w:rPr>
                    <w:t>1－非常严重</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故障引起系统服务完全停止，系统瘫痪，业务不能开展。级别</w:t>
                  </w:r>
                  <w:r>
                    <w:rPr>
                      <w:rFonts w:ascii="仿宋_GB2312" w:hAnsi="仿宋_GB2312" w:cs="仿宋_GB2312" w:eastAsia="仿宋_GB2312"/>
                      <w:sz w:val="24"/>
                      <w:color w:val="000000"/>
                    </w:rPr>
                    <w:t>1的故障有以下特征中的一个或多个：</w:t>
                  </w:r>
                </w:p>
                <w:p>
                  <w:pPr>
                    <w:pStyle w:val="null3"/>
                    <w:jc w:val="left"/>
                  </w:pPr>
                  <w:r>
                    <w:rPr>
                      <w:rFonts w:ascii="仿宋_GB2312" w:hAnsi="仿宋_GB2312" w:cs="仿宋_GB2312" w:eastAsia="仿宋_GB2312"/>
                      <w:sz w:val="24"/>
                      <w:color w:val="000000"/>
                    </w:rPr>
                    <w:t>许多关键功能无法使用；</w:t>
                  </w:r>
                </w:p>
                <w:p>
                  <w:pPr>
                    <w:pStyle w:val="null3"/>
                    <w:jc w:val="left"/>
                  </w:pPr>
                  <w:r>
                    <w:rPr>
                      <w:rFonts w:ascii="仿宋_GB2312" w:hAnsi="仿宋_GB2312" w:cs="仿宋_GB2312" w:eastAsia="仿宋_GB2312"/>
                      <w:sz w:val="24"/>
                      <w:color w:val="000000"/>
                    </w:rPr>
                    <w:t>系统挂起，包括进程无限等待，或者是性能下降到引起不可理智地等待资源，就象系统停机一样；</w:t>
                  </w:r>
                </w:p>
                <w:p>
                  <w:pPr>
                    <w:pStyle w:val="null3"/>
                    <w:jc w:val="left"/>
                  </w:pPr>
                  <w:r>
                    <w:rPr>
                      <w:rFonts w:ascii="仿宋_GB2312" w:hAnsi="仿宋_GB2312" w:cs="仿宋_GB2312" w:eastAsia="仿宋_GB2312"/>
                      <w:sz w:val="24"/>
                      <w:color w:val="000000"/>
                    </w:rPr>
                    <w:t>系统统周期性地死机，数据库进程或后台进程死掉，重启系统后仍然死掉。</w:t>
                  </w:r>
                </w:p>
                <w:p>
                  <w:pPr>
                    <w:pStyle w:val="null3"/>
                    <w:jc w:val="left"/>
                  </w:pPr>
                  <w:r>
                    <w:rPr>
                      <w:rFonts w:ascii="仿宋_GB2312" w:hAnsi="仿宋_GB2312" w:cs="仿宋_GB2312" w:eastAsia="仿宋_GB2312"/>
                      <w:sz w:val="24"/>
                      <w:color w:val="000000"/>
                    </w:rPr>
                    <w:t>硬件设备完全损坏，不能运行。</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级别</w:t>
                  </w:r>
                  <w:r>
                    <w:rPr>
                      <w:rFonts w:ascii="仿宋_GB2312" w:hAnsi="仿宋_GB2312" w:cs="仿宋_GB2312" w:eastAsia="仿宋_GB2312"/>
                      <w:sz w:val="24"/>
                      <w:color w:val="000000"/>
                    </w:rPr>
                    <w:t>2－严重</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故障导致系统停止服务，丧失多种功能，但是系统在一个严格限制的条件下可以运行。</w:t>
                  </w:r>
                </w:p>
                <w:p>
                  <w:pPr>
                    <w:pStyle w:val="null3"/>
                    <w:jc w:val="left"/>
                  </w:pPr>
                  <w:r>
                    <w:rPr>
                      <w:rFonts w:ascii="仿宋_GB2312" w:hAnsi="仿宋_GB2312" w:cs="仿宋_GB2312" w:eastAsia="仿宋_GB2312"/>
                      <w:sz w:val="24"/>
                      <w:color w:val="000000"/>
                    </w:rPr>
                    <w:t>硬件设备有部件损坏，运行性能较大程度降低。</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级别</w:t>
                  </w:r>
                  <w:r>
                    <w:rPr>
                      <w:rFonts w:ascii="仿宋_GB2312" w:hAnsi="仿宋_GB2312" w:cs="仿宋_GB2312" w:eastAsia="仿宋_GB2312"/>
                      <w:sz w:val="24"/>
                      <w:color w:val="000000"/>
                    </w:rPr>
                    <w:t>3－对业务有影响</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故障导致部分停止服务，丧失一些功能，给系统的使用带来了不方便，但不影响业务开展。</w:t>
                  </w:r>
                </w:p>
                <w:p>
                  <w:pPr>
                    <w:pStyle w:val="null3"/>
                    <w:jc w:val="left"/>
                  </w:pPr>
                  <w:r>
                    <w:rPr>
                      <w:rFonts w:ascii="仿宋_GB2312" w:hAnsi="仿宋_GB2312" w:cs="仿宋_GB2312" w:eastAsia="仿宋_GB2312"/>
                      <w:sz w:val="24"/>
                      <w:color w:val="000000"/>
                    </w:rPr>
                    <w:t>硬件设备有部件损坏，但有冗余件替代运行，运行性能部分降低。</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级别</w:t>
                  </w:r>
                  <w:r>
                    <w:rPr>
                      <w:rFonts w:ascii="仿宋_GB2312" w:hAnsi="仿宋_GB2312" w:cs="仿宋_GB2312" w:eastAsia="仿宋_GB2312"/>
                      <w:sz w:val="24"/>
                      <w:color w:val="000000"/>
                    </w:rPr>
                    <w:t>4－对业务没有影响</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对系统服务没有影响。是小的错误，不正确的操作或文档错误，不会妨碍系统运行。</w:t>
                  </w:r>
                </w:p>
                <w:p>
                  <w:pPr>
                    <w:pStyle w:val="null3"/>
                    <w:jc w:val="left"/>
                  </w:pPr>
                  <w:r>
                    <w:rPr>
                      <w:rFonts w:ascii="仿宋_GB2312" w:hAnsi="仿宋_GB2312" w:cs="仿宋_GB2312" w:eastAsia="仿宋_GB2312"/>
                      <w:sz w:val="24"/>
                      <w:color w:val="000000"/>
                    </w:rPr>
                    <w:t>硬件设备有部件损坏，但有冗余件替代运行，运行性能没有降低。</w:t>
                  </w:r>
                </w:p>
              </w:tc>
            </w:tr>
          </w:tbl>
          <w:p>
            <w:pPr>
              <w:pStyle w:val="null3"/>
              <w:ind w:firstLine="482"/>
              <w:jc w:val="left"/>
            </w:pPr>
            <w:r>
              <w:rPr>
                <w:rFonts w:ascii="仿宋_GB2312" w:hAnsi="仿宋_GB2312" w:cs="仿宋_GB2312" w:eastAsia="仿宋_GB2312"/>
                <w:sz w:val="24"/>
                <w:b/>
                <w:color w:val="000000"/>
              </w:rPr>
              <w:t>服务请求响应时间</w:t>
            </w:r>
          </w:p>
          <w:p>
            <w:pPr>
              <w:pStyle w:val="null3"/>
              <w:ind w:firstLine="480"/>
              <w:jc w:val="left"/>
            </w:pPr>
            <w:r>
              <w:rPr>
                <w:rFonts w:ascii="仿宋_GB2312" w:hAnsi="仿宋_GB2312" w:cs="仿宋_GB2312" w:eastAsia="仿宋_GB2312"/>
                <w:sz w:val="24"/>
                <w:color w:val="000000"/>
              </w:rPr>
              <w:t>针对不同严重级别的请求制定的服务响应标准：</w:t>
            </w:r>
          </w:p>
          <w:tbl>
            <w:tblPr>
              <w:tblInd w:type="dxa" w:w="120"/>
              <w:tblBorders>
                <w:top w:val="none" w:color="000000" w:sz="4"/>
                <w:left w:val="none" w:color="000000" w:sz="4"/>
                <w:bottom w:val="none" w:color="000000" w:sz="4"/>
                <w:right w:val="none" w:color="000000" w:sz="4"/>
                <w:insideH w:val="none"/>
                <w:insideV w:val="none"/>
              </w:tblBorders>
            </w:tblPr>
            <w:tblGrid>
              <w:gridCol w:w="513"/>
              <w:gridCol w:w="2040"/>
            </w:tblGrid>
            <w:tr>
              <w:tc>
                <w:tcPr>
                  <w:tcW w:type="dxa" w:w="513"/>
                  <w:tcBorders>
                    <w:top w:val="single" w:color="000000" w:sz="8"/>
                    <w:left w:val="single" w:color="000000" w:sz="8"/>
                    <w:bottom w:val="single" w:color="000000" w:sz="4"/>
                    <w:right w:val="none" w:color="000000" w:sz="4"/>
                  </w:tcBorders>
                  <w:shd w:fill="7F7F7F"/>
                  <w:tcMar>
                    <w:top w:type="dxa" w:w="0"/>
                    <w:left w:type="dxa" w:w="90"/>
                    <w:bottom w:type="dxa" w:w="0"/>
                    <w:right w:type="dxa" w:w="90"/>
                  </w:tcMar>
                  <w:vAlign w:val="top"/>
                </w:tcPr>
                <w:p>
                  <w:pPr>
                    <w:pStyle w:val="null3"/>
                    <w:jc w:val="left"/>
                  </w:pPr>
                  <w:r>
                    <w:rPr>
                      <w:rFonts w:ascii="仿宋_GB2312" w:hAnsi="仿宋_GB2312" w:cs="仿宋_GB2312" w:eastAsia="仿宋_GB2312"/>
                      <w:sz w:val="24"/>
                      <w:b/>
                      <w:color w:val="000000"/>
                    </w:rPr>
                    <w:t>严重级别</w:t>
                  </w:r>
                </w:p>
              </w:tc>
              <w:tc>
                <w:tcPr>
                  <w:tcW w:type="dxa" w:w="2040"/>
                  <w:tcBorders>
                    <w:top w:val="single" w:color="000000" w:sz="8"/>
                    <w:left w:val="single" w:color="000000" w:sz="4"/>
                    <w:bottom w:val="single" w:color="000000" w:sz="4"/>
                    <w:right w:val="single" w:color="000000" w:sz="8"/>
                  </w:tcBorders>
                  <w:shd w:fill="7F7F7F"/>
                  <w:tcMar>
                    <w:top w:type="dxa" w:w="0"/>
                    <w:left w:type="dxa" w:w="90"/>
                    <w:bottom w:type="dxa" w:w="0"/>
                    <w:right w:type="dxa" w:w="90"/>
                  </w:tcMar>
                  <w:vAlign w:val="top"/>
                </w:tcPr>
                <w:p>
                  <w:pPr>
                    <w:pStyle w:val="null3"/>
                    <w:ind w:firstLine="482"/>
                    <w:jc w:val="left"/>
                  </w:pPr>
                  <w:r>
                    <w:rPr>
                      <w:rFonts w:ascii="仿宋_GB2312" w:hAnsi="仿宋_GB2312" w:cs="仿宋_GB2312" w:eastAsia="仿宋_GB2312"/>
                      <w:sz w:val="24"/>
                      <w:b/>
                      <w:color w:val="000000"/>
                    </w:rPr>
                    <w:t>响应时间</w:t>
                  </w:r>
                </w:p>
              </w:tc>
            </w:tr>
            <w:tr>
              <w:tc>
                <w:tcPr>
                  <w:tcW w:type="dxa" w:w="513"/>
                  <w:tcBorders>
                    <w:top w:val="none" w:color="000000" w:sz="4"/>
                    <w:left w:val="single" w:color="000000" w:sz="8"/>
                    <w:bottom w:val="single" w:color="000000" w:sz="4"/>
                    <w:right w:val="none" w:color="000000" w:sz="4"/>
                  </w:tcBorders>
                  <w:tcMar>
                    <w:top w:type="dxa" w:w="0"/>
                    <w:left w:type="dxa" w:w="90"/>
                    <w:bottom w:type="dxa" w:w="0"/>
                    <w:right w:type="dxa" w:w="90"/>
                  </w:tcMar>
                  <w:vAlign w:val="top"/>
                </w:tcPr>
                <w:p>
                  <w:pPr>
                    <w:pStyle w:val="null3"/>
                    <w:ind w:firstLine="480"/>
                    <w:jc w:val="left"/>
                  </w:pPr>
                  <w:r>
                    <w:rPr>
                      <w:rFonts w:ascii="仿宋_GB2312" w:hAnsi="仿宋_GB2312" w:cs="仿宋_GB2312" w:eastAsia="仿宋_GB2312"/>
                      <w:sz w:val="24"/>
                      <w:color w:val="000000"/>
                    </w:rPr>
                    <w:t>1</w:t>
                  </w:r>
                </w:p>
              </w:tc>
              <w:tc>
                <w:tcPr>
                  <w:tcW w:type="dxa" w:w="2040"/>
                  <w:tcBorders>
                    <w:top w:val="none" w:color="000000" w:sz="4"/>
                    <w:left w:val="single" w:color="000000" w:sz="4"/>
                    <w:bottom w:val="single" w:color="000000" w:sz="4"/>
                    <w:right w:val="single" w:color="000000" w:sz="8"/>
                  </w:tcBorders>
                  <w:tcMar>
                    <w:top w:type="dxa" w:w="0"/>
                    <w:left w:type="dxa" w:w="90"/>
                    <w:bottom w:type="dxa" w:w="0"/>
                    <w:right w:type="dxa" w:w="90"/>
                  </w:tcMar>
                  <w:vAlign w:val="top"/>
                </w:tcPr>
                <w:p>
                  <w:pPr>
                    <w:pStyle w:val="null3"/>
                    <w:ind w:firstLine="480"/>
                    <w:jc w:val="left"/>
                  </w:pPr>
                  <w:r>
                    <w:rPr>
                      <w:rFonts w:ascii="仿宋_GB2312" w:hAnsi="仿宋_GB2312" w:cs="仿宋_GB2312" w:eastAsia="仿宋_GB2312"/>
                      <w:sz w:val="24"/>
                      <w:color w:val="000000"/>
                    </w:rPr>
                    <w:t>10分钟电话响应，1小时现场响应</w:t>
                  </w:r>
                </w:p>
              </w:tc>
            </w:tr>
            <w:tr>
              <w:tc>
                <w:tcPr>
                  <w:tcW w:type="dxa" w:w="513"/>
                  <w:tcBorders>
                    <w:top w:val="none" w:color="000000" w:sz="4"/>
                    <w:left w:val="single" w:color="000000" w:sz="8"/>
                    <w:bottom w:val="single" w:color="000000" w:sz="4"/>
                    <w:right w:val="none" w:color="000000" w:sz="4"/>
                  </w:tcBorders>
                  <w:tcMar>
                    <w:top w:type="dxa" w:w="0"/>
                    <w:left w:type="dxa" w:w="90"/>
                    <w:bottom w:type="dxa" w:w="0"/>
                    <w:right w:type="dxa" w:w="90"/>
                  </w:tcMar>
                  <w:vAlign w:val="top"/>
                </w:tcPr>
                <w:p>
                  <w:pPr>
                    <w:pStyle w:val="null3"/>
                    <w:ind w:firstLine="480"/>
                    <w:jc w:val="left"/>
                  </w:pPr>
                  <w:r>
                    <w:rPr>
                      <w:rFonts w:ascii="仿宋_GB2312" w:hAnsi="仿宋_GB2312" w:cs="仿宋_GB2312" w:eastAsia="仿宋_GB2312"/>
                      <w:sz w:val="24"/>
                      <w:color w:val="000000"/>
                    </w:rPr>
                    <w:t>2</w:t>
                  </w:r>
                </w:p>
              </w:tc>
              <w:tc>
                <w:tcPr>
                  <w:tcW w:type="dxa" w:w="2040"/>
                  <w:tcBorders>
                    <w:top w:val="none" w:color="000000" w:sz="4"/>
                    <w:left w:val="single" w:color="000000" w:sz="4"/>
                    <w:bottom w:val="single" w:color="000000" w:sz="4"/>
                    <w:right w:val="single" w:color="000000" w:sz="8"/>
                  </w:tcBorders>
                  <w:tcMar>
                    <w:top w:type="dxa" w:w="0"/>
                    <w:left w:type="dxa" w:w="90"/>
                    <w:bottom w:type="dxa" w:w="0"/>
                    <w:right w:type="dxa" w:w="90"/>
                  </w:tcMar>
                  <w:vAlign w:val="top"/>
                </w:tcPr>
                <w:p>
                  <w:pPr>
                    <w:pStyle w:val="null3"/>
                    <w:ind w:firstLine="480"/>
                    <w:jc w:val="left"/>
                  </w:pPr>
                  <w:r>
                    <w:rPr>
                      <w:rFonts w:ascii="仿宋_GB2312" w:hAnsi="仿宋_GB2312" w:cs="仿宋_GB2312" w:eastAsia="仿宋_GB2312"/>
                      <w:sz w:val="24"/>
                      <w:color w:val="000000"/>
                    </w:rPr>
                    <w:t>10分钟电话响应，2小时现场响应</w:t>
                  </w:r>
                </w:p>
              </w:tc>
            </w:tr>
            <w:tr>
              <w:tc>
                <w:tcPr>
                  <w:tcW w:type="dxa" w:w="513"/>
                  <w:tcBorders>
                    <w:top w:val="none" w:color="000000" w:sz="4"/>
                    <w:left w:val="single" w:color="000000" w:sz="8"/>
                    <w:bottom w:val="single" w:color="000000" w:sz="4"/>
                    <w:right w:val="none" w:color="000000" w:sz="4"/>
                  </w:tcBorders>
                  <w:tcMar>
                    <w:top w:type="dxa" w:w="0"/>
                    <w:left w:type="dxa" w:w="90"/>
                    <w:bottom w:type="dxa" w:w="0"/>
                    <w:right w:type="dxa" w:w="90"/>
                  </w:tcMar>
                  <w:vAlign w:val="top"/>
                </w:tcPr>
                <w:p>
                  <w:pPr>
                    <w:pStyle w:val="null3"/>
                    <w:ind w:firstLine="480"/>
                    <w:jc w:val="left"/>
                  </w:pPr>
                  <w:r>
                    <w:rPr>
                      <w:rFonts w:ascii="仿宋_GB2312" w:hAnsi="仿宋_GB2312" w:cs="仿宋_GB2312" w:eastAsia="仿宋_GB2312"/>
                      <w:sz w:val="24"/>
                      <w:color w:val="000000"/>
                    </w:rPr>
                    <w:t>3</w:t>
                  </w:r>
                </w:p>
              </w:tc>
              <w:tc>
                <w:tcPr>
                  <w:tcW w:type="dxa" w:w="2040"/>
                  <w:tcBorders>
                    <w:top w:val="none" w:color="000000" w:sz="4"/>
                    <w:left w:val="single" w:color="000000" w:sz="4"/>
                    <w:bottom w:val="single" w:color="000000" w:sz="4"/>
                    <w:right w:val="single" w:color="000000" w:sz="8"/>
                  </w:tcBorders>
                  <w:tcMar>
                    <w:top w:type="dxa" w:w="0"/>
                    <w:left w:type="dxa" w:w="90"/>
                    <w:bottom w:type="dxa" w:w="0"/>
                    <w:right w:type="dxa" w:w="90"/>
                  </w:tcMar>
                  <w:vAlign w:val="top"/>
                </w:tcPr>
                <w:p>
                  <w:pPr>
                    <w:pStyle w:val="null3"/>
                    <w:ind w:firstLine="480"/>
                    <w:jc w:val="left"/>
                  </w:pPr>
                  <w:r>
                    <w:rPr>
                      <w:rFonts w:ascii="仿宋_GB2312" w:hAnsi="仿宋_GB2312" w:cs="仿宋_GB2312" w:eastAsia="仿宋_GB2312"/>
                      <w:sz w:val="24"/>
                      <w:color w:val="000000"/>
                    </w:rPr>
                    <w:t>10分钟电话响应，4小时现场响应</w:t>
                  </w:r>
                </w:p>
              </w:tc>
            </w:tr>
            <w:tr>
              <w:tc>
                <w:tcPr>
                  <w:tcW w:type="dxa" w:w="513"/>
                  <w:tcBorders>
                    <w:top w:val="none" w:color="000000" w:sz="4"/>
                    <w:left w:val="single" w:color="000000" w:sz="8"/>
                    <w:bottom w:val="single" w:color="000000" w:sz="8"/>
                    <w:right w:val="none" w:color="000000" w:sz="4"/>
                  </w:tcBorders>
                  <w:tcMar>
                    <w:top w:type="dxa" w:w="0"/>
                    <w:left w:type="dxa" w:w="90"/>
                    <w:bottom w:type="dxa" w:w="0"/>
                    <w:right w:type="dxa" w:w="90"/>
                  </w:tcMar>
                  <w:vAlign w:val="top"/>
                </w:tcPr>
                <w:p>
                  <w:pPr>
                    <w:pStyle w:val="null3"/>
                    <w:ind w:firstLine="480"/>
                    <w:jc w:val="left"/>
                  </w:pPr>
                  <w:r>
                    <w:rPr>
                      <w:rFonts w:ascii="仿宋_GB2312" w:hAnsi="仿宋_GB2312" w:cs="仿宋_GB2312" w:eastAsia="仿宋_GB2312"/>
                      <w:sz w:val="24"/>
                      <w:color w:val="000000"/>
                    </w:rPr>
                    <w:t>4</w:t>
                  </w:r>
                </w:p>
              </w:tc>
              <w:tc>
                <w:tcPr>
                  <w:tcW w:type="dxa" w:w="2040"/>
                  <w:tcBorders>
                    <w:top w:val="none" w:color="000000" w:sz="4"/>
                    <w:left w:val="single" w:color="000000" w:sz="4"/>
                    <w:bottom w:val="single" w:color="000000" w:sz="8"/>
                    <w:right w:val="single" w:color="000000" w:sz="8"/>
                  </w:tcBorders>
                  <w:tcMar>
                    <w:top w:type="dxa" w:w="0"/>
                    <w:left w:type="dxa" w:w="90"/>
                    <w:bottom w:type="dxa" w:w="0"/>
                    <w:right w:type="dxa" w:w="90"/>
                  </w:tcMar>
                  <w:vAlign w:val="top"/>
                </w:tcPr>
                <w:p>
                  <w:pPr>
                    <w:pStyle w:val="null3"/>
                    <w:ind w:firstLine="480"/>
                    <w:jc w:val="left"/>
                  </w:pPr>
                  <w:r>
                    <w:rPr>
                      <w:rFonts w:ascii="仿宋_GB2312" w:hAnsi="仿宋_GB2312" w:cs="仿宋_GB2312" w:eastAsia="仿宋_GB2312"/>
                      <w:sz w:val="24"/>
                      <w:color w:val="000000"/>
                    </w:rPr>
                    <w:t>20分钟电话响应，8小时现场响应</w:t>
                  </w:r>
                </w:p>
              </w:tc>
            </w:tr>
          </w:tbl>
          <w:p>
            <w:pPr>
              <w:pStyle w:val="null3"/>
              <w:ind w:firstLine="506"/>
              <w:jc w:val="left"/>
            </w:pPr>
            <w:r>
              <w:rPr>
                <w:rFonts w:ascii="仿宋_GB2312" w:hAnsi="仿宋_GB2312" w:cs="仿宋_GB2312" w:eastAsia="仿宋_GB2312"/>
                <w:sz w:val="24"/>
                <w:color w:val="000000"/>
              </w:rPr>
              <w:t>相应请求包括的服务内容：</w:t>
            </w:r>
          </w:p>
          <w:p>
            <w:pPr>
              <w:pStyle w:val="null3"/>
              <w:numPr>
                <w:ilvl w:val="0"/>
                <w:numId w:val="1"/>
              </w:numPr>
              <w:jc w:val="left"/>
            </w:pPr>
            <w:r>
              <w:rPr>
                <w:rFonts w:ascii="仿宋_GB2312" w:hAnsi="仿宋_GB2312" w:cs="仿宋_GB2312" w:eastAsia="仿宋_GB2312"/>
                <w:sz w:val="24"/>
                <w:color w:val="000000"/>
              </w:rPr>
              <w:t>最终解决方案的提供，解决问题和故障后结束请求；</w:t>
            </w:r>
          </w:p>
          <w:p>
            <w:pPr>
              <w:pStyle w:val="null3"/>
              <w:numPr>
                <w:ilvl w:val="0"/>
                <w:numId w:val="1"/>
              </w:numPr>
              <w:jc w:val="left"/>
            </w:pPr>
            <w:r>
              <w:rPr>
                <w:rFonts w:ascii="仿宋_GB2312" w:hAnsi="仿宋_GB2312" w:cs="仿宋_GB2312" w:eastAsia="仿宋_GB2312"/>
                <w:sz w:val="24"/>
                <w:color w:val="000000"/>
              </w:rPr>
              <w:t>解决方案的建议，未结束请求；</w:t>
            </w:r>
          </w:p>
          <w:p>
            <w:pPr>
              <w:pStyle w:val="null3"/>
              <w:numPr>
                <w:ilvl w:val="0"/>
                <w:numId w:val="1"/>
              </w:numPr>
              <w:jc w:val="left"/>
            </w:pPr>
            <w:r>
              <w:rPr>
                <w:rFonts w:ascii="仿宋_GB2312" w:hAnsi="仿宋_GB2312" w:cs="仿宋_GB2312" w:eastAsia="仿宋_GB2312"/>
                <w:sz w:val="24"/>
                <w:color w:val="000000"/>
              </w:rPr>
              <w:t>告知我方服务供应商何时准备采取什么行动解决他的问题；</w:t>
            </w:r>
          </w:p>
          <w:p>
            <w:pPr>
              <w:pStyle w:val="null3"/>
              <w:numPr>
                <w:ilvl w:val="0"/>
                <w:numId w:val="1"/>
              </w:numPr>
              <w:jc w:val="left"/>
            </w:pPr>
            <w:r>
              <w:rPr>
                <w:rFonts w:ascii="仿宋_GB2312" w:hAnsi="仿宋_GB2312" w:cs="仿宋_GB2312" w:eastAsia="仿宋_GB2312"/>
                <w:sz w:val="24"/>
                <w:color w:val="000000"/>
              </w:rPr>
              <w:t>迄今为止请求的处理结果；</w:t>
            </w:r>
          </w:p>
          <w:p>
            <w:pPr>
              <w:pStyle w:val="null3"/>
              <w:numPr>
                <w:ilvl w:val="0"/>
                <w:numId w:val="1"/>
              </w:numPr>
              <w:jc w:val="left"/>
            </w:pPr>
            <w:r>
              <w:rPr>
                <w:rFonts w:ascii="仿宋_GB2312" w:hAnsi="仿宋_GB2312" w:cs="仿宋_GB2312" w:eastAsia="仿宋_GB2312"/>
                <w:sz w:val="24"/>
                <w:color w:val="000000"/>
              </w:rPr>
              <w:t>要求获取更多的信息。</w:t>
            </w:r>
          </w:p>
          <w:p>
            <w:pPr>
              <w:pStyle w:val="null3"/>
              <w:numPr>
                <w:ilvl w:val="0"/>
                <w:numId w:val="1"/>
              </w:numPr>
              <w:jc w:val="left"/>
            </w:pPr>
            <w:r>
              <w:rPr>
                <w:rFonts w:ascii="仿宋_GB2312" w:hAnsi="仿宋_GB2312" w:cs="仿宋_GB2312" w:eastAsia="仿宋_GB2312"/>
                <w:sz w:val="24"/>
                <w:color w:val="000000"/>
              </w:rPr>
              <w:t>各级别请求的解决时限</w:t>
            </w:r>
          </w:p>
          <w:tbl>
            <w:tblPr>
              <w:tblInd w:type="dxa" w:w="120"/>
              <w:tblBorders>
                <w:top w:val="none" w:color="000000" w:sz="4"/>
                <w:left w:val="none" w:color="000000" w:sz="4"/>
                <w:bottom w:val="none" w:color="000000" w:sz="4"/>
                <w:right w:val="none" w:color="000000" w:sz="4"/>
                <w:insideH w:val="none"/>
                <w:insideV w:val="none"/>
              </w:tblBorders>
            </w:tblPr>
            <w:tblGrid>
              <w:gridCol w:w="491"/>
              <w:gridCol w:w="2062"/>
            </w:tblGrid>
            <w:tr>
              <w:tc>
                <w:tcPr>
                  <w:tcW w:type="dxa" w:w="491"/>
                  <w:tcBorders>
                    <w:top w:val="single" w:color="000000" w:sz="8"/>
                    <w:left w:val="single" w:color="000000" w:sz="8"/>
                    <w:bottom w:val="single" w:color="000000" w:sz="4"/>
                    <w:right w:val="none" w:color="000000" w:sz="4"/>
                  </w:tcBorders>
                  <w:shd w:fill="7F7F7F"/>
                  <w:tcMar>
                    <w:top w:type="dxa" w:w="0"/>
                    <w:left w:type="dxa" w:w="90"/>
                    <w:bottom w:type="dxa" w:w="0"/>
                    <w:right w:type="dxa" w:w="90"/>
                  </w:tcMar>
                  <w:vAlign w:val="top"/>
                </w:tcPr>
                <w:p>
                  <w:pPr>
                    <w:pStyle w:val="null3"/>
                    <w:jc w:val="left"/>
                  </w:pPr>
                  <w:r>
                    <w:rPr>
                      <w:rFonts w:ascii="仿宋_GB2312" w:hAnsi="仿宋_GB2312" w:cs="仿宋_GB2312" w:eastAsia="仿宋_GB2312"/>
                      <w:sz w:val="24"/>
                      <w:b/>
                      <w:color w:val="000000"/>
                    </w:rPr>
                    <w:t>严重级别</w:t>
                  </w:r>
                </w:p>
              </w:tc>
              <w:tc>
                <w:tcPr>
                  <w:tcW w:type="dxa" w:w="2062"/>
                  <w:tcBorders>
                    <w:top w:val="single" w:color="000000" w:sz="8"/>
                    <w:left w:val="single" w:color="000000" w:sz="4"/>
                    <w:bottom w:val="single" w:color="000000" w:sz="4"/>
                    <w:right w:val="single" w:color="000000" w:sz="8"/>
                  </w:tcBorders>
                  <w:shd w:fill="7F7F7F"/>
                  <w:tcMar>
                    <w:top w:type="dxa" w:w="0"/>
                    <w:left w:type="dxa" w:w="90"/>
                    <w:bottom w:type="dxa" w:w="0"/>
                    <w:right w:type="dxa" w:w="90"/>
                  </w:tcMar>
                  <w:vAlign w:val="top"/>
                </w:tcPr>
                <w:p>
                  <w:pPr>
                    <w:pStyle w:val="null3"/>
                    <w:ind w:firstLine="482"/>
                    <w:jc w:val="left"/>
                  </w:pPr>
                  <w:r>
                    <w:rPr>
                      <w:rFonts w:ascii="仿宋_GB2312" w:hAnsi="仿宋_GB2312" w:cs="仿宋_GB2312" w:eastAsia="仿宋_GB2312"/>
                      <w:sz w:val="24"/>
                      <w:b/>
                      <w:color w:val="000000"/>
                    </w:rPr>
                    <w:t>尽可能在以下时间内解决</w:t>
                  </w:r>
                </w:p>
              </w:tc>
            </w:tr>
            <w:tr>
              <w:tc>
                <w:tcPr>
                  <w:tcW w:type="dxa" w:w="491"/>
                  <w:tcBorders>
                    <w:top w:val="none" w:color="000000" w:sz="4"/>
                    <w:left w:val="none" w:color="000000" w:sz="4"/>
                    <w:bottom w:val="single" w:color="000000" w:sz="4"/>
                    <w:right w:val="none" w:color="000000" w:sz="4"/>
                  </w:tcBorders>
                  <w:shd w:fill="7F7F7F"/>
                  <w:tcMar>
                    <w:top w:type="dxa" w:w="0"/>
                    <w:left w:type="dxa" w:w="90"/>
                    <w:bottom w:type="dxa" w:w="0"/>
                    <w:right w:type="dxa" w:w="90"/>
                  </w:tcMar>
                  <w:vAlign w:val="top"/>
                </w:tcPr>
                <w:p>
                  <w:pPr>
                    <w:pStyle w:val="null3"/>
                    <w:ind w:firstLine="480"/>
                    <w:jc w:val="left"/>
                  </w:pPr>
                </w:p>
              </w:tc>
              <w:tc>
                <w:tcPr>
                  <w:tcW w:type="dxa" w:w="2062"/>
                  <w:tcBorders>
                    <w:top w:val="none" w:color="000000" w:sz="4"/>
                    <w:left w:val="single" w:color="000000" w:sz="4"/>
                    <w:bottom w:val="single" w:color="000000" w:sz="4"/>
                    <w:right w:val="single" w:color="000000" w:sz="8"/>
                  </w:tcBorders>
                  <w:shd w:fill="7F7F7F"/>
                  <w:tcMar>
                    <w:top w:type="dxa" w:w="0"/>
                    <w:left w:type="dxa" w:w="90"/>
                    <w:bottom w:type="dxa" w:w="0"/>
                    <w:right w:type="dxa" w:w="90"/>
                  </w:tcMar>
                  <w:vAlign w:val="top"/>
                </w:tcPr>
                <w:p/>
              </w:tc>
            </w:tr>
            <w:tr>
              <w:tc>
                <w:tcPr>
                  <w:tcW w:type="dxa" w:w="491"/>
                  <w:tcBorders>
                    <w:top w:val="none" w:color="000000" w:sz="4"/>
                    <w:left w:val="single" w:color="000000" w:sz="8"/>
                    <w:bottom w:val="single" w:color="000000" w:sz="4"/>
                    <w:right w:val="none"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4"/>
                      <w:color w:val="000000"/>
                    </w:rPr>
                    <w:t>1</w:t>
                  </w:r>
                </w:p>
              </w:tc>
              <w:tc>
                <w:tcPr>
                  <w:tcW w:type="dxa" w:w="2062"/>
                  <w:tcBorders>
                    <w:top w:val="none" w:color="000000" w:sz="4"/>
                    <w:left w:val="single" w:color="000000" w:sz="4"/>
                    <w:bottom w:val="single" w:color="000000" w:sz="4"/>
                    <w:right w:val="single" w:color="000000" w:sz="8"/>
                  </w:tcBorders>
                  <w:tcMar>
                    <w:top w:type="dxa" w:w="0"/>
                    <w:left w:type="dxa" w:w="90"/>
                    <w:bottom w:type="dxa" w:w="0"/>
                    <w:right w:type="dxa" w:w="90"/>
                  </w:tcMar>
                  <w:vAlign w:val="top"/>
                </w:tcPr>
                <w:p>
                  <w:pPr>
                    <w:pStyle w:val="null3"/>
                    <w:ind w:firstLine="480"/>
                    <w:jc w:val="left"/>
                  </w:pPr>
                  <w:r>
                    <w:rPr>
                      <w:rFonts w:ascii="仿宋_GB2312" w:hAnsi="仿宋_GB2312" w:cs="仿宋_GB2312" w:eastAsia="仿宋_GB2312"/>
                      <w:sz w:val="24"/>
                      <w:color w:val="000000"/>
                    </w:rPr>
                    <w:t>4小时内</w:t>
                  </w:r>
                </w:p>
              </w:tc>
            </w:tr>
            <w:tr>
              <w:tc>
                <w:tcPr>
                  <w:tcW w:type="dxa" w:w="491"/>
                  <w:tcBorders>
                    <w:top w:val="none" w:color="000000" w:sz="4"/>
                    <w:left w:val="single" w:color="000000" w:sz="8"/>
                    <w:bottom w:val="single" w:color="000000" w:sz="4"/>
                    <w:right w:val="none" w:color="000000" w:sz="4"/>
                  </w:tcBorders>
                  <w:tcMar>
                    <w:top w:type="dxa" w:w="0"/>
                    <w:left w:type="dxa" w:w="90"/>
                    <w:bottom w:type="dxa" w:w="0"/>
                    <w:right w:type="dxa" w:w="90"/>
                  </w:tcMar>
                  <w:vAlign w:val="top"/>
                </w:tcPr>
                <w:p>
                  <w:pPr>
                    <w:pStyle w:val="null3"/>
                    <w:ind w:firstLine="480"/>
                    <w:jc w:val="left"/>
                  </w:pPr>
                  <w:r>
                    <w:rPr>
                      <w:rFonts w:ascii="仿宋_GB2312" w:hAnsi="仿宋_GB2312" w:cs="仿宋_GB2312" w:eastAsia="仿宋_GB2312"/>
                      <w:sz w:val="24"/>
                      <w:color w:val="000000"/>
                    </w:rPr>
                    <w:t>2</w:t>
                  </w:r>
                </w:p>
              </w:tc>
              <w:tc>
                <w:tcPr>
                  <w:tcW w:type="dxa" w:w="2062"/>
                  <w:tcBorders>
                    <w:top w:val="none" w:color="000000" w:sz="4"/>
                    <w:left w:val="single" w:color="000000" w:sz="4"/>
                    <w:bottom w:val="single" w:color="000000" w:sz="4"/>
                    <w:right w:val="single" w:color="000000" w:sz="8"/>
                  </w:tcBorders>
                  <w:tcMar>
                    <w:top w:type="dxa" w:w="0"/>
                    <w:left w:type="dxa" w:w="90"/>
                    <w:bottom w:type="dxa" w:w="0"/>
                    <w:right w:type="dxa" w:w="90"/>
                  </w:tcMar>
                  <w:vAlign w:val="top"/>
                </w:tcPr>
                <w:p>
                  <w:pPr>
                    <w:pStyle w:val="null3"/>
                    <w:ind w:firstLine="480"/>
                    <w:jc w:val="left"/>
                  </w:pPr>
                  <w:r>
                    <w:rPr>
                      <w:rFonts w:ascii="仿宋_GB2312" w:hAnsi="仿宋_GB2312" w:cs="仿宋_GB2312" w:eastAsia="仿宋_GB2312"/>
                      <w:sz w:val="24"/>
                      <w:color w:val="000000"/>
                    </w:rPr>
                    <w:t>8小时内</w:t>
                  </w:r>
                </w:p>
              </w:tc>
            </w:tr>
            <w:tr>
              <w:tc>
                <w:tcPr>
                  <w:tcW w:type="dxa" w:w="491"/>
                  <w:tcBorders>
                    <w:top w:val="none" w:color="000000" w:sz="4"/>
                    <w:left w:val="single" w:color="000000" w:sz="8"/>
                    <w:bottom w:val="single" w:color="000000" w:sz="4"/>
                    <w:right w:val="none" w:color="000000" w:sz="4"/>
                  </w:tcBorders>
                  <w:tcMar>
                    <w:top w:type="dxa" w:w="0"/>
                    <w:left w:type="dxa" w:w="90"/>
                    <w:bottom w:type="dxa" w:w="0"/>
                    <w:right w:type="dxa" w:w="90"/>
                  </w:tcMar>
                  <w:vAlign w:val="top"/>
                </w:tcPr>
                <w:p>
                  <w:pPr>
                    <w:pStyle w:val="null3"/>
                    <w:ind w:firstLine="480"/>
                    <w:jc w:val="left"/>
                  </w:pPr>
                  <w:r>
                    <w:rPr>
                      <w:rFonts w:ascii="仿宋_GB2312" w:hAnsi="仿宋_GB2312" w:cs="仿宋_GB2312" w:eastAsia="仿宋_GB2312"/>
                      <w:sz w:val="24"/>
                      <w:color w:val="000000"/>
                    </w:rPr>
                    <w:t>3</w:t>
                  </w:r>
                </w:p>
              </w:tc>
              <w:tc>
                <w:tcPr>
                  <w:tcW w:type="dxa" w:w="2062"/>
                  <w:tcBorders>
                    <w:top w:val="none" w:color="000000" w:sz="4"/>
                    <w:left w:val="single" w:color="000000" w:sz="4"/>
                    <w:bottom w:val="single" w:color="000000" w:sz="4"/>
                    <w:right w:val="single" w:color="000000" w:sz="8"/>
                  </w:tcBorders>
                  <w:tcMar>
                    <w:top w:type="dxa" w:w="0"/>
                    <w:left w:type="dxa" w:w="90"/>
                    <w:bottom w:type="dxa" w:w="0"/>
                    <w:right w:type="dxa" w:w="90"/>
                  </w:tcMar>
                  <w:vAlign w:val="top"/>
                </w:tcPr>
                <w:p>
                  <w:pPr>
                    <w:pStyle w:val="null3"/>
                    <w:ind w:firstLine="480"/>
                    <w:jc w:val="left"/>
                  </w:pPr>
                  <w:r>
                    <w:rPr>
                      <w:rFonts w:ascii="仿宋_GB2312" w:hAnsi="仿宋_GB2312" w:cs="仿宋_GB2312" w:eastAsia="仿宋_GB2312"/>
                      <w:sz w:val="24"/>
                      <w:color w:val="000000"/>
                    </w:rPr>
                    <w:t>12小时内</w:t>
                  </w:r>
                </w:p>
              </w:tc>
            </w:tr>
            <w:tr>
              <w:tc>
                <w:tcPr>
                  <w:tcW w:type="dxa" w:w="491"/>
                  <w:tcBorders>
                    <w:top w:val="none" w:color="000000" w:sz="4"/>
                    <w:left w:val="single" w:color="000000" w:sz="8"/>
                    <w:bottom w:val="single" w:color="000000" w:sz="8"/>
                    <w:right w:val="none" w:color="000000" w:sz="4"/>
                  </w:tcBorders>
                  <w:tcMar>
                    <w:top w:type="dxa" w:w="0"/>
                    <w:left w:type="dxa" w:w="90"/>
                    <w:bottom w:type="dxa" w:w="0"/>
                    <w:right w:type="dxa" w:w="90"/>
                  </w:tcMar>
                  <w:vAlign w:val="top"/>
                </w:tcPr>
                <w:p>
                  <w:pPr>
                    <w:pStyle w:val="null3"/>
                    <w:ind w:firstLine="480"/>
                    <w:jc w:val="left"/>
                  </w:pPr>
                  <w:r>
                    <w:rPr>
                      <w:rFonts w:ascii="仿宋_GB2312" w:hAnsi="仿宋_GB2312" w:cs="仿宋_GB2312" w:eastAsia="仿宋_GB2312"/>
                      <w:sz w:val="24"/>
                      <w:color w:val="000000"/>
                    </w:rPr>
                    <w:t>4</w:t>
                  </w:r>
                </w:p>
              </w:tc>
              <w:tc>
                <w:tcPr>
                  <w:tcW w:type="dxa" w:w="2062"/>
                  <w:tcBorders>
                    <w:top w:val="none" w:color="000000" w:sz="4"/>
                    <w:left w:val="single" w:color="000000" w:sz="4"/>
                    <w:bottom w:val="single" w:color="000000" w:sz="8"/>
                    <w:right w:val="single" w:color="000000" w:sz="8"/>
                  </w:tcBorders>
                  <w:tcMar>
                    <w:top w:type="dxa" w:w="0"/>
                    <w:left w:type="dxa" w:w="90"/>
                    <w:bottom w:type="dxa" w:w="0"/>
                    <w:right w:type="dxa" w:w="90"/>
                  </w:tcMar>
                  <w:vAlign w:val="top"/>
                </w:tcPr>
                <w:p>
                  <w:pPr>
                    <w:pStyle w:val="null3"/>
                    <w:ind w:firstLine="480"/>
                    <w:jc w:val="left"/>
                  </w:pPr>
                  <w:r>
                    <w:rPr>
                      <w:rFonts w:ascii="仿宋_GB2312" w:hAnsi="仿宋_GB2312" w:cs="仿宋_GB2312" w:eastAsia="仿宋_GB2312"/>
                      <w:sz w:val="24"/>
                      <w:color w:val="000000"/>
                    </w:rPr>
                    <w:t>48小时内</w:t>
                  </w:r>
                </w:p>
              </w:tc>
            </w:tr>
          </w:tbl>
          <w:p>
            <w:pPr>
              <w:pStyle w:val="null3"/>
              <w:spacing w:after="120"/>
              <w:ind w:right="1470"/>
              <w:jc w:val="left"/>
            </w:pPr>
            <w:r>
              <w:rPr>
                <w:rFonts w:ascii="仿宋_GB2312" w:hAnsi="仿宋_GB2312" w:cs="仿宋_GB2312" w:eastAsia="仿宋_GB2312"/>
                <w:sz w:val="24"/>
                <w:b/>
                <w:color w:val="000000"/>
              </w:rPr>
              <w:t>五、商务要求（如服务期限、款项结算等）</w:t>
            </w:r>
          </w:p>
          <w:p>
            <w:pPr>
              <w:pStyle w:val="null3"/>
              <w:jc w:val="left"/>
            </w:pPr>
            <w:r>
              <w:rPr>
                <w:rFonts w:ascii="仿宋_GB2312" w:hAnsi="仿宋_GB2312" w:cs="仿宋_GB2312" w:eastAsia="仿宋_GB2312"/>
                <w:sz w:val="24"/>
                <w:color w:val="000000"/>
              </w:rPr>
              <w:t>（一）服务期限</w:t>
            </w:r>
          </w:p>
          <w:p>
            <w:pPr>
              <w:pStyle w:val="null3"/>
              <w:ind w:firstLine="420"/>
              <w:jc w:val="left"/>
            </w:pPr>
            <w:r>
              <w:rPr>
                <w:rFonts w:ascii="仿宋_GB2312" w:hAnsi="仿宋_GB2312" w:cs="仿宋_GB2312" w:eastAsia="仿宋_GB2312"/>
                <w:sz w:val="24"/>
                <w:color w:val="000000"/>
              </w:rPr>
              <w:t>签订合同后，服务期一年。</w:t>
            </w:r>
          </w:p>
          <w:p>
            <w:pPr>
              <w:pStyle w:val="null3"/>
              <w:jc w:val="left"/>
            </w:pPr>
            <w:r>
              <w:rPr>
                <w:rFonts w:ascii="仿宋_GB2312" w:hAnsi="仿宋_GB2312" w:cs="仿宋_GB2312" w:eastAsia="仿宋_GB2312"/>
                <w:sz w:val="24"/>
                <w:color w:val="000000"/>
              </w:rPr>
              <w:t>（二）款项结算</w:t>
            </w:r>
          </w:p>
          <w:p>
            <w:pPr>
              <w:pStyle w:val="null3"/>
              <w:ind w:firstLine="420"/>
              <w:jc w:val="left"/>
            </w:pPr>
            <w:r>
              <w:rPr>
                <w:rFonts w:ascii="仿宋_GB2312" w:hAnsi="仿宋_GB2312" w:cs="仿宋_GB2312" w:eastAsia="仿宋_GB2312"/>
                <w:sz w:val="24"/>
                <w:color w:val="000000"/>
              </w:rPr>
              <w:t>签订合同后，初步验收合格后，凭发票和初步验收合格单，支付首笔进度款，达到付款条件起</w:t>
            </w:r>
            <w:r>
              <w:rPr>
                <w:rFonts w:ascii="仿宋_GB2312" w:hAnsi="仿宋_GB2312" w:cs="仿宋_GB2312" w:eastAsia="仿宋_GB2312"/>
                <w:sz w:val="24"/>
                <w:color w:val="000000"/>
              </w:rPr>
              <w:t>30日内，支付合同总金额的90.00%。</w:t>
            </w:r>
          </w:p>
          <w:p>
            <w:pPr>
              <w:pStyle w:val="null3"/>
              <w:ind w:firstLine="420"/>
              <w:jc w:val="left"/>
            </w:pPr>
            <w:r>
              <w:rPr>
                <w:rFonts w:ascii="仿宋_GB2312" w:hAnsi="仿宋_GB2312" w:cs="仿宋_GB2312" w:eastAsia="仿宋_GB2312"/>
                <w:sz w:val="24"/>
                <w:color w:val="000000"/>
              </w:rPr>
              <w:t>服务到期验收合格后，凭验收合格单，达到付款条件起</w:t>
            </w:r>
            <w:r>
              <w:rPr>
                <w:rFonts w:ascii="仿宋_GB2312" w:hAnsi="仿宋_GB2312" w:cs="仿宋_GB2312" w:eastAsia="仿宋_GB2312"/>
                <w:sz w:val="24"/>
                <w:color w:val="000000"/>
              </w:rPr>
              <w:t>30日内，支付合同总金额的10.00%。</w:t>
            </w:r>
          </w:p>
          <w:p>
            <w:pPr>
              <w:pStyle w:val="null3"/>
              <w:spacing w:before="315"/>
              <w:jc w:val="left"/>
            </w:pPr>
            <w:r>
              <w:rPr>
                <w:rFonts w:ascii="仿宋_GB2312" w:hAnsi="仿宋_GB2312" w:cs="仿宋_GB2312" w:eastAsia="仿宋_GB2312"/>
                <w:sz w:val="24"/>
                <w:b/>
                <w:color w:val="000000"/>
              </w:rPr>
              <w:t>六、其他（如有要求，请写明）</w:t>
            </w:r>
          </w:p>
          <w:p>
            <w:pPr>
              <w:pStyle w:val="null3"/>
              <w:jc w:val="left"/>
            </w:pPr>
            <w:r>
              <w:rPr>
                <w:rFonts w:ascii="仿宋_GB2312" w:hAnsi="仿宋_GB2312" w:cs="仿宋_GB2312" w:eastAsia="仿宋_GB2312"/>
                <w:sz w:val="24"/>
                <w:color w:val="000000"/>
              </w:rPr>
              <w:t>（一）对服务商的业绩要求</w:t>
            </w:r>
          </w:p>
          <w:p>
            <w:pPr>
              <w:pStyle w:val="null3"/>
              <w:ind w:firstLine="480"/>
              <w:jc w:val="left"/>
            </w:pPr>
            <w:r>
              <w:rPr>
                <w:rFonts w:ascii="仿宋_GB2312" w:hAnsi="仿宋_GB2312" w:cs="仿宋_GB2312" w:eastAsia="仿宋_GB2312"/>
                <w:sz w:val="24"/>
                <w:color w:val="000000"/>
              </w:rPr>
              <w:t>无特殊要求，投标人可提供类似合同供采购人参考。</w:t>
            </w:r>
          </w:p>
          <w:p>
            <w:pPr>
              <w:pStyle w:val="null3"/>
              <w:jc w:val="left"/>
            </w:pPr>
            <w:r>
              <w:rPr>
                <w:rFonts w:ascii="仿宋_GB2312" w:hAnsi="仿宋_GB2312" w:cs="仿宋_GB2312" w:eastAsia="仿宋_GB2312"/>
                <w:sz w:val="24"/>
                <w:color w:val="000000"/>
              </w:rPr>
              <w:t>（二）进度要求</w:t>
            </w:r>
          </w:p>
          <w:p>
            <w:pPr>
              <w:pStyle w:val="null3"/>
              <w:ind w:firstLine="480"/>
              <w:jc w:val="left"/>
            </w:pPr>
            <w:r>
              <w:rPr>
                <w:rFonts w:ascii="仿宋_GB2312" w:hAnsi="仿宋_GB2312" w:cs="仿宋_GB2312" w:eastAsia="仿宋_GB2312"/>
                <w:sz w:val="24"/>
                <w:color w:val="000000"/>
              </w:rPr>
              <w:t>按合同要求完成巡检、故障排查解决、优化等任务。</w:t>
            </w:r>
          </w:p>
          <w:p>
            <w:pPr>
              <w:pStyle w:val="null3"/>
              <w:jc w:val="left"/>
            </w:pPr>
            <w:r>
              <w:rPr>
                <w:rFonts w:ascii="仿宋_GB2312" w:hAnsi="仿宋_GB2312" w:cs="仿宋_GB2312" w:eastAsia="仿宋_GB2312"/>
                <w:sz w:val="24"/>
                <w:color w:val="000000"/>
              </w:rPr>
              <w:t>（三）成果交付要求</w:t>
            </w:r>
          </w:p>
          <w:p>
            <w:pPr>
              <w:pStyle w:val="null3"/>
              <w:ind w:firstLine="480"/>
              <w:jc w:val="left"/>
            </w:pPr>
            <w:r>
              <w:rPr>
                <w:rFonts w:ascii="仿宋_GB2312" w:hAnsi="仿宋_GB2312" w:cs="仿宋_GB2312" w:eastAsia="仿宋_GB2312"/>
                <w:sz w:val="24"/>
                <w:color w:val="000000"/>
              </w:rPr>
              <w:t>按合同提供巡检文档、事件处理文档、优化文档等。</w:t>
            </w:r>
          </w:p>
          <w:p>
            <w:pPr>
              <w:pStyle w:val="null3"/>
              <w:jc w:val="left"/>
            </w:pPr>
            <w:r>
              <w:rPr>
                <w:rFonts w:ascii="仿宋_GB2312" w:hAnsi="仿宋_GB2312" w:cs="仿宋_GB2312" w:eastAsia="仿宋_GB2312"/>
                <w:sz w:val="24"/>
                <w:color w:val="000000"/>
              </w:rPr>
              <w:t>（四）质量验收标准或规范</w:t>
            </w:r>
          </w:p>
          <w:p>
            <w:pPr>
              <w:pStyle w:val="null3"/>
              <w:ind w:firstLine="480"/>
              <w:jc w:val="left"/>
            </w:pPr>
            <w:r>
              <w:rPr>
                <w:rFonts w:ascii="仿宋_GB2312" w:hAnsi="仿宋_GB2312" w:cs="仿宋_GB2312" w:eastAsia="仿宋_GB2312"/>
                <w:sz w:val="24"/>
                <w:color w:val="000000"/>
              </w:rPr>
              <w:t>依据采购文件和合同进行验收。</w:t>
            </w:r>
          </w:p>
          <w:p>
            <w:pPr>
              <w:pStyle w:val="null3"/>
              <w:jc w:val="left"/>
            </w:pPr>
            <w:r>
              <w:rPr>
                <w:rFonts w:ascii="仿宋_GB2312" w:hAnsi="仿宋_GB2312" w:cs="仿宋_GB2312" w:eastAsia="仿宋_GB2312"/>
                <w:sz w:val="24"/>
                <w:color w:val="000000"/>
              </w:rPr>
              <w:t>（五）违约责任</w:t>
            </w:r>
          </w:p>
          <w:p>
            <w:pPr>
              <w:pStyle w:val="null3"/>
              <w:ind w:firstLine="480"/>
              <w:jc w:val="left"/>
            </w:pPr>
            <w:r>
              <w:rPr>
                <w:rFonts w:ascii="仿宋_GB2312" w:hAnsi="仿宋_GB2312" w:cs="仿宋_GB2312" w:eastAsia="仿宋_GB2312"/>
                <w:sz w:val="24"/>
                <w:color w:val="000000"/>
              </w:rPr>
              <w:t>一般与合同款项的支付相关，注意不要超出《民法典》中对于违约的责任上限。</w:t>
            </w:r>
          </w:p>
          <w:p>
            <w:pPr>
              <w:pStyle w:val="null3"/>
              <w:numPr>
                <w:ilvl w:val="0"/>
                <w:numId w:val="1"/>
              </w:numPr>
              <w:jc w:val="left"/>
            </w:pPr>
            <w:r>
              <w:rPr>
                <w:rFonts w:ascii="仿宋_GB2312" w:hAnsi="仿宋_GB2312" w:cs="仿宋_GB2312" w:eastAsia="仿宋_GB2312"/>
                <w:sz w:val="24"/>
                <w:color w:val="000000"/>
              </w:rPr>
              <w:t>履约保证金</w:t>
            </w:r>
          </w:p>
          <w:p>
            <w:pPr>
              <w:pStyle w:val="null3"/>
              <w:ind w:firstLine="480"/>
              <w:jc w:val="left"/>
            </w:pPr>
            <w:r>
              <w:rPr>
                <w:rFonts w:ascii="仿宋_GB2312" w:hAnsi="仿宋_GB2312" w:cs="仿宋_GB2312" w:eastAsia="仿宋_GB2312"/>
                <w:sz w:val="24"/>
                <w:color w:val="000000"/>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（一）进度要求 按合同要求完成巡检、故障排查解决、优化等任务。 （二）成果交付要求 按合同提供巡检文档、事件处理文档、优化文档等。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签订合同后，服务期一年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西安市精神卫生中心指定地点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根据采购文件及采购合同约定执行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签订合同后，初步验收合格后，凭发票和初步验收合格单，支付首笔进度款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服务到期验收合格后，凭验收合格单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 xml:space="preserve"> 1、知识产权：即成交人应保证采购人在使用其提供的服务时，不承担任何涉及知识产权、法律诉讼等责任。 2、使用培训要求：对招标人安排的技术人员与维护人员进行免费产品系统培训，保证产品设备的正常使用，包括但不限于产品培训，系统维护培训。 3、售后服务： （1）拥有健全的售后服务体系，提供完善的售后服务，以确保系统正常运行。日常运维期间，应保证售后服务高效、快速、及时；如果遇特殊情况需要到达服务现场，在1小时内派技术人员到达现场解决相关问题。 （2）在线支持服务。安排专职的技术支持工程师进行7×24小时在线支持服务，及时对用户的在线咨询进行答疑解惑，在线支持故障排除等工作。 （3）热线电话及传真热线服务。安排专职客户经理提供7×24小时的电话热线技术支持服务，指导用户完成简单的故障排除工作以及日常维护工作记录等工作。 （4）提供固定的售后服务和投诉渠道：固定电话热线、移动电话热线、传真热线、电子邮箱，设定专人为本项目提供紧急维护服务。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法定代表人（主要负责人）委托代理人参加磋商时，应提供法定代表人（主要负责人）委托授权书；法定代表人（主要负责人）亲自参加磋商时，应提供法定代表人（主要负责人）身份证明书</w:t>
            </w:r>
          </w:p>
        </w:tc>
        <w:tc>
          <w:tcPr>
            <w:tcW w:type="dxa" w:w="1661"/>
          </w:tcPr>
          <w:p>
            <w:pPr>
              <w:pStyle w:val="null3"/>
            </w:pPr>
            <w:r>
              <w:rPr>
                <w:rFonts w:ascii="仿宋_GB2312" w:hAnsi="仿宋_GB2312" w:cs="仿宋_GB2312" w:eastAsia="仿宋_GB2312"/>
              </w:rPr>
              <w:t>法定代表人身份证明、法定代表人授权.docx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提交响应文件截止时间前一年内至少一个月的纳税证明或完税证明（任意税种），纳税证明或完税证明上应有代收机构或税务机关的公章或业务专用章。（依法免税的供应商应提供相应文件证明）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具有履行本合同所必需的设备和专业技术能力的书面声明.docx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参加本次政府采购活动前3年内在经营活动中没有重大违法记录</w:t>
            </w:r>
          </w:p>
        </w:tc>
        <w:tc>
          <w:tcPr>
            <w:tcW w:type="dxa" w:w="1661"/>
          </w:tcPr>
          <w:p>
            <w:pPr>
              <w:pStyle w:val="null3"/>
            </w:pPr>
            <w:r>
              <w:rPr>
                <w:rFonts w:ascii="仿宋_GB2312" w:hAnsi="仿宋_GB2312" w:cs="仿宋_GB2312" w:eastAsia="仿宋_GB2312"/>
              </w:rPr>
              <w:t>供应商无重大违法记录书面声明.docx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磋商（供应商无须提供，磋商现场查询）</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供应商承诺函</w:t>
            </w:r>
          </w:p>
        </w:tc>
        <w:tc>
          <w:tcPr>
            <w:tcW w:type="dxa" w:w="3322"/>
          </w:tcPr>
          <w:p>
            <w:pPr>
              <w:pStyle w:val="null3"/>
            </w:pPr>
            <w:r>
              <w:rPr>
                <w:rFonts w:ascii="仿宋_GB2312" w:hAnsi="仿宋_GB2312" w:cs="仿宋_GB2312" w:eastAsia="仿宋_GB2312"/>
              </w:rPr>
              <w:t>供应商非采购人单位职工及家属投资开办，其法人、股东和经营管理人员非采购人单位职工及家属</w:t>
            </w:r>
          </w:p>
        </w:tc>
        <w:tc>
          <w:tcPr>
            <w:tcW w:type="dxa" w:w="1661"/>
          </w:tcPr>
          <w:p>
            <w:pPr>
              <w:pStyle w:val="null3"/>
            </w:pPr>
            <w:r>
              <w:rPr>
                <w:rFonts w:ascii="仿宋_GB2312" w:hAnsi="仿宋_GB2312" w:cs="仿宋_GB2312" w:eastAsia="仿宋_GB2312"/>
              </w:rPr>
              <w:t>供应商承诺函.docx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本项目不接受联合体.docx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 盖章。</w:t>
            </w:r>
          </w:p>
        </w:tc>
        <w:tc>
          <w:tcPr>
            <w:tcW w:type="dxa" w:w="1661"/>
          </w:tcPr>
          <w:p>
            <w:pPr>
              <w:pStyle w:val="null3"/>
            </w:pPr>
            <w:r>
              <w:rPr>
                <w:rFonts w:ascii="仿宋_GB2312" w:hAnsi="仿宋_GB2312" w:cs="仿宋_GB2312" w:eastAsia="仿宋_GB2312"/>
              </w:rPr>
              <w:t>法定代表人身份证明、法定代表人授权.docx 供应商企业关联关系说明书.docx 中小企业声明函 供应商应提交的相关资格证明材料 报价表 供应商承诺函.docx 具有履行本合同所必需的设备和专业技术能力的书面声明.docx 供应商承诺书.docx 供应商无重大违法记录书面声明.docx 响应文件封面 残疾人福利性单位声明函 标的清单 供应商资格证明文件.docx 响应函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签订合同后，服务期一年</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西安市精神卫生中心指定地点</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是否符合法律法规和竞争性谈判文件规定的其 他实质 性要求</w:t>
            </w:r>
          </w:p>
        </w:tc>
        <w:tc>
          <w:tcPr>
            <w:tcW w:type="dxa" w:w="1661"/>
          </w:tcPr>
          <w:p>
            <w:pPr>
              <w:pStyle w:val="null3"/>
            </w:pPr>
            <w:r>
              <w:rPr>
                <w:rFonts w:ascii="仿宋_GB2312" w:hAnsi="仿宋_GB2312" w:cs="仿宋_GB2312" w:eastAsia="仿宋_GB2312"/>
              </w:rPr>
              <w:t>服务内容及服务邀请应答表 法定代表人身份证明、法定代表人授权.docx 供应商企业关联关系说明书.docx 中小企业声明函 商务应答表 类似业绩情况.docx 供应商应提交的相关资格证明材料 报价表 供应商承诺函.docx 具有履行本合同所必需的设备和专业技术能力的书面声明.docx 供应商承诺书.docx 供应商无重大违法记录书面声明.docx 响应文件封面 残疾人福利性单位声明函 标的清单 供应商资格证明文件.docx 响应函 本项目不接受联合体.docx 服务方案.docx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对项目理解与需求分析</w:t>
            </w:r>
          </w:p>
        </w:tc>
        <w:tc>
          <w:tcPr>
            <w:tcW w:type="dxa" w:w="2492"/>
          </w:tcPr>
          <w:p>
            <w:pPr>
              <w:pStyle w:val="null3"/>
            </w:pPr>
            <w:r>
              <w:rPr>
                <w:rFonts w:ascii="仿宋_GB2312" w:hAnsi="仿宋_GB2312" w:cs="仿宋_GB2312" w:eastAsia="仿宋_GB2312"/>
              </w:rPr>
              <w:t>根据供应商对项目理解与需求分析是否齐全，表达是否准确、深入、透彻，条理是否清晰，是否能够清晰、完整的表达出采购人需求以及采购人信息数据中心软硬件维保项目的各项要求及建设目标。 对项目理解齐全，表达深入，满足各项要求得(3-6]分； 对项目理解基本齐全，针对性一般得(1-3]分； 对项目理解粗略简单，无针对性得(0-1]分。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项目服务思路、总体服务框架的说明</w:t>
            </w:r>
          </w:p>
        </w:tc>
        <w:tc>
          <w:tcPr>
            <w:tcW w:type="dxa" w:w="2492"/>
          </w:tcPr>
          <w:p>
            <w:pPr>
              <w:pStyle w:val="null3"/>
            </w:pPr>
            <w:r>
              <w:rPr>
                <w:rFonts w:ascii="仿宋_GB2312" w:hAnsi="仿宋_GB2312" w:cs="仿宋_GB2312" w:eastAsia="仿宋_GB2312"/>
              </w:rPr>
              <w:t>根据供应商提供方案总体内容是否齐全、结构是否完整、表述准确与条理清晰程度。同时是否能够对本项目服务思路、总体服务框架的说明具有完整性、合理性和先进性的表述； 方案总体内容齐全、结构完整、表达清晰，总体说明完整得(7-10]分； 方案总体内容较齐全、基本可行，总体说明较完整得(3-7]分； 方案总体粗略简单，无针对性，总体说明不完整得(0-3]分。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总体维保服务方案</w:t>
            </w:r>
          </w:p>
        </w:tc>
        <w:tc>
          <w:tcPr>
            <w:tcW w:type="dxa" w:w="2492"/>
          </w:tcPr>
          <w:p>
            <w:pPr>
              <w:pStyle w:val="null3"/>
            </w:pPr>
            <w:r>
              <w:rPr>
                <w:rFonts w:ascii="仿宋_GB2312" w:hAnsi="仿宋_GB2312" w:cs="仿宋_GB2312" w:eastAsia="仿宋_GB2312"/>
              </w:rPr>
              <w:t>供应商针对本项目制定规范化的总体维护服务方案，设计合理、层次清楚，具有规范性和可操作性等（包括但不限于安全检查、运行状况检查、性能测试及校准、必要的硬件设备检查,以及非紧急型的补救性维修, 定期对设备的数据进行备份、突发、特殊情况处理办法等措施及承诺、技术指导及培训等内容），由评标委员会横向比较，综合评审。 1、所提供的服务方案详细、合理、全面、描述条理清晰，针对性高。根据响应情况得(11-16]分； 2、所提供的服务方案基本合理，维保服务方案符合实地要求。根据响应情况得(6-11]分； 3、所提供的服务方案有缺陷或不尽合理，前后矛盾，维保服务未能达到采购人需求。根据响应情况得(0-6]分。 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维保质量保证及运行保障措施</w:t>
            </w:r>
          </w:p>
        </w:tc>
        <w:tc>
          <w:tcPr>
            <w:tcW w:type="dxa" w:w="2492"/>
          </w:tcPr>
          <w:p>
            <w:pPr>
              <w:pStyle w:val="null3"/>
            </w:pPr>
            <w:r>
              <w:rPr>
                <w:rFonts w:ascii="仿宋_GB2312" w:hAnsi="仿宋_GB2312" w:cs="仿宋_GB2312" w:eastAsia="仿宋_GB2312"/>
              </w:rPr>
              <w:t>保障设备正常运行，包括但不限于具有相应的检查措施、响应时间、定期进行维护保养等，提供相应的服务质量保障措施。服务质量保障措施完备、响应快速，得(6-8]分； 服务质量保障基本完备、响应速度较快，得(3-6]分； 质量保障说明一般、响应速度一般，得(0-3]分。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履约及服务能力</w:t>
            </w:r>
          </w:p>
        </w:tc>
        <w:tc>
          <w:tcPr>
            <w:tcW w:type="dxa" w:w="2492"/>
          </w:tcPr>
          <w:p>
            <w:pPr>
              <w:pStyle w:val="null3"/>
            </w:pPr>
            <w:r>
              <w:rPr>
                <w:rFonts w:ascii="仿宋_GB2312" w:hAnsi="仿宋_GB2312" w:cs="仿宋_GB2312" w:eastAsia="仿宋_GB2312"/>
              </w:rPr>
              <w:t>（1）（2分）供应商提供ITSS信息技术服务运行维护标准符合性证书贰级或以上，提供证明文件原件的扫描件，提供计2分，不提供或者不符合不计分，原件备查； （2）（2分）供应商提供住房和城乡建设部门颁发的电子智能化二级资质证书或以上，提供证明文件原件的扫描件，提供计2分，不提供或者不符合不计分，原件备查； （3）（2分）供应商同时具备ISO9001质量管理体系认证，ISO27001信息安全管理体系认证证书以及ISO20000信息技术服务管理体系证书的得2分，不提供或者提供不全者不得分，所有证书需提供加盖电子印章的相关证明文件，原件备查； （4）（3分）针对本项目派遣的项目经理具备人力资源和社会保障部颁发的信息系统项目管理师证书1份计3分，不提供或者不符合不计分，原件备查； （5）（2分）为保证网络运维和服务能力，本次项目供应商需要同时提供1名H3CIE或者同级别IE（路由交换方向）1份和1名同级别IE（存储方向）1份计2分，不提供不计分，原件备查。 （6）（2分）为保证安全服务能力，本次项目供应商需要提供1名注册信息安全专业人员CISP证书1份计2分，不提供不计分，原件备查。 （7）（2分）投标人数据库技术工程师具备Oracle OCP 认证证书和备份系统认证工程师证书1份计2分，不提供或者提供不全者不计分，原件备查； （8）（4分）供应商需提供宏杉私有云平台的原厂支持服务承诺函和绿盟防火墙原厂支持服务承诺函。共计得4分，未提供或者提供不全者不得分。 （9）（2分）供应商需提供备份系统的原厂支持服务承诺函，得2分，未提供不得分。 注：以上涉及人员的证书须在有效期且必须提供以上所有人员在投标人单位的近三个月的政府主管部门出具的社保缴纳证明原件扫描件（社保机构出具的）方可得分。未提供或提供不全者不得分，原件备查；</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具体情况制定行之有效的应急方案，应急方案应充分考虑到采购人的现场环境以及业务需求，发生紧急情况时快速恢复系统保障能力，有具体的时限承诺，且切实可行高效，在0-6分范围内进行赋分。 应急措施合理、可行得(3-6]分； 应急措施较为合理、基本可行，得(0-3]分；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供应商运维类项目业绩证明材料。需提供合同关键页（包括但不限于首页、内容页、金额页、盖章等）复印件并加盖供应商公章，每提供1份得2分，最多得8分。未提供或提供材料不全不得分。（提供合同复印件并进行电子签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类似业绩情况.docx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根据供应商提供的售后服务方案的详细程度、操作性是否合理，各项售后服务及措施等是否均有具体的描述；维护期用户遇到问题时，抵达现场提供技术支持的响应时间；同时运维培训内容是否具有针对性、全面性、合理性，根据售后服务体系的完善性，是否符合采购方的实际情况进行赋分。 售后方案总体内容详细、结构完整、表达清晰，总体说明完整得(3-5]分； 售后方案总体内容较齐全、基本可行，总体说明较完整得(1-3]分； 售后方案总体粗略简单，无针对性，总体说明不完整得(0-1]分。 2、供应商具备实施和售后服务团队，提供团队人员名单，提供具体成员名单，包括但不限于身份证、学历证书、工作职务、技术能力等相关资质及等级证书、岗位职能、工作经历、联系方式等证明材料。 人员配备科学合理，投入人员专业性、经验性强，对本项目有针对性得（3-5]分； 人员配备较科学合理，基本满足项目需求，得（1-3]分； 人员配备不够科学合理，不能满足项目需求，得（0-1]分；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针对本项目提供合理化建议，合理化建议详细，可实施性强，具有可操作性（3-5]分，合理化建议较为详细，可实施性较强得（0-2]分。根据响应情况进行综合评审，未提供不得分。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各有效供应商的评审价中，取最低者作为基准价，各有效供应商的价格评分统一按照下列公式计算： 价 格评分＝（基准价÷评审价） ×价格分分值。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详见附件：法定代表人身份证明、法定代表人授权.docx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详见附件：供应商承诺函.docx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详见附件：供应商企业关联关系说明书.docx</w:t>
      </w:r>
    </w:p>
    <w:p>
      <w:pPr>
        <w:pStyle w:val="null3"/>
        <w:ind w:firstLine="960"/>
      </w:pPr>
      <w:r>
        <w:rPr>
          <w:rFonts w:ascii="仿宋_GB2312" w:hAnsi="仿宋_GB2312" w:cs="仿宋_GB2312" w:eastAsia="仿宋_GB2312"/>
        </w:rPr>
        <w:t>详见附件：供应商无重大违法记录书面声明.docx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详见附件：具有履行本合同所必需的设备和专业技术能力的书面声明.docx</w:t>
      </w:r>
    </w:p>
    <w:p>
      <w:pPr>
        <w:pStyle w:val="null3"/>
        <w:ind w:firstLine="960"/>
      </w:pPr>
      <w:r>
        <w:rPr>
          <w:rFonts w:ascii="仿宋_GB2312" w:hAnsi="仿宋_GB2312" w:cs="仿宋_GB2312" w:eastAsia="仿宋_GB2312"/>
        </w:rPr>
        <w:t>详见附件：类似业绩情况.docx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