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text" w:horzAnchor="page" w:tblpX="8493" w:tblpY="-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tblGrid>
      <w:tr w14:paraId="3349B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00" w:type="dxa"/>
            <w:noWrap w:val="0"/>
            <w:vAlign w:val="top"/>
          </w:tcPr>
          <w:p w14:paraId="1507907D">
            <w:pPr>
              <w:rPr>
                <w:rFonts w:hint="eastAsia" w:ascii="黑体" w:hAnsi="Times New Roman" w:eastAsia="黑体" w:cs="Times New Roman"/>
                <w:b/>
                <w:sz w:val="32"/>
                <w:szCs w:val="32"/>
              </w:rPr>
            </w:pPr>
            <w:r>
              <w:rPr>
                <w:rFonts w:hint="default" w:ascii="黑体" w:hAnsi="Times New Roman" w:eastAsia="黑体" w:cs="Times New Roman"/>
                <w:b/>
                <w:sz w:val="32"/>
                <w:szCs w:val="32"/>
              </w:rPr>
              <w:t>竞争性磋商</w:t>
            </w:r>
          </w:p>
        </w:tc>
      </w:tr>
    </w:tbl>
    <w:p w14:paraId="1E040A8C">
      <w:pPr>
        <w:rPr>
          <w:rFonts w:hint="eastAsia" w:ascii="黑体" w:hAnsi="Times New Roman" w:eastAsia="黑体" w:cs="Times New Roman"/>
          <w:b/>
          <w:sz w:val="32"/>
          <w:szCs w:val="32"/>
        </w:rPr>
      </w:pPr>
      <w:r>
        <w:rPr>
          <w:rFonts w:hint="eastAsia" w:ascii="黑体" w:hAnsi="Times New Roman" w:eastAsia="黑体" w:cs="Times New Roman"/>
          <w:b/>
          <w:sz w:val="32"/>
          <w:szCs w:val="32"/>
        </w:rPr>
        <w:t>政府采购项目</w:t>
      </w:r>
    </w:p>
    <w:p w14:paraId="60BED184">
      <w:pPr>
        <w:jc w:val="center"/>
        <w:rPr>
          <w:rFonts w:hint="eastAsia" w:ascii="黑体" w:hAnsi="Times New Roman" w:eastAsia="黑体" w:cs="Times New Roman"/>
          <w:sz w:val="52"/>
          <w:szCs w:val="52"/>
        </w:rPr>
      </w:pPr>
    </w:p>
    <w:p w14:paraId="661D1525">
      <w:pPr>
        <w:jc w:val="center"/>
        <w:rPr>
          <w:rFonts w:hint="eastAsia" w:ascii="Times New Roman" w:hAnsi="Times New Roman" w:eastAsia="黑体" w:cs="Times New Roman"/>
          <w:b/>
          <w:spacing w:val="-20"/>
          <w:sz w:val="58"/>
          <w:szCs w:val="58"/>
        </w:rPr>
      </w:pPr>
      <w:bookmarkStart w:id="0" w:name="_GoBack"/>
      <w:r>
        <w:rPr>
          <w:rFonts w:hint="eastAsia" w:ascii="Times New Roman" w:hAnsi="Times New Roman" w:eastAsia="黑体" w:cs="Times New Roman"/>
          <w:b/>
          <w:spacing w:val="-20"/>
          <w:sz w:val="58"/>
          <w:szCs w:val="58"/>
        </w:rPr>
        <w:t>西安市2025年森林防火宣传项目</w:t>
      </w:r>
      <w:bookmarkEnd w:id="0"/>
    </w:p>
    <w:p w14:paraId="107F8E70">
      <w:pPr>
        <w:jc w:val="center"/>
        <w:rPr>
          <w:rFonts w:hint="eastAsia" w:ascii="黑体" w:hAnsi="Times New Roman" w:eastAsia="黑体" w:cs="Times New Roman"/>
          <w:b/>
          <w:sz w:val="72"/>
          <w:szCs w:val="72"/>
        </w:rPr>
      </w:pPr>
      <w:r>
        <w:rPr>
          <w:rFonts w:hint="eastAsia" w:ascii="黑体" w:hAnsi="Times New Roman" w:eastAsia="黑体" w:cs="Times New Roman"/>
          <w:b/>
          <w:sz w:val="72"/>
          <w:szCs w:val="72"/>
        </w:rPr>
        <w:t>服 务 合 同</w:t>
      </w:r>
    </w:p>
    <w:p w14:paraId="0CEC11F4">
      <w:pPr>
        <w:jc w:val="center"/>
        <w:rPr>
          <w:rFonts w:hint="eastAsia" w:ascii="黑体" w:hAnsi="Times New Roman" w:eastAsia="黑体" w:cs="Times New Roman"/>
          <w:sz w:val="30"/>
          <w:szCs w:val="30"/>
        </w:rPr>
      </w:pPr>
      <w:r>
        <w:rPr>
          <w:rFonts w:hint="eastAsia" w:ascii="黑体" w:hAnsi="Times New Roman" w:eastAsia="黑体" w:cs="Times New Roman"/>
          <w:sz w:val="30"/>
          <w:szCs w:val="30"/>
        </w:rPr>
        <w:t>（编号：JHZY-ZB-2025-023）</w:t>
      </w:r>
    </w:p>
    <w:p w14:paraId="77815E7C">
      <w:pPr>
        <w:jc w:val="center"/>
        <w:rPr>
          <w:rFonts w:hint="eastAsia" w:ascii="黑体" w:hAnsi="Times New Roman" w:eastAsia="黑体" w:cs="Times New Roman"/>
          <w:sz w:val="30"/>
          <w:szCs w:val="30"/>
        </w:rPr>
      </w:pPr>
    </w:p>
    <w:p w14:paraId="04827884">
      <w:pPr>
        <w:jc w:val="center"/>
        <w:rPr>
          <w:rFonts w:hint="eastAsia" w:ascii="黑体" w:hAnsi="Times New Roman" w:eastAsia="黑体" w:cs="Times New Roman"/>
          <w:sz w:val="30"/>
          <w:szCs w:val="30"/>
        </w:rPr>
      </w:pPr>
    </w:p>
    <w:p w14:paraId="75BA0842">
      <w:pPr>
        <w:jc w:val="center"/>
        <w:rPr>
          <w:rFonts w:hint="eastAsia" w:ascii="黑体" w:hAnsi="Times New Roman" w:eastAsia="黑体" w:cs="Times New Roman"/>
          <w:sz w:val="28"/>
          <w:szCs w:val="28"/>
        </w:rPr>
      </w:pPr>
    </w:p>
    <w:p w14:paraId="192D0163">
      <w:pPr>
        <w:jc w:val="center"/>
        <w:rPr>
          <w:rFonts w:hint="eastAsia" w:ascii="黑体" w:hAnsi="Times New Roman" w:eastAsia="黑体" w:cs="Times New Roman"/>
          <w:sz w:val="30"/>
          <w:szCs w:val="30"/>
        </w:rPr>
      </w:pPr>
    </w:p>
    <w:p w14:paraId="04B34C27">
      <w:pPr>
        <w:jc w:val="center"/>
        <w:rPr>
          <w:rFonts w:hint="eastAsia" w:ascii="黑体" w:hAnsi="Times New Roman" w:eastAsia="黑体" w:cs="Times New Roman"/>
          <w:sz w:val="30"/>
          <w:szCs w:val="30"/>
        </w:rPr>
      </w:pPr>
    </w:p>
    <w:p w14:paraId="13DBB2C1">
      <w:pPr>
        <w:jc w:val="center"/>
        <w:rPr>
          <w:rFonts w:hint="eastAsia" w:ascii="黑体" w:hAnsi="Times New Roman" w:eastAsia="黑体" w:cs="Times New Roman"/>
          <w:sz w:val="30"/>
          <w:szCs w:val="30"/>
        </w:rPr>
      </w:pPr>
    </w:p>
    <w:p w14:paraId="161D0A10">
      <w:pPr>
        <w:ind w:firstLine="2124" w:firstLineChars="664"/>
        <w:rPr>
          <w:rFonts w:hint="eastAsia" w:ascii="黑体" w:hAnsi="Times New Roman" w:eastAsia="黑体" w:cs="Times New Roman"/>
          <w:sz w:val="32"/>
          <w:szCs w:val="32"/>
        </w:rPr>
      </w:pPr>
      <w:r>
        <w:rPr>
          <w:rFonts w:hint="eastAsia" w:ascii="黑体" w:hAnsi="Times New Roman" w:eastAsia="黑体" w:cs="Times New Roman"/>
          <w:sz w:val="32"/>
          <w:szCs w:val="32"/>
        </w:rPr>
        <w:t>甲  方：</w:t>
      </w:r>
    </w:p>
    <w:p w14:paraId="3930478C">
      <w:pPr>
        <w:tabs>
          <w:tab w:val="left" w:pos="480"/>
        </w:tabs>
        <w:ind w:firstLine="2124" w:firstLineChars="664"/>
        <w:rPr>
          <w:rFonts w:hint="eastAsia" w:ascii="黑体" w:hAnsi="宋体" w:eastAsia="黑体" w:cs="Times New Roman"/>
          <w:sz w:val="32"/>
          <w:szCs w:val="32"/>
        </w:rPr>
      </w:pPr>
      <w:r>
        <w:rPr>
          <w:rFonts w:hint="eastAsia" w:ascii="黑体" w:hAnsi="Times New Roman" w:eastAsia="黑体" w:cs="Times New Roman"/>
          <w:sz w:val="32"/>
          <w:szCs w:val="32"/>
        </w:rPr>
        <w:t>乙  方：</w:t>
      </w:r>
    </w:p>
    <w:p w14:paraId="7A3770A0">
      <w:pPr>
        <w:ind w:firstLine="2127" w:firstLineChars="662"/>
        <w:rPr>
          <w:rFonts w:hint="eastAsia" w:ascii="黑体" w:hAnsi="Times New Roman" w:eastAsia="黑体" w:cs="Times New Roman"/>
          <w:sz w:val="32"/>
          <w:szCs w:val="32"/>
        </w:rPr>
      </w:pPr>
      <w:r>
        <w:rPr>
          <w:rFonts w:hint="eastAsia" w:ascii="宋体" w:hAnsi="宋体" w:eastAsia="宋体" w:cs="Times New Roman"/>
          <w:b/>
          <w:sz w:val="32"/>
          <w:szCs w:val="21"/>
        </w:rPr>
        <w:t>鉴证</w:t>
      </w:r>
      <w:r>
        <w:rPr>
          <w:rFonts w:hint="eastAsia" w:ascii="黑体" w:hAnsi="Times New Roman" w:eastAsia="黑体" w:cs="Times New Roman"/>
          <w:sz w:val="32"/>
          <w:szCs w:val="32"/>
        </w:rPr>
        <w:t>方：</w:t>
      </w:r>
    </w:p>
    <w:p w14:paraId="00427236">
      <w:pPr>
        <w:jc w:val="center"/>
        <w:rPr>
          <w:rFonts w:hint="eastAsia" w:ascii="黑体" w:hAnsi="Times New Roman" w:eastAsia="黑体" w:cs="Times New Roman"/>
          <w:sz w:val="30"/>
          <w:szCs w:val="30"/>
        </w:rPr>
      </w:pPr>
    </w:p>
    <w:p w14:paraId="241D9B25">
      <w:pPr>
        <w:jc w:val="center"/>
        <w:rPr>
          <w:rFonts w:hint="eastAsia" w:ascii="黑体" w:hAnsi="Times New Roman" w:eastAsia="黑体" w:cs="Times New Roman"/>
          <w:sz w:val="30"/>
          <w:szCs w:val="30"/>
        </w:rPr>
      </w:pPr>
    </w:p>
    <w:p w14:paraId="1DFC867D">
      <w:pPr>
        <w:jc w:val="center"/>
        <w:rPr>
          <w:rFonts w:hint="eastAsia" w:ascii="黑体" w:hAnsi="Times New Roman" w:eastAsia="黑体" w:cs="Times New Roman"/>
          <w:sz w:val="30"/>
          <w:szCs w:val="30"/>
        </w:rPr>
      </w:pPr>
    </w:p>
    <w:p w14:paraId="71509925">
      <w:pPr>
        <w:jc w:val="center"/>
        <w:rPr>
          <w:rFonts w:hint="eastAsia" w:ascii="黑体" w:hAnsi="Times New Roman" w:eastAsia="黑体" w:cs="Times New Roman"/>
          <w:sz w:val="32"/>
          <w:szCs w:val="32"/>
        </w:rPr>
      </w:pPr>
      <w:r>
        <w:rPr>
          <w:rFonts w:hint="eastAsia" w:ascii="黑体" w:hAnsi="Times New Roman" w:eastAsia="黑体" w:cs="Times New Roman"/>
          <w:sz w:val="32"/>
          <w:szCs w:val="32"/>
        </w:rPr>
        <w:t>202</w:t>
      </w:r>
      <w:r>
        <w:rPr>
          <w:rFonts w:hint="eastAsia" w:ascii="黑体" w:hAnsi="Times New Roman" w:eastAsia="黑体" w:cs="Times New Roman"/>
          <w:sz w:val="32"/>
          <w:szCs w:val="32"/>
          <w:lang w:val="en-US" w:eastAsia="zh-CN"/>
        </w:rPr>
        <w:t>5</w:t>
      </w:r>
      <w:r>
        <w:rPr>
          <w:rFonts w:hint="eastAsia" w:ascii="黑体" w:hAnsi="Times New Roman" w:eastAsia="黑体" w:cs="Times New Roman"/>
          <w:sz w:val="32"/>
          <w:szCs w:val="32"/>
        </w:rPr>
        <w:t>年</w:t>
      </w:r>
      <w:r>
        <w:rPr>
          <w:rFonts w:hint="eastAsia" w:ascii="黑体" w:hAnsi="Times New Roman" w:eastAsia="黑体" w:cs="Times New Roman"/>
          <w:sz w:val="32"/>
          <w:szCs w:val="32"/>
          <w:lang w:val="en-US" w:eastAsia="zh-CN"/>
        </w:rPr>
        <w:t>九</w:t>
      </w:r>
      <w:r>
        <w:rPr>
          <w:rFonts w:hint="eastAsia" w:ascii="黑体" w:hAnsi="Times New Roman" w:eastAsia="黑体" w:cs="Times New Roman"/>
          <w:sz w:val="32"/>
          <w:szCs w:val="32"/>
        </w:rPr>
        <w:t>月</w:t>
      </w:r>
    </w:p>
    <w:p w14:paraId="597C5C1C">
      <w:pPr>
        <w:jc w:val="center"/>
        <w:rPr>
          <w:rFonts w:hint="eastAsia" w:ascii="黑体" w:hAnsi="Times New Roman" w:eastAsia="黑体" w:cs="Times New Roman"/>
          <w:sz w:val="32"/>
          <w:szCs w:val="32"/>
        </w:rPr>
      </w:pPr>
      <w:r>
        <w:rPr>
          <w:rFonts w:hint="eastAsia" w:ascii="黑体" w:hAnsi="Times New Roman" w:eastAsia="黑体" w:cs="Times New Roman"/>
          <w:sz w:val="32"/>
          <w:szCs w:val="32"/>
        </w:rPr>
        <w:t>中国  西安</w:t>
      </w:r>
    </w:p>
    <w:p w14:paraId="0412A5C3">
      <w:pPr>
        <w:jc w:val="center"/>
        <w:rPr>
          <w:rFonts w:hint="eastAsia" w:ascii="黑体" w:hAnsi="Times New Roman" w:eastAsia="黑体" w:cs="Times New Roman"/>
          <w:b/>
          <w:sz w:val="36"/>
          <w:szCs w:val="36"/>
        </w:rPr>
      </w:pPr>
      <w:r>
        <w:rPr>
          <w:rFonts w:hint="eastAsia" w:ascii="黑体" w:hAnsi="Times New Roman" w:eastAsia="黑体" w:cs="Times New Roman"/>
          <w:b/>
          <w:sz w:val="36"/>
          <w:szCs w:val="36"/>
        </w:rPr>
        <w:t>服 务 合 同</w:t>
      </w:r>
    </w:p>
    <w:p w14:paraId="167FC7EC">
      <w:pPr>
        <w:spacing w:line="400" w:lineRule="exact"/>
        <w:ind w:firstLine="560" w:firstLineChars="200"/>
        <w:rPr>
          <w:rFonts w:ascii="Calibri Light" w:hAnsi="Calibri Light" w:eastAsia="仿宋" w:cs="Times New Roman"/>
          <w:sz w:val="28"/>
        </w:rPr>
      </w:pPr>
      <w:r>
        <w:rPr>
          <w:rFonts w:hint="eastAsia" w:ascii="Calibri Light" w:hAnsi="Calibri Light" w:eastAsia="仿宋" w:cs="Times New Roman"/>
          <w:sz w:val="28"/>
        </w:rPr>
        <w:t>甲方</w:t>
      </w:r>
      <w:r>
        <w:rPr>
          <w:rFonts w:hint="eastAsia" w:ascii="Calibri Light" w:hAnsi="Calibri Light" w:eastAsia="仿宋" w:cs="Times New Roman"/>
          <w:b/>
          <w:color w:val="FF0000"/>
          <w:sz w:val="28"/>
        </w:rPr>
        <w:t>（采购人名称全称）</w:t>
      </w:r>
      <w:r>
        <w:rPr>
          <w:rFonts w:hint="eastAsia" w:ascii="Calibri Light" w:hAnsi="Calibri Light" w:eastAsia="仿宋" w:cs="Times New Roman"/>
          <w:sz w:val="28"/>
        </w:rPr>
        <w:t>：</w:t>
      </w:r>
    </w:p>
    <w:p w14:paraId="4570E952">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乙方</w:t>
      </w:r>
      <w:r>
        <w:rPr>
          <w:rFonts w:hint="eastAsia" w:ascii="Calibri Light" w:hAnsi="Calibri Light" w:eastAsia="仿宋" w:cs="Times New Roman"/>
          <w:b/>
          <w:color w:val="FF0000"/>
          <w:sz w:val="28"/>
        </w:rPr>
        <w:t>（供应商名称全称）</w:t>
      </w:r>
      <w:r>
        <w:rPr>
          <w:rFonts w:hint="eastAsia" w:ascii="Calibri Light" w:hAnsi="Calibri Light" w:eastAsia="仿宋" w:cs="Times New Roman"/>
          <w:sz w:val="28"/>
        </w:rPr>
        <w:t>：</w:t>
      </w:r>
    </w:p>
    <w:p w14:paraId="2CD52FAA">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鉴证方：</w:t>
      </w:r>
      <w:r>
        <w:rPr>
          <w:rFonts w:hint="eastAsia" w:ascii="Calibri Light" w:hAnsi="Calibri Light" w:eastAsia="仿宋" w:cs="Times New Roman"/>
          <w:b/>
          <w:color w:val="FF0000"/>
          <w:sz w:val="28"/>
        </w:rPr>
        <w:t>（</w:t>
      </w:r>
      <w:r>
        <w:rPr>
          <w:rFonts w:hint="eastAsia" w:ascii="Calibri Light" w:hAnsi="Calibri Light" w:eastAsia="仿宋" w:cs="Times New Roman"/>
          <w:b/>
          <w:color w:val="FF0000"/>
          <w:sz w:val="28"/>
          <w:lang w:eastAsia="zh-CN"/>
        </w:rPr>
        <w:t>代理机构</w:t>
      </w:r>
      <w:r>
        <w:rPr>
          <w:rFonts w:hint="eastAsia" w:ascii="Calibri Light" w:hAnsi="Calibri Light" w:eastAsia="仿宋" w:cs="Times New Roman"/>
          <w:b/>
          <w:color w:val="FF0000"/>
          <w:sz w:val="28"/>
        </w:rPr>
        <w:t>名称全称）</w:t>
      </w:r>
      <w:r>
        <w:rPr>
          <w:rFonts w:hint="eastAsia" w:ascii="Calibri Light" w:hAnsi="Calibri Light" w:eastAsia="仿宋" w:cs="Times New Roman"/>
          <w:sz w:val="28"/>
        </w:rPr>
        <w:t>：</w:t>
      </w:r>
    </w:p>
    <w:p w14:paraId="3745EECE">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按照政府采购程序组织</w:t>
      </w:r>
      <w:r>
        <w:rPr>
          <w:rFonts w:hint="default" w:ascii="Calibri Light" w:hAnsi="Calibri Light" w:eastAsia="仿宋" w:cs="Times New Roman"/>
          <w:sz w:val="28"/>
        </w:rPr>
        <w:t>竞争性磋商</w:t>
      </w:r>
      <w:r>
        <w:rPr>
          <w:rFonts w:hint="eastAsia" w:ascii="Calibri Light" w:hAnsi="Calibri Light" w:eastAsia="仿宋" w:cs="Times New Roman"/>
          <w:sz w:val="28"/>
        </w:rPr>
        <w:t>，确定乙方为</w:t>
      </w:r>
      <w:r>
        <w:rPr>
          <w:rFonts w:hint="eastAsia" w:ascii="Calibri Light" w:hAnsi="Calibri Light" w:eastAsia="仿宋" w:cs="Times New Roman"/>
          <w:sz w:val="28"/>
          <w:lang w:eastAsia="zh-CN"/>
        </w:rPr>
        <w:t>西安市2025年森林防火宣传项目</w:t>
      </w:r>
      <w:r>
        <w:rPr>
          <w:rFonts w:hint="eastAsia" w:ascii="Calibri Light" w:hAnsi="Calibri Light" w:eastAsia="仿宋" w:cs="Times New Roman"/>
          <w:sz w:val="28"/>
        </w:rPr>
        <w:t>（项目编号：JHZY-ZB-2025-023）</w:t>
      </w:r>
      <w:r>
        <w:rPr>
          <w:rFonts w:hint="default" w:ascii="Calibri Light" w:hAnsi="Calibri Light" w:eastAsia="仿宋" w:cs="Times New Roman"/>
          <w:sz w:val="28"/>
        </w:rPr>
        <w:t>成交</w:t>
      </w:r>
      <w:r>
        <w:rPr>
          <w:rFonts w:hint="eastAsia" w:ascii="Calibri Light" w:hAnsi="Calibri Light" w:eastAsia="仿宋" w:cs="Times New Roman"/>
          <w:sz w:val="28"/>
        </w:rPr>
        <w:t>供应商。依据《中华人民共和国政府采购法》、《中华人民共和国</w:t>
      </w:r>
      <w:r>
        <w:rPr>
          <w:rFonts w:hint="eastAsia" w:ascii="Calibri Light" w:hAnsi="Calibri Light" w:eastAsia="仿宋" w:cs="Times New Roman"/>
          <w:sz w:val="28"/>
          <w:lang w:val="en-US" w:eastAsia="zh-Hans"/>
        </w:rPr>
        <w:t>民法典</w:t>
      </w:r>
      <w:r>
        <w:rPr>
          <w:rFonts w:hint="eastAsia" w:ascii="Calibri Light" w:hAnsi="Calibri Light" w:eastAsia="仿宋" w:cs="Times New Roman"/>
          <w:sz w:val="28"/>
        </w:rPr>
        <w:t>》以及西安市市级单位政府采购中心</w:t>
      </w:r>
      <w:r>
        <w:rPr>
          <w:rFonts w:hint="default" w:ascii="Calibri Light" w:hAnsi="Calibri Light" w:eastAsia="仿宋" w:cs="Times New Roman"/>
          <w:sz w:val="28"/>
        </w:rPr>
        <w:t>竞争性磋商文件</w:t>
      </w:r>
      <w:r>
        <w:rPr>
          <w:rFonts w:hint="eastAsia" w:ascii="Calibri Light" w:hAnsi="Calibri Light" w:eastAsia="仿宋" w:cs="Times New Roman"/>
          <w:sz w:val="28"/>
        </w:rPr>
        <w:t>、</w:t>
      </w:r>
      <w:r>
        <w:rPr>
          <w:rFonts w:hint="default" w:ascii="Calibri Light" w:hAnsi="Calibri Light" w:eastAsia="仿宋" w:cs="Times New Roman"/>
          <w:sz w:val="28"/>
        </w:rPr>
        <w:t>成交</w:t>
      </w:r>
      <w:r>
        <w:rPr>
          <w:rFonts w:hint="eastAsia" w:ascii="Calibri Light" w:hAnsi="Calibri Light" w:eastAsia="仿宋" w:cs="Times New Roman"/>
          <w:sz w:val="28"/>
        </w:rPr>
        <w:t>通知书，经甲、乙双方协商，鉴证方确认，达成如下合同条款。</w:t>
      </w:r>
    </w:p>
    <w:p w14:paraId="18456AEA">
      <w:pPr>
        <w:tabs>
          <w:tab w:val="left" w:pos="480"/>
        </w:tabs>
        <w:ind w:firstLine="482" w:firstLineChars="200"/>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一、合同标的物内容及数量（以</w:t>
      </w:r>
      <w:r>
        <w:rPr>
          <w:rFonts w:hint="default" w:ascii="仿宋_GB2312" w:hAnsi="宋体" w:eastAsia="仿宋_GB2312" w:cs="Times New Roman"/>
          <w:b/>
          <w:color w:val="000000"/>
          <w:spacing w:val="-20"/>
          <w:kern w:val="0"/>
          <w:sz w:val="28"/>
          <w:szCs w:val="20"/>
        </w:rPr>
        <w:t>响应文件</w:t>
      </w:r>
      <w:r>
        <w:rPr>
          <w:rFonts w:hint="eastAsia" w:ascii="仿宋_GB2312" w:hAnsi="宋体" w:eastAsia="仿宋_GB2312" w:cs="Times New Roman"/>
          <w:b/>
          <w:color w:val="000000"/>
          <w:spacing w:val="-20"/>
          <w:kern w:val="0"/>
          <w:sz w:val="28"/>
          <w:szCs w:val="20"/>
        </w:rPr>
        <w:t>正本和澄清表〈函〉为准）</w:t>
      </w:r>
    </w:p>
    <w:tbl>
      <w:tblPr>
        <w:tblStyle w:val="8"/>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8"/>
        <w:gridCol w:w="6947"/>
      </w:tblGrid>
      <w:tr w14:paraId="770B7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0" w:hRule="atLeast"/>
          <w:jc w:val="center"/>
        </w:trPr>
        <w:tc>
          <w:tcPr>
            <w:tcW w:w="1078" w:type="dxa"/>
            <w:noWrap w:val="0"/>
            <w:vAlign w:val="center"/>
          </w:tcPr>
          <w:p w14:paraId="260EAEF4">
            <w:pPr>
              <w:keepNext w:val="0"/>
              <w:keepLines w:val="0"/>
              <w:pageBreakBefore w:val="0"/>
              <w:kinsoku/>
              <w:wordWrap/>
              <w:overflowPunct/>
              <w:topLinePunct w:val="0"/>
              <w:autoSpaceDE/>
              <w:autoSpaceDN/>
              <w:bidi w:val="0"/>
              <w:adjustRightInd/>
              <w:snapToGrid w:val="0"/>
              <w:jc w:val="center"/>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序号</w:t>
            </w:r>
          </w:p>
        </w:tc>
        <w:tc>
          <w:tcPr>
            <w:tcW w:w="6947" w:type="dxa"/>
            <w:noWrap w:val="0"/>
            <w:vAlign w:val="center"/>
          </w:tcPr>
          <w:p w14:paraId="1A843499">
            <w:pPr>
              <w:keepNext w:val="0"/>
              <w:keepLines w:val="0"/>
              <w:pageBreakBefore w:val="0"/>
              <w:kinsoku/>
              <w:wordWrap/>
              <w:overflowPunct/>
              <w:topLinePunct w:val="0"/>
              <w:autoSpaceDE/>
              <w:autoSpaceDN/>
              <w:bidi w:val="0"/>
              <w:adjustRightInd/>
              <w:snapToGrid w:val="0"/>
              <w:jc w:val="center"/>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技术参数与性能指标</w:t>
            </w:r>
          </w:p>
        </w:tc>
      </w:tr>
      <w:tr w14:paraId="7ADEC2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78" w:type="dxa"/>
            <w:noWrap w:val="0"/>
            <w:vAlign w:val="center"/>
          </w:tcPr>
          <w:p w14:paraId="369C24EB">
            <w:pPr>
              <w:keepNext w:val="0"/>
              <w:keepLines w:val="0"/>
              <w:pageBreakBefore w:val="0"/>
              <w:kinsoku/>
              <w:wordWrap/>
              <w:overflowPunct/>
              <w:topLinePunct w:val="0"/>
              <w:autoSpaceDE/>
              <w:autoSpaceDN/>
              <w:bidi w:val="0"/>
              <w:adjustRightInd/>
              <w:snapToGrid w:val="0"/>
              <w:jc w:val="center"/>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1</w:t>
            </w:r>
          </w:p>
        </w:tc>
        <w:tc>
          <w:tcPr>
            <w:tcW w:w="6947" w:type="dxa"/>
            <w:noWrap w:val="0"/>
            <w:vAlign w:val="center"/>
          </w:tcPr>
          <w:p w14:paraId="45335206">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（一）进景区宣传活动：氛围布展（不限于舞台音响、调控、摄影、条幅、撤场等）</w:t>
            </w:r>
          </w:p>
          <w:p w14:paraId="6F142EA0">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1.舞台：4m*10m（含地毯）；</w:t>
            </w:r>
          </w:p>
          <w:p w14:paraId="05EF6BB7">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2.音响：线阵音响8组（含调音台、话筒）；</w:t>
            </w:r>
          </w:p>
          <w:p w14:paraId="3A5B8099">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3.条幅：不少于8条；</w:t>
            </w:r>
          </w:p>
          <w:p w14:paraId="1BA2314A">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4.现场指引牌：根据现场实际进行设置；</w:t>
            </w:r>
          </w:p>
          <w:p w14:paraId="7A15ABDB">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5.摄影：不少于3机位（含无人机拍摄）；</w:t>
            </w:r>
          </w:p>
          <w:p w14:paraId="57E1B8CD">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6.水座旗：不少于8座（尺寸1.2m*5m）；</w:t>
            </w:r>
          </w:p>
          <w:p w14:paraId="4C0460D9">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7.舞台背景图：根据舞台尺寸设置；</w:t>
            </w:r>
          </w:p>
          <w:p w14:paraId="214A9157">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8.折叠桌：不少于10张（0.6m*1.2m）；</w:t>
            </w:r>
          </w:p>
          <w:p w14:paraId="66633494">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9.防火知识手册（不限于应知应会、法规条文、防范措施等）不少于1000册；</w:t>
            </w:r>
          </w:p>
          <w:p w14:paraId="0687E30C">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10.倡议书：彩页打印不少于2000份；</w:t>
            </w:r>
          </w:p>
          <w:p w14:paraId="7E20420D">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11.展牌（不限于应知应会、法规条文、防范措施等），不少于6块；</w:t>
            </w:r>
          </w:p>
          <w:p w14:paraId="557FF82E">
            <w:pPr>
              <w:keepNext w:val="0"/>
              <w:keepLines w:val="0"/>
              <w:pageBreakBefore w:val="0"/>
              <w:kinsoku/>
              <w:wordWrap/>
              <w:overflowPunct/>
              <w:topLinePunct w:val="0"/>
              <w:autoSpaceDE/>
              <w:autoSpaceDN/>
              <w:bidi w:val="0"/>
              <w:adjustRightInd/>
              <w:snapToGrid w:val="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12.生活应急物资：日常生活必备的物资（如：手电筒、雨衣、雨伞等）.活动现场发放手电筒、雨衣、雨伞等应急物资每类不少于200份。</w:t>
            </w:r>
          </w:p>
        </w:tc>
      </w:tr>
      <w:tr w14:paraId="48B8BA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78" w:type="dxa"/>
            <w:noWrap w:val="0"/>
            <w:vAlign w:val="center"/>
          </w:tcPr>
          <w:p w14:paraId="121703CF">
            <w:pPr>
              <w:keepNext w:val="0"/>
              <w:keepLines w:val="0"/>
              <w:pageBreakBefore w:val="0"/>
              <w:kinsoku/>
              <w:wordWrap/>
              <w:overflowPunct/>
              <w:topLinePunct w:val="0"/>
              <w:autoSpaceDE/>
              <w:autoSpaceDN/>
              <w:bidi w:val="0"/>
              <w:adjustRightInd/>
              <w:snapToGrid w:val="0"/>
              <w:jc w:val="center"/>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2</w:t>
            </w:r>
          </w:p>
        </w:tc>
        <w:tc>
          <w:tcPr>
            <w:tcW w:w="6947" w:type="dxa"/>
            <w:noWrap w:val="0"/>
            <w:vAlign w:val="center"/>
          </w:tcPr>
          <w:p w14:paraId="349447F1">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（二）进林区宣传活动：氛围布展（不限于舞台音响、调控、摄影、条幅、撤场等）</w:t>
            </w:r>
          </w:p>
          <w:p w14:paraId="01DD2D9C">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1.音响：线阵音响（含调音台、话筒）</w:t>
            </w:r>
          </w:p>
          <w:p w14:paraId="0C7491D2">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2.现场指引牌：根据现场实际进行设置；</w:t>
            </w:r>
          </w:p>
          <w:p w14:paraId="6132575E">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3.摄影：不少于1机位；</w:t>
            </w:r>
          </w:p>
          <w:p w14:paraId="48929E6E">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4.折叠椅：不少于50把（带靠背）；</w:t>
            </w:r>
          </w:p>
          <w:p w14:paraId="5477AE48">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5.防火知识手册（不限于应知应会、法规条文、防范措施等）不少于1000册；</w:t>
            </w:r>
          </w:p>
          <w:p w14:paraId="7ACDAF7C">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6.倡议书：彩页打印不少于2000份；</w:t>
            </w:r>
          </w:p>
          <w:p w14:paraId="4E34E6F6">
            <w:pPr>
              <w:keepNext w:val="0"/>
              <w:keepLines w:val="0"/>
              <w:pageBreakBefore w:val="0"/>
              <w:kinsoku/>
              <w:wordWrap/>
              <w:overflowPunct/>
              <w:topLinePunct w:val="0"/>
              <w:autoSpaceDE/>
              <w:autoSpaceDN/>
              <w:bidi w:val="0"/>
              <w:adjustRightInd/>
              <w:snapToGrid w:val="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7.生活应急物资：日常生活必备的物资（如：手电筒、雨衣、雨伞等）。活动现场发放手电筒、雨衣、雨伞等应急物资每类不少于100份。</w:t>
            </w:r>
          </w:p>
        </w:tc>
      </w:tr>
      <w:tr w14:paraId="16EF7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78" w:type="dxa"/>
            <w:noWrap w:val="0"/>
            <w:vAlign w:val="center"/>
          </w:tcPr>
          <w:p w14:paraId="6CB822A5">
            <w:pPr>
              <w:keepNext w:val="0"/>
              <w:keepLines w:val="0"/>
              <w:pageBreakBefore w:val="0"/>
              <w:kinsoku/>
              <w:wordWrap/>
              <w:overflowPunct/>
              <w:topLinePunct w:val="0"/>
              <w:autoSpaceDE/>
              <w:autoSpaceDN/>
              <w:bidi w:val="0"/>
              <w:adjustRightInd/>
              <w:snapToGrid w:val="0"/>
              <w:jc w:val="center"/>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3</w:t>
            </w:r>
          </w:p>
        </w:tc>
        <w:tc>
          <w:tcPr>
            <w:tcW w:w="6947" w:type="dxa"/>
            <w:noWrap w:val="0"/>
            <w:vAlign w:val="center"/>
          </w:tcPr>
          <w:p w14:paraId="5D3E176F">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（三）进校园宣传活动：氛围布展（不限于舞台音响、调控、摄影、条幅、撤场等）</w:t>
            </w:r>
          </w:p>
          <w:p w14:paraId="29B0BC8F">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1.音响：线阵音响（含调音台、话筒）</w:t>
            </w:r>
          </w:p>
          <w:p w14:paraId="706E746B">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2.条幅：不少于8条；</w:t>
            </w:r>
          </w:p>
          <w:p w14:paraId="2773B0AB">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3.摄影：不少于1机位；</w:t>
            </w:r>
          </w:p>
          <w:p w14:paraId="2AEACB73">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4.倡议书：彩页打印不少于2000份；</w:t>
            </w:r>
          </w:p>
          <w:p w14:paraId="39253F85">
            <w:pPr>
              <w:keepNext w:val="0"/>
              <w:keepLines w:val="0"/>
              <w:pageBreakBefore w:val="0"/>
              <w:kinsoku/>
              <w:wordWrap/>
              <w:overflowPunct/>
              <w:topLinePunct w:val="0"/>
              <w:autoSpaceDE/>
              <w:autoSpaceDN/>
              <w:bidi w:val="0"/>
              <w:adjustRightInd/>
              <w:snapToGrid w:val="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5.生活应急物资：日常生活必备的物资（如：手电筒、雨衣、雨伞、笔记本、彩笔等）。笔记本发放不少于100本，彩笔不少于20套，手电筒、雨衣、雨伞等应急物资每类不少于100份。</w:t>
            </w:r>
          </w:p>
        </w:tc>
      </w:tr>
      <w:tr w14:paraId="1BB14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78" w:type="dxa"/>
            <w:noWrap w:val="0"/>
            <w:vAlign w:val="center"/>
          </w:tcPr>
          <w:p w14:paraId="1E878301">
            <w:pPr>
              <w:keepNext w:val="0"/>
              <w:keepLines w:val="0"/>
              <w:pageBreakBefore w:val="0"/>
              <w:kinsoku/>
              <w:wordWrap/>
              <w:overflowPunct/>
              <w:topLinePunct w:val="0"/>
              <w:autoSpaceDE/>
              <w:autoSpaceDN/>
              <w:bidi w:val="0"/>
              <w:adjustRightInd/>
              <w:snapToGrid w:val="0"/>
              <w:jc w:val="center"/>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4</w:t>
            </w:r>
          </w:p>
        </w:tc>
        <w:tc>
          <w:tcPr>
            <w:tcW w:w="6947" w:type="dxa"/>
            <w:noWrap w:val="0"/>
            <w:vAlign w:val="center"/>
          </w:tcPr>
          <w:p w14:paraId="71146ECB">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（四）进村庄宣传活动：氛围布展（不限于舞台音响、调控、摄影、条幅、撤场等）</w:t>
            </w:r>
          </w:p>
          <w:p w14:paraId="2A1552B1">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1.音响：线阵音响（含调音台、话筒）</w:t>
            </w:r>
          </w:p>
          <w:p w14:paraId="7A5DDB8F">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2.条幅：不少于8条；</w:t>
            </w:r>
          </w:p>
          <w:p w14:paraId="151724D9">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3.摄影：不少于1机位；</w:t>
            </w:r>
          </w:p>
          <w:p w14:paraId="38BFA7AE">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4.倡议书：彩页打印不少于2000份；</w:t>
            </w:r>
          </w:p>
          <w:p w14:paraId="61B1D284">
            <w:pPr>
              <w:keepNext w:val="0"/>
              <w:keepLines w:val="0"/>
              <w:pageBreakBefore w:val="0"/>
              <w:kinsoku/>
              <w:wordWrap/>
              <w:overflowPunct/>
              <w:topLinePunct w:val="0"/>
              <w:autoSpaceDE/>
              <w:autoSpaceDN/>
              <w:bidi w:val="0"/>
              <w:adjustRightInd/>
              <w:snapToGrid w:val="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5.生活应急物资：日常生活必备的物资（如：手电筒、雨衣、雨伞等）。活动现场发放手电筒、雨衣、雨伞等应急物资每类不少于100份。</w:t>
            </w:r>
          </w:p>
        </w:tc>
      </w:tr>
      <w:tr w14:paraId="62F15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78" w:type="dxa"/>
            <w:noWrap w:val="0"/>
            <w:vAlign w:val="center"/>
          </w:tcPr>
          <w:p w14:paraId="4BC7D87A">
            <w:pPr>
              <w:keepNext w:val="0"/>
              <w:keepLines w:val="0"/>
              <w:pageBreakBefore w:val="0"/>
              <w:kinsoku/>
              <w:wordWrap/>
              <w:overflowPunct/>
              <w:topLinePunct w:val="0"/>
              <w:autoSpaceDE/>
              <w:autoSpaceDN/>
              <w:bidi w:val="0"/>
              <w:adjustRightInd/>
              <w:snapToGrid w:val="0"/>
              <w:jc w:val="center"/>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5</w:t>
            </w:r>
          </w:p>
        </w:tc>
        <w:tc>
          <w:tcPr>
            <w:tcW w:w="6947" w:type="dxa"/>
            <w:noWrap w:val="0"/>
            <w:vAlign w:val="center"/>
          </w:tcPr>
          <w:p w14:paraId="719D5756">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（五）进家庭宣传活动（不少于60户）：氛围布展（不限于舞台音响、调控、摄影、条幅、撤场等）</w:t>
            </w:r>
          </w:p>
          <w:p w14:paraId="26CEB94C">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1.条幅：不少于8条；</w:t>
            </w:r>
          </w:p>
          <w:p w14:paraId="7366255C">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2.摄影：不少于1机位；</w:t>
            </w:r>
          </w:p>
          <w:p w14:paraId="66A85A10">
            <w:pPr>
              <w:keepNext w:val="0"/>
              <w:keepLines w:val="0"/>
              <w:pageBreakBefore w:val="0"/>
              <w:kinsoku/>
              <w:wordWrap/>
              <w:overflowPunct/>
              <w:topLinePunct w:val="0"/>
              <w:autoSpaceDE/>
              <w:autoSpaceDN/>
              <w:bidi w:val="0"/>
              <w:adjustRightInd/>
              <w:snapToGrid w:val="0"/>
              <w:ind w:firstLine="42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3.倡议书：彩页打印不少于2000份；</w:t>
            </w:r>
          </w:p>
          <w:p w14:paraId="033C80D6">
            <w:pPr>
              <w:keepNext w:val="0"/>
              <w:keepLines w:val="0"/>
              <w:pageBreakBefore w:val="0"/>
              <w:kinsoku/>
              <w:wordWrap/>
              <w:overflowPunct/>
              <w:topLinePunct w:val="0"/>
              <w:autoSpaceDE/>
              <w:autoSpaceDN/>
              <w:bidi w:val="0"/>
              <w:adjustRightInd/>
              <w:snapToGrid w:val="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4.生活应急物资：发放日常生活必备的物资（如：手电筒、雨衣、雨伞等）不少于60户。</w:t>
            </w:r>
          </w:p>
        </w:tc>
      </w:tr>
      <w:tr w14:paraId="682FDB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78" w:type="dxa"/>
            <w:noWrap w:val="0"/>
            <w:vAlign w:val="center"/>
          </w:tcPr>
          <w:p w14:paraId="38F42C0E">
            <w:pPr>
              <w:keepNext w:val="0"/>
              <w:keepLines w:val="0"/>
              <w:pageBreakBefore w:val="0"/>
              <w:kinsoku/>
              <w:wordWrap/>
              <w:overflowPunct/>
              <w:topLinePunct w:val="0"/>
              <w:autoSpaceDE/>
              <w:autoSpaceDN/>
              <w:bidi w:val="0"/>
              <w:adjustRightInd/>
              <w:snapToGrid w:val="0"/>
              <w:jc w:val="center"/>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6</w:t>
            </w:r>
          </w:p>
        </w:tc>
        <w:tc>
          <w:tcPr>
            <w:tcW w:w="6947" w:type="dxa"/>
            <w:noWrap w:val="0"/>
            <w:vAlign w:val="center"/>
          </w:tcPr>
          <w:p w14:paraId="4231FF20">
            <w:pPr>
              <w:keepNext w:val="0"/>
              <w:keepLines w:val="0"/>
              <w:pageBreakBefore w:val="0"/>
              <w:kinsoku/>
              <w:wordWrap/>
              <w:overflowPunct/>
              <w:topLinePunct w:val="0"/>
              <w:autoSpaceDE/>
              <w:autoSpaceDN/>
              <w:bidi w:val="0"/>
              <w:adjustRightInd/>
              <w:snapToGrid w:val="0"/>
              <w:ind w:firstLine="480" w:firstLineChars="200"/>
              <w:jc w:val="left"/>
              <w:textAlignment w:val="auto"/>
              <w:rPr>
                <w:rFonts w:hint="eastAsia" w:ascii="方正仿宋_GBK" w:hAnsi="方正仿宋_GBK" w:eastAsia="方正仿宋_GBK" w:cs="方正仿宋_GBK"/>
                <w:sz w:val="24"/>
                <w:szCs w:val="24"/>
                <w:lang w:val="en-US" w:eastAsia="zh-Hans"/>
              </w:rPr>
            </w:pPr>
            <w:r>
              <w:rPr>
                <w:rFonts w:hint="eastAsia" w:ascii="方正仿宋_GBK" w:hAnsi="方正仿宋_GBK" w:eastAsia="方正仿宋_GBK" w:cs="方正仿宋_GBK"/>
                <w:sz w:val="24"/>
                <w:szCs w:val="24"/>
                <w:lang w:val="en-US" w:eastAsia="zh-Hans"/>
              </w:rPr>
              <w:t>2025年森林防火宣传活动汇编资料合订本5套。</w:t>
            </w:r>
          </w:p>
        </w:tc>
      </w:tr>
    </w:tbl>
    <w:p w14:paraId="494BF496">
      <w:pPr>
        <w:tabs>
          <w:tab w:val="left" w:pos="480"/>
        </w:tabs>
        <w:rPr>
          <w:rFonts w:hint="eastAsia" w:ascii="仿宋_GB2312" w:hAnsi="宋体" w:eastAsia="仿宋_GB2312" w:cs="Times New Roman"/>
          <w:b/>
          <w:color w:val="FF0000"/>
          <w:spacing w:val="-20"/>
          <w:kern w:val="0"/>
          <w:sz w:val="28"/>
          <w:szCs w:val="20"/>
        </w:rPr>
      </w:pPr>
    </w:p>
    <w:p w14:paraId="57F50E76">
      <w:pPr>
        <w:tabs>
          <w:tab w:val="left" w:pos="480"/>
        </w:tabs>
        <w:ind w:firstLine="473" w:firstLineChars="196"/>
        <w:rPr>
          <w:rFonts w:hint="eastAsia" w:ascii="仿宋_GB2312" w:hAnsi="宋体" w:eastAsia="仿宋_GB2312" w:cs="Times New Roman"/>
          <w:b/>
          <w:color w:val="FF0000"/>
          <w:spacing w:val="-20"/>
          <w:kern w:val="0"/>
          <w:sz w:val="28"/>
          <w:szCs w:val="20"/>
        </w:rPr>
      </w:pPr>
      <w:r>
        <w:rPr>
          <w:rFonts w:hint="eastAsia" w:ascii="仿宋_GB2312" w:hAnsi="宋体" w:eastAsia="仿宋_GB2312" w:cs="Times New Roman"/>
          <w:b/>
          <w:color w:val="000000"/>
          <w:spacing w:val="-20"/>
          <w:kern w:val="0"/>
          <w:sz w:val="28"/>
          <w:szCs w:val="20"/>
        </w:rPr>
        <w:t>二、服务条件：</w:t>
      </w:r>
    </w:p>
    <w:p w14:paraId="05658FC9">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（一）服务地点：甲方指定地点。</w:t>
      </w:r>
    </w:p>
    <w:p w14:paraId="480E42EB">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（二）服务</w:t>
      </w:r>
      <w:r>
        <w:rPr>
          <w:rFonts w:hint="eastAsia" w:ascii="Calibri Light" w:hAnsi="Calibri Light" w:eastAsia="仿宋" w:cs="Times New Roman"/>
          <w:sz w:val="28"/>
          <w:lang w:val="en-US" w:eastAsia="zh-CN"/>
        </w:rPr>
        <w:t>期限</w:t>
      </w:r>
      <w:r>
        <w:rPr>
          <w:rFonts w:hint="eastAsia" w:ascii="Calibri Light" w:hAnsi="Calibri Light" w:eastAsia="仿宋" w:cs="Times New Roman"/>
          <w:sz w:val="28"/>
        </w:rPr>
        <w:t>：</w:t>
      </w:r>
    </w:p>
    <w:p w14:paraId="01AFB88C">
      <w:pPr>
        <w:tabs>
          <w:tab w:val="left" w:pos="480"/>
        </w:tabs>
        <w:ind w:firstLine="473" w:firstLineChars="196"/>
        <w:rPr>
          <w:rFonts w:hint="eastAsia" w:ascii="仿宋_GB2312" w:hAnsi="宋体" w:eastAsia="仿宋_GB2312" w:cs="Times New Roman"/>
          <w:b/>
          <w:color w:val="FF0000"/>
          <w:spacing w:val="-20"/>
          <w:kern w:val="0"/>
          <w:sz w:val="28"/>
          <w:szCs w:val="20"/>
        </w:rPr>
      </w:pPr>
      <w:r>
        <w:rPr>
          <w:rFonts w:hint="eastAsia" w:ascii="仿宋_GB2312" w:hAnsi="宋体" w:eastAsia="仿宋_GB2312" w:cs="Times New Roman"/>
          <w:b/>
          <w:color w:val="000000"/>
          <w:spacing w:val="-20"/>
          <w:kern w:val="0"/>
          <w:sz w:val="28"/>
          <w:szCs w:val="20"/>
        </w:rPr>
        <w:t>三、合同价款</w:t>
      </w:r>
    </w:p>
    <w:p w14:paraId="7F51F32C">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（一）合同总价款为人民币（大写）</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元。</w:t>
      </w:r>
    </w:p>
    <w:p w14:paraId="4DBF479D">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（二）合同总价包括：×××费、×××费、×××费和其他费用。</w:t>
      </w:r>
    </w:p>
    <w:p w14:paraId="01F6D92A">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（三）合同总价一次性包死，不受市场价格变化因素的影响。</w:t>
      </w:r>
    </w:p>
    <w:p w14:paraId="7FBB02E3">
      <w:pPr>
        <w:tabs>
          <w:tab w:val="left" w:pos="480"/>
        </w:tabs>
        <w:ind w:firstLine="473" w:firstLineChars="196"/>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b/>
          <w:color w:val="000000"/>
          <w:spacing w:val="-20"/>
          <w:kern w:val="0"/>
          <w:sz w:val="28"/>
          <w:szCs w:val="20"/>
        </w:rPr>
        <w:t>四、款项结算</w:t>
      </w:r>
    </w:p>
    <w:p w14:paraId="11C6A518">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w:t>
      </w:r>
      <w:r>
        <w:rPr>
          <w:rFonts w:hint="eastAsia" w:ascii="Calibri Light" w:hAnsi="Calibri Light" w:eastAsia="仿宋" w:cs="Times New Roman"/>
          <w:sz w:val="28"/>
          <w:lang w:val="en-US" w:eastAsia="zh-CN"/>
        </w:rPr>
        <w:t>一</w:t>
      </w:r>
      <w:r>
        <w:rPr>
          <w:rFonts w:hint="eastAsia" w:ascii="Calibri Light" w:hAnsi="Calibri Light" w:eastAsia="仿宋" w:cs="Times New Roman"/>
          <w:sz w:val="28"/>
        </w:rPr>
        <w:t>）签订合同，达到付款条件起 30 日内，支付合同总金额的 40.00%。</w:t>
      </w:r>
    </w:p>
    <w:p w14:paraId="420864AD">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w:t>
      </w:r>
      <w:r>
        <w:rPr>
          <w:rFonts w:hint="eastAsia" w:ascii="Calibri Light" w:hAnsi="Calibri Light" w:eastAsia="仿宋" w:cs="Times New Roman"/>
          <w:sz w:val="28"/>
          <w:lang w:val="en-US" w:eastAsia="zh-CN"/>
        </w:rPr>
        <w:t>二</w:t>
      </w:r>
      <w:r>
        <w:rPr>
          <w:rFonts w:hint="eastAsia" w:ascii="Calibri Light" w:hAnsi="Calibri Light" w:eastAsia="仿宋" w:cs="Times New Roman"/>
          <w:sz w:val="28"/>
        </w:rPr>
        <w:t>）验收合格，达到付款条件起 30 日内，支付合同总金额的 60.00%。</w:t>
      </w:r>
    </w:p>
    <w:p w14:paraId="64F94F17">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（三）支付方式：银行转账。</w:t>
      </w:r>
    </w:p>
    <w:p w14:paraId="7199458A">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（四）结算方式：每次付款前乙方应向甲方提供合法有效的</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u w:val="single"/>
          <w:lang w:val="en-US" w:eastAsia="zh-CN"/>
        </w:rPr>
        <w:t xml:space="preserve">  </w:t>
      </w:r>
      <w:r>
        <w:rPr>
          <w:rFonts w:hint="eastAsia" w:ascii="Calibri Light" w:hAnsi="Calibri Light" w:eastAsia="仿宋" w:cs="Times New Roman"/>
          <w:sz w:val="28"/>
        </w:rPr>
        <w:t>发票。乙方持</w:t>
      </w:r>
      <w:r>
        <w:rPr>
          <w:rFonts w:hint="default" w:ascii="Calibri Light" w:hAnsi="Calibri Light" w:eastAsia="仿宋" w:cs="Times New Roman"/>
          <w:sz w:val="28"/>
        </w:rPr>
        <w:t>成交</w:t>
      </w:r>
      <w:r>
        <w:rPr>
          <w:rFonts w:hint="eastAsia" w:ascii="Calibri Light" w:hAnsi="Calibri Light" w:eastAsia="仿宋" w:cs="Times New Roman"/>
          <w:sz w:val="28"/>
        </w:rPr>
        <w:t>通知书、服务合同、发票，与甲方结算。</w:t>
      </w:r>
    </w:p>
    <w:p w14:paraId="7B303B82">
      <w:pPr>
        <w:ind w:firstLine="482" w:firstLineChars="200"/>
        <w:rPr>
          <w:rFonts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五、双方的权利和义务</w:t>
      </w:r>
    </w:p>
    <w:p w14:paraId="198D570B">
      <w:pPr>
        <w:spacing w:line="400" w:lineRule="exact"/>
        <w:ind w:firstLine="560" w:firstLineChars="200"/>
        <w:rPr>
          <w:rFonts w:ascii="Calibri Light" w:hAnsi="Calibri Light" w:eastAsia="仿宋" w:cs="Times New Roman"/>
          <w:sz w:val="28"/>
        </w:rPr>
      </w:pPr>
      <w:r>
        <w:rPr>
          <w:rFonts w:hint="eastAsia" w:ascii="Calibri Light" w:hAnsi="Calibri Light" w:eastAsia="仿宋" w:cs="Times New Roman"/>
          <w:sz w:val="28"/>
        </w:rPr>
        <w:t>（一）甲方的权利和义务</w:t>
      </w:r>
    </w:p>
    <w:p w14:paraId="38F45390">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lang w:eastAsia="zh-CN"/>
        </w:rPr>
        <w:t>（</w:t>
      </w:r>
      <w:r>
        <w:rPr>
          <w:rFonts w:hint="eastAsia" w:ascii="Calibri Light" w:hAnsi="Calibri Light" w:eastAsia="仿宋" w:cs="Times New Roman"/>
          <w:sz w:val="28"/>
          <w:lang w:val="en-US" w:eastAsia="zh-CN"/>
        </w:rPr>
        <w:t>1</w:t>
      </w:r>
      <w:r>
        <w:rPr>
          <w:rFonts w:hint="eastAsia" w:ascii="Calibri Light" w:hAnsi="Calibri Light" w:eastAsia="仿宋" w:cs="Times New Roman"/>
          <w:sz w:val="28"/>
          <w:lang w:eastAsia="zh-CN"/>
        </w:rPr>
        <w:t>）</w:t>
      </w:r>
      <w:r>
        <w:rPr>
          <w:rFonts w:hint="eastAsia" w:ascii="Calibri Light" w:hAnsi="Calibri Light" w:eastAsia="仿宋" w:cs="Times New Roman"/>
          <w:sz w:val="28"/>
        </w:rPr>
        <w:t>甲方有权指派专门人员或者单位对乙方的工作进行全程监督管理；</w:t>
      </w:r>
    </w:p>
    <w:p w14:paraId="5BDCF8AF">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lang w:eastAsia="zh-CN"/>
        </w:rPr>
        <w:t>（</w:t>
      </w:r>
      <w:r>
        <w:rPr>
          <w:rFonts w:hint="eastAsia" w:ascii="Calibri Light" w:hAnsi="Calibri Light" w:eastAsia="仿宋" w:cs="Times New Roman"/>
          <w:sz w:val="28"/>
          <w:lang w:val="en-US" w:eastAsia="zh-CN"/>
        </w:rPr>
        <w:t>2</w:t>
      </w:r>
      <w:r>
        <w:rPr>
          <w:rFonts w:hint="eastAsia" w:ascii="Calibri Light" w:hAnsi="Calibri Light" w:eastAsia="仿宋" w:cs="Times New Roman"/>
          <w:sz w:val="28"/>
          <w:lang w:eastAsia="zh-CN"/>
        </w:rPr>
        <w:t>）</w:t>
      </w:r>
      <w:r>
        <w:rPr>
          <w:rFonts w:hint="eastAsia" w:ascii="Calibri Light" w:hAnsi="Calibri Light" w:eastAsia="仿宋" w:cs="Times New Roman"/>
          <w:sz w:val="28"/>
        </w:rPr>
        <w:t>甲方应按合同约定向乙方支付服务费用。如乙方服务未达到合同要求，甲方有权拒付未达到要求部分的款项；</w:t>
      </w:r>
    </w:p>
    <w:p w14:paraId="30D669E5">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lang w:eastAsia="zh-CN"/>
        </w:rPr>
        <w:t>（</w:t>
      </w:r>
      <w:r>
        <w:rPr>
          <w:rFonts w:hint="eastAsia" w:ascii="Calibri Light" w:hAnsi="Calibri Light" w:eastAsia="仿宋" w:cs="Times New Roman"/>
          <w:sz w:val="28"/>
          <w:lang w:val="en-US" w:eastAsia="zh-CN"/>
        </w:rPr>
        <w:t>3</w:t>
      </w:r>
      <w:r>
        <w:rPr>
          <w:rFonts w:hint="eastAsia" w:ascii="Calibri Light" w:hAnsi="Calibri Light" w:eastAsia="仿宋" w:cs="Times New Roman"/>
          <w:sz w:val="28"/>
          <w:lang w:eastAsia="zh-CN"/>
        </w:rPr>
        <w:t>）</w:t>
      </w:r>
      <w:r>
        <w:rPr>
          <w:rFonts w:hint="eastAsia" w:ascii="Calibri Light" w:hAnsi="Calibri Light" w:eastAsia="仿宋" w:cs="Times New Roman"/>
          <w:sz w:val="28"/>
        </w:rPr>
        <w:t>甲方有权要求乙方提供与相关服务内容有关的相关信息；</w:t>
      </w:r>
    </w:p>
    <w:p w14:paraId="24A857FA">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lang w:eastAsia="zh-CN"/>
        </w:rPr>
        <w:t>（</w:t>
      </w:r>
      <w:r>
        <w:rPr>
          <w:rFonts w:hint="eastAsia" w:ascii="Calibri Light" w:hAnsi="Calibri Light" w:eastAsia="仿宋" w:cs="Times New Roman"/>
          <w:sz w:val="28"/>
          <w:lang w:val="en-US" w:eastAsia="zh-CN"/>
        </w:rPr>
        <w:t>4</w:t>
      </w:r>
      <w:r>
        <w:rPr>
          <w:rFonts w:hint="eastAsia" w:ascii="Calibri Light" w:hAnsi="Calibri Light" w:eastAsia="仿宋" w:cs="Times New Roman"/>
          <w:sz w:val="28"/>
          <w:lang w:eastAsia="zh-CN"/>
        </w:rPr>
        <w:t>）</w:t>
      </w:r>
      <w:r>
        <w:rPr>
          <w:rFonts w:hint="eastAsia" w:ascii="Calibri Light" w:hAnsi="Calibri Light" w:eastAsia="仿宋" w:cs="Times New Roman"/>
          <w:sz w:val="28"/>
        </w:rPr>
        <w:t>甲方有权得到符合合同要求的所有服务；</w:t>
      </w:r>
    </w:p>
    <w:p w14:paraId="0BD2A35D">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lang w:eastAsia="zh-CN"/>
        </w:rPr>
        <w:t>（</w:t>
      </w:r>
      <w:r>
        <w:rPr>
          <w:rFonts w:hint="eastAsia" w:ascii="Calibri Light" w:hAnsi="Calibri Light" w:eastAsia="仿宋" w:cs="Times New Roman"/>
          <w:sz w:val="28"/>
          <w:lang w:val="en-US" w:eastAsia="zh-CN"/>
        </w:rPr>
        <w:t>5</w:t>
      </w:r>
      <w:r>
        <w:rPr>
          <w:rFonts w:hint="eastAsia" w:ascii="Calibri Light" w:hAnsi="Calibri Light" w:eastAsia="仿宋" w:cs="Times New Roman"/>
          <w:sz w:val="28"/>
          <w:lang w:eastAsia="zh-CN"/>
        </w:rPr>
        <w:t>）</w:t>
      </w:r>
      <w:r>
        <w:rPr>
          <w:rFonts w:hint="eastAsia" w:ascii="Calibri Light" w:hAnsi="Calibri Light" w:eastAsia="仿宋" w:cs="Times New Roman"/>
          <w:sz w:val="28"/>
        </w:rPr>
        <w:t>乙方完成所有协议约定内容后，甲方根据项目实施情况出具的客观公正的书面用户验收意见。</w:t>
      </w:r>
    </w:p>
    <w:p w14:paraId="518CE4FC">
      <w:pPr>
        <w:spacing w:line="400" w:lineRule="exact"/>
        <w:ind w:firstLine="560" w:firstLineChars="200"/>
        <w:rPr>
          <w:rFonts w:ascii="Calibri Light" w:hAnsi="Calibri Light" w:eastAsia="仿宋" w:cs="Times New Roman"/>
          <w:sz w:val="28"/>
        </w:rPr>
      </w:pPr>
      <w:r>
        <w:rPr>
          <w:rFonts w:hint="eastAsia" w:ascii="Calibri Light" w:hAnsi="Calibri Light" w:eastAsia="仿宋" w:cs="Times New Roman"/>
          <w:sz w:val="28"/>
        </w:rPr>
        <w:t>（二）乙方的权利和义务</w:t>
      </w:r>
    </w:p>
    <w:p w14:paraId="6BD5CAE3">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lang w:eastAsia="zh-CN"/>
        </w:rPr>
        <w:t>（</w:t>
      </w:r>
      <w:r>
        <w:rPr>
          <w:rFonts w:hint="eastAsia" w:ascii="Calibri Light" w:hAnsi="Calibri Light" w:eastAsia="仿宋" w:cs="Times New Roman"/>
          <w:sz w:val="28"/>
          <w:lang w:val="en-US" w:eastAsia="zh-CN"/>
        </w:rPr>
        <w:t>1</w:t>
      </w:r>
      <w:r>
        <w:rPr>
          <w:rFonts w:hint="eastAsia" w:ascii="Calibri Light" w:hAnsi="Calibri Light" w:eastAsia="仿宋" w:cs="Times New Roman"/>
          <w:sz w:val="28"/>
          <w:lang w:eastAsia="zh-CN"/>
        </w:rPr>
        <w:t>）</w:t>
      </w:r>
      <w:r>
        <w:rPr>
          <w:rFonts w:hint="eastAsia" w:ascii="Calibri Light" w:hAnsi="Calibri Light" w:eastAsia="仿宋" w:cs="Times New Roman"/>
          <w:sz w:val="28"/>
        </w:rPr>
        <w:t>合作过程中乙方应指派专门的业务负责人负责合作事项的全程沟通及协调工作；</w:t>
      </w:r>
    </w:p>
    <w:p w14:paraId="1F34592F">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lang w:eastAsia="zh-CN"/>
        </w:rPr>
        <w:t>（</w:t>
      </w:r>
      <w:r>
        <w:rPr>
          <w:rFonts w:hint="eastAsia" w:ascii="Calibri Light" w:hAnsi="Calibri Light" w:eastAsia="仿宋" w:cs="Times New Roman"/>
          <w:sz w:val="28"/>
          <w:lang w:val="en-US" w:eastAsia="zh-CN"/>
        </w:rPr>
        <w:t>2</w:t>
      </w:r>
      <w:r>
        <w:rPr>
          <w:rFonts w:hint="eastAsia" w:ascii="Calibri Light" w:hAnsi="Calibri Light" w:eastAsia="仿宋" w:cs="Times New Roman"/>
          <w:sz w:val="28"/>
          <w:lang w:eastAsia="zh-CN"/>
        </w:rPr>
        <w:t>）</w:t>
      </w:r>
      <w:r>
        <w:rPr>
          <w:rFonts w:hint="eastAsia" w:ascii="Calibri Light" w:hAnsi="Calibri Light" w:eastAsia="仿宋" w:cs="Times New Roman"/>
          <w:sz w:val="28"/>
        </w:rPr>
        <w:t>乙方应遵守甲方有关合作事项的各项管理规定，及时报告工作进度，在规定时间内完成相应工作；</w:t>
      </w:r>
    </w:p>
    <w:p w14:paraId="5AFA5E04">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lang w:eastAsia="zh-CN"/>
        </w:rPr>
        <w:t>（</w:t>
      </w:r>
      <w:r>
        <w:rPr>
          <w:rFonts w:hint="eastAsia" w:ascii="Calibri Light" w:hAnsi="Calibri Light" w:eastAsia="仿宋" w:cs="Times New Roman"/>
          <w:sz w:val="28"/>
          <w:lang w:val="en-US" w:eastAsia="zh-CN"/>
        </w:rPr>
        <w:t>3</w:t>
      </w:r>
      <w:r>
        <w:rPr>
          <w:rFonts w:hint="eastAsia" w:ascii="Calibri Light" w:hAnsi="Calibri Light" w:eastAsia="仿宋" w:cs="Times New Roman"/>
          <w:sz w:val="28"/>
          <w:lang w:eastAsia="zh-CN"/>
        </w:rPr>
        <w:t>）</w:t>
      </w:r>
      <w:r>
        <w:rPr>
          <w:rFonts w:hint="eastAsia" w:ascii="Calibri Light" w:hAnsi="Calibri Light" w:eastAsia="仿宋" w:cs="Times New Roman"/>
          <w:sz w:val="28"/>
        </w:rPr>
        <w:t>甲方在工作质量、工作进度、工作内容等方面提出意见及建议，乙方应及时响应并有效改进；</w:t>
      </w:r>
    </w:p>
    <w:p w14:paraId="42C481B2">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lang w:eastAsia="zh-CN"/>
        </w:rPr>
        <w:t>（</w:t>
      </w:r>
      <w:r>
        <w:rPr>
          <w:rFonts w:hint="eastAsia" w:ascii="Calibri Light" w:hAnsi="Calibri Light" w:eastAsia="仿宋" w:cs="Times New Roman"/>
          <w:sz w:val="28"/>
          <w:lang w:val="en-US" w:eastAsia="zh-CN"/>
        </w:rPr>
        <w:t>4</w:t>
      </w:r>
      <w:r>
        <w:rPr>
          <w:rFonts w:hint="eastAsia" w:ascii="Calibri Light" w:hAnsi="Calibri Light" w:eastAsia="仿宋" w:cs="Times New Roman"/>
          <w:sz w:val="28"/>
          <w:lang w:eastAsia="zh-CN"/>
        </w:rPr>
        <w:t>）</w:t>
      </w:r>
      <w:r>
        <w:rPr>
          <w:rFonts w:hint="eastAsia" w:ascii="Calibri Light" w:hAnsi="Calibri Light" w:eastAsia="仿宋" w:cs="Times New Roman"/>
          <w:sz w:val="28"/>
        </w:rPr>
        <w:t>不得转包、分包；</w:t>
      </w:r>
    </w:p>
    <w:p w14:paraId="174191B2">
      <w:pPr>
        <w:tabs>
          <w:tab w:val="left" w:pos="480"/>
        </w:tabs>
        <w:ind w:firstLine="473" w:firstLineChars="196"/>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六、质量保证</w:t>
      </w:r>
    </w:p>
    <w:p w14:paraId="214DB0FA">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乙方所供服务必须执行下列条款：</w:t>
      </w:r>
    </w:p>
    <w:p w14:paraId="11A2201E">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（一）服务方案和方式科学、可行，人员配置合理，全面满足要求。</w:t>
      </w:r>
    </w:p>
    <w:p w14:paraId="51B07174">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（二）符合国家有关服务规范要求，确保各项服务达到最佳运行效果。</w:t>
      </w:r>
    </w:p>
    <w:p w14:paraId="2FE0760D">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（三）乙方提供的服务，若发生侵权而产生的一切后果，由乙方负责。甲方保留索赔权。</w:t>
      </w:r>
    </w:p>
    <w:p w14:paraId="0FBE776D">
      <w:pPr>
        <w:spacing w:line="400" w:lineRule="exact"/>
        <w:ind w:firstLine="562" w:firstLineChars="200"/>
        <w:rPr>
          <w:rFonts w:hint="eastAsia" w:ascii="Calibri Light" w:hAnsi="Calibri Light" w:eastAsia="仿宋" w:cs="Times New Roman"/>
          <w:b/>
          <w:color w:val="FF0000"/>
          <w:sz w:val="28"/>
        </w:rPr>
      </w:pPr>
      <w:r>
        <w:rPr>
          <w:rFonts w:hint="eastAsia" w:ascii="Calibri Light" w:hAnsi="Calibri Light" w:eastAsia="仿宋" w:cs="Times New Roman"/>
          <w:b/>
          <w:color w:val="FF0000"/>
          <w:sz w:val="28"/>
        </w:rPr>
        <w:t>（四）服务承诺内容。</w:t>
      </w:r>
    </w:p>
    <w:p w14:paraId="5CD85CCF">
      <w:pPr>
        <w:spacing w:line="400" w:lineRule="exact"/>
        <w:ind w:firstLine="562" w:firstLineChars="200"/>
        <w:rPr>
          <w:rFonts w:hint="eastAsia" w:ascii="Calibri Light" w:hAnsi="Calibri Light" w:eastAsia="仿宋" w:cs="Times New Roman"/>
          <w:b/>
          <w:color w:val="FF0000"/>
          <w:sz w:val="28"/>
        </w:rPr>
      </w:pPr>
      <w:r>
        <w:rPr>
          <w:rFonts w:hint="eastAsia" w:ascii="Calibri Light" w:hAnsi="Calibri Light" w:eastAsia="仿宋" w:cs="Times New Roman"/>
          <w:b/>
          <w:color w:val="FF0000"/>
          <w:sz w:val="28"/>
        </w:rPr>
        <w:t>（五）双方拟定的其他条款。</w:t>
      </w:r>
    </w:p>
    <w:p w14:paraId="4509CDD5">
      <w:pPr>
        <w:ind w:firstLine="482" w:firstLineChars="200"/>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七、验收</w:t>
      </w:r>
    </w:p>
    <w:p w14:paraId="390A96A7">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14:paraId="2AE1B4E3">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（二）乙方向甲方提交服务实施过程中的所有资料。以便甲方日后管理和维护。</w:t>
      </w:r>
    </w:p>
    <w:p w14:paraId="536227C7">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（三）验收依据：</w:t>
      </w:r>
    </w:p>
    <w:p w14:paraId="2EF33961">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1、</w:t>
      </w:r>
      <w:r>
        <w:rPr>
          <w:rFonts w:hint="default" w:ascii="Calibri Light" w:hAnsi="Calibri Light" w:eastAsia="仿宋" w:cs="Times New Roman"/>
          <w:sz w:val="28"/>
        </w:rPr>
        <w:t>竞争性磋商文件</w:t>
      </w:r>
      <w:r>
        <w:rPr>
          <w:rFonts w:hint="eastAsia" w:ascii="Calibri Light" w:hAnsi="Calibri Light" w:eastAsia="仿宋" w:cs="Times New Roman"/>
          <w:sz w:val="28"/>
        </w:rPr>
        <w:t>、</w:t>
      </w:r>
      <w:r>
        <w:rPr>
          <w:rFonts w:hint="default" w:ascii="Calibri Light" w:hAnsi="Calibri Light" w:eastAsia="仿宋" w:cs="Times New Roman"/>
          <w:sz w:val="28"/>
        </w:rPr>
        <w:t>响应文件</w:t>
      </w:r>
      <w:r>
        <w:rPr>
          <w:rFonts w:hint="eastAsia" w:ascii="Calibri Light" w:hAnsi="Calibri Light" w:eastAsia="仿宋" w:cs="Times New Roman"/>
          <w:sz w:val="28"/>
        </w:rPr>
        <w:t>、澄清表（函）；</w:t>
      </w:r>
    </w:p>
    <w:p w14:paraId="756D50B6">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2、本合同及附件文本；</w:t>
      </w:r>
    </w:p>
    <w:p w14:paraId="4D2C869A">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3、国家相应的标准、规范。</w:t>
      </w:r>
    </w:p>
    <w:p w14:paraId="25C63CDE">
      <w:pPr>
        <w:tabs>
          <w:tab w:val="left" w:pos="480"/>
        </w:tabs>
        <w:ind w:firstLine="473" w:firstLineChars="196"/>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八、违约责任</w:t>
      </w:r>
    </w:p>
    <w:p w14:paraId="10527E8A">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（一）合同中未约定的</w:t>
      </w:r>
      <w:r>
        <w:rPr>
          <w:rFonts w:hint="default" w:ascii="Calibri Light" w:hAnsi="Calibri Light" w:eastAsia="仿宋" w:cs="Times New Roman"/>
          <w:sz w:val="28"/>
        </w:rPr>
        <w:t>，</w:t>
      </w:r>
      <w:r>
        <w:rPr>
          <w:rFonts w:hint="eastAsia" w:ascii="Calibri Light" w:hAnsi="Calibri Light" w:eastAsia="仿宋" w:cs="Times New Roman"/>
          <w:sz w:val="28"/>
        </w:rPr>
        <w:t>按《</w:t>
      </w:r>
      <w:r>
        <w:rPr>
          <w:rFonts w:hint="eastAsia" w:ascii="Calibri Light" w:hAnsi="Calibri Light" w:eastAsia="仿宋" w:cs="Times New Roman"/>
          <w:sz w:val="28"/>
          <w:lang w:val="en-US" w:eastAsia="zh-Hans"/>
        </w:rPr>
        <w:t>民法典</w:t>
      </w:r>
      <w:r>
        <w:rPr>
          <w:rFonts w:hint="eastAsia" w:ascii="Calibri Light" w:hAnsi="Calibri Light" w:eastAsia="仿宋" w:cs="Times New Roman"/>
          <w:sz w:val="28"/>
        </w:rPr>
        <w:t>》中的相关条款执行。</w:t>
      </w:r>
    </w:p>
    <w:p w14:paraId="1DB87160">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（二）未按合同要求提供服务或服务质量不能满足合同要求，甲方应当将乙方违约的情况以及拟采取的措施以书面形式报政府采购监管部门，根据政府采购监管部门的处理意见，甲方有权依据《</w:t>
      </w:r>
      <w:r>
        <w:rPr>
          <w:rFonts w:hint="eastAsia" w:ascii="Calibri Light" w:hAnsi="Calibri Light" w:eastAsia="仿宋" w:cs="Times New Roman"/>
          <w:sz w:val="28"/>
          <w:lang w:val="en-US" w:eastAsia="zh-Hans"/>
        </w:rPr>
        <w:t>民法典</w:t>
      </w:r>
      <w:r>
        <w:rPr>
          <w:rFonts w:hint="eastAsia" w:ascii="Calibri Light" w:hAnsi="Calibri Light" w:eastAsia="仿宋" w:cs="Times New Roman"/>
          <w:sz w:val="28"/>
        </w:rPr>
        <w:t>》有关条款及合同约定解除合同，乙方</w:t>
      </w:r>
      <w:r>
        <w:rPr>
          <w:rFonts w:hint="eastAsia" w:ascii="Calibri Light" w:hAnsi="Calibri Light" w:eastAsia="仿宋" w:cs="Times New Roman"/>
          <w:sz w:val="28"/>
          <w:lang w:eastAsia="zh-Hans"/>
        </w:rPr>
        <w:t>应</w:t>
      </w:r>
      <w:r>
        <w:rPr>
          <w:rFonts w:hint="eastAsia" w:ascii="Calibri Light" w:hAnsi="Calibri Light" w:eastAsia="仿宋" w:cs="Times New Roman"/>
          <w:sz w:val="28"/>
        </w:rPr>
        <w:t>向甲方支付合同总价款    %的违约金。同时，政府采购监管部门有权依据《政府采购法》及相关法律法规对乙方的违法行为进行相应的处罚。</w:t>
      </w:r>
    </w:p>
    <w:p w14:paraId="3C5DFA7B">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（三）在本合同履行过程中，双方因违约或造成对方经济、社会效益等损失的应当赔偿。</w:t>
      </w:r>
    </w:p>
    <w:p w14:paraId="41572A13">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（四）甲方无正当理由拒绝接受服务的，</w:t>
      </w:r>
      <w:r>
        <w:rPr>
          <w:rFonts w:hint="eastAsia" w:ascii="Calibri Light" w:hAnsi="Calibri Light" w:eastAsia="仿宋" w:cs="Times New Roman"/>
          <w:sz w:val="28"/>
          <w:lang w:val="en-US" w:eastAsia="zh-Hans"/>
        </w:rPr>
        <w:t>需</w:t>
      </w:r>
      <w:r>
        <w:rPr>
          <w:rFonts w:hint="eastAsia" w:ascii="Calibri Light" w:hAnsi="Calibri Light" w:eastAsia="仿宋" w:cs="Times New Roman"/>
          <w:sz w:val="28"/>
        </w:rPr>
        <w:t>向乙方偿付本合同总价款</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%的违约金。甲方由于自身原因逾期付款的，则每日按逾期金额的</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u w:val="single"/>
          <w:lang w:val="en-US" w:eastAsia="zh-CN"/>
        </w:rPr>
        <w:t xml:space="preserve"> </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%向乙方偿付违约金。</w:t>
      </w:r>
    </w:p>
    <w:p w14:paraId="1D8B940A">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（五）乙方提供的服务不符合本项目相关文件和本合同规定的，甲方有权拒绝，并且乙方须向甲方支付本合同总价款</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u w:val="single"/>
          <w:lang w:val="en-US" w:eastAsia="zh-CN"/>
        </w:rPr>
        <w:t xml:space="preserve"> </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%的违约金。</w:t>
      </w:r>
    </w:p>
    <w:p w14:paraId="3475E6F1">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（六）乙方未能按照本合同约定时间提供服务或完成约定的项目服务内容的，从逾期之日起每日按本合同总价款</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%的数额向甲方支付违约金；逾期</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日以上的，甲方有权终止合同，由此造成的甲方经济损失由乙方承担。</w:t>
      </w:r>
    </w:p>
    <w:p w14:paraId="67673F6E">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（七）未经甲方同意，乙方不得擅自将本合同服务分包或转包第三方承担。</w:t>
      </w:r>
    </w:p>
    <w:p w14:paraId="57086577">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（八）</w:t>
      </w:r>
      <w:r>
        <w:rPr>
          <w:rFonts w:hint="eastAsia" w:ascii="Calibri Light" w:hAnsi="Calibri Light" w:eastAsia="仿宋" w:cs="Times New Roman"/>
          <w:sz w:val="28"/>
          <w:lang w:eastAsia="zh-Hans"/>
        </w:rPr>
        <w:t>本合同中各条款约定的违约金可自甲方未支付款项中直接扣除，违约金若不能弥补甲方损失的，乙方还应</w:t>
      </w:r>
      <w:r>
        <w:rPr>
          <w:rFonts w:hint="eastAsia" w:ascii="Calibri Light" w:hAnsi="Calibri Light" w:eastAsia="仿宋" w:cs="Times New Roman"/>
          <w:sz w:val="28"/>
        </w:rPr>
        <w:t>赔偿</w:t>
      </w:r>
      <w:r>
        <w:rPr>
          <w:rFonts w:hint="eastAsia" w:ascii="Calibri Light" w:hAnsi="Calibri Light" w:eastAsia="仿宋" w:cs="Times New Roman"/>
          <w:sz w:val="28"/>
          <w:lang w:eastAsia="zh-Hans"/>
        </w:rPr>
        <w:t>甲方损失。</w:t>
      </w:r>
    </w:p>
    <w:p w14:paraId="72BC5191">
      <w:pPr>
        <w:tabs>
          <w:tab w:val="left" w:pos="480"/>
        </w:tabs>
        <w:ind w:firstLine="482" w:firstLineChars="200"/>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九、保密条款</w:t>
      </w:r>
    </w:p>
    <w:p w14:paraId="2A143821">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3A03A55">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691EE94A">
      <w:pPr>
        <w:spacing w:line="400" w:lineRule="exact"/>
        <w:ind w:firstLine="560" w:firstLineChars="200"/>
        <w:rPr>
          <w:rFonts w:hint="eastAsia" w:ascii="Calibri Light" w:hAnsi="Calibri Light" w:eastAsia="仿宋" w:cs="Times New Roman"/>
          <w:b/>
          <w:color w:val="FF0000"/>
          <w:sz w:val="28"/>
        </w:rPr>
      </w:pPr>
      <w:r>
        <w:rPr>
          <w:rFonts w:hint="eastAsia" w:ascii="Calibri Light" w:hAnsi="Calibri Light" w:eastAsia="仿宋" w:cs="Times New Roman"/>
          <w:sz w:val="28"/>
        </w:rPr>
        <w:t>（三）本条款为独立条款，本合同的无效、变更、解除和终止均不影响本条款的效力。</w:t>
      </w:r>
    </w:p>
    <w:p w14:paraId="4D18E41F">
      <w:pPr>
        <w:tabs>
          <w:tab w:val="left" w:pos="480"/>
        </w:tabs>
        <w:ind w:firstLine="482" w:firstLineChars="200"/>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十、争议解决</w:t>
      </w:r>
    </w:p>
    <w:p w14:paraId="652FD072">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（一）本合同在履行过程中发生的争议，由甲、乙双方当事人协商解决，协商不成的按下列第</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u w:val="single"/>
          <w:lang w:val="en-US" w:eastAsia="zh-CN"/>
        </w:rPr>
        <w:t>2</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种方式解决：</w:t>
      </w:r>
    </w:p>
    <w:p w14:paraId="5C375E8F">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1、提交西安仲裁委员会仲裁；</w:t>
      </w:r>
    </w:p>
    <w:p w14:paraId="016BEC8C">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2、依法向甲方所在地人民法院起诉。</w:t>
      </w:r>
    </w:p>
    <w:p w14:paraId="61B6F9C9">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（二）本条款为独立条款，本合同的无效、变更、解除和终止均不影响本条款的效力。</w:t>
      </w:r>
    </w:p>
    <w:p w14:paraId="23AB452D">
      <w:pPr>
        <w:tabs>
          <w:tab w:val="left" w:pos="480"/>
        </w:tabs>
        <w:ind w:firstLine="482" w:firstLineChars="200"/>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十一、关于送达的约定</w:t>
      </w:r>
    </w:p>
    <w:p w14:paraId="620761A0">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（一）本合同项下甲乙双方任何一方向对方发出的通知、信件、数据电文等，应当发送至本合同下列约定的地址、联系人和通信终端。</w:t>
      </w:r>
    </w:p>
    <w:p w14:paraId="36B54171">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甲方联系人：</w:t>
      </w:r>
    </w:p>
    <w:p w14:paraId="0292F580">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联系电话：</w:t>
      </w:r>
    </w:p>
    <w:p w14:paraId="16D3AE94">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联系地址：</w:t>
      </w:r>
    </w:p>
    <w:p w14:paraId="78DB1FB1">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甲方（□同意□不同意）接受电子文件送达，电子终端信息如下：</w:t>
      </w:r>
    </w:p>
    <w:p w14:paraId="2EB344CD">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移动电话：</w:t>
      </w:r>
    </w:p>
    <w:p w14:paraId="4FE5939B">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微信号：</w:t>
      </w:r>
    </w:p>
    <w:p w14:paraId="0E5725F0">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乙方联系人：</w:t>
      </w:r>
    </w:p>
    <w:p w14:paraId="3E57B2E5">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联系电话：</w:t>
      </w:r>
    </w:p>
    <w:p w14:paraId="143A6336">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联系地址：</w:t>
      </w:r>
    </w:p>
    <w:p w14:paraId="22B7F037">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乙方（□同意□不同意）接受电子文件送达，电子终端信息如下：</w:t>
      </w:r>
    </w:p>
    <w:p w14:paraId="3EC43C3F">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移动电话：</w:t>
      </w:r>
    </w:p>
    <w:p w14:paraId="6FA0B677">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微信号：</w:t>
      </w:r>
    </w:p>
    <w:p w14:paraId="21765EB8">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（二）各种通讯方式应当按照下列方式确定其送达时间：</w:t>
      </w:r>
    </w:p>
    <w:p w14:paraId="31CAFBB1">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1、面呈之通知在被通知人签收时视为送达，被通知人未签收的不得视为有效的送达。</w:t>
      </w:r>
    </w:p>
    <w:p w14:paraId="1382CD90">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2、以邮寄方式进行的通知均应采用邮政挂号快件或特快专递的方式进行，自信件交邮后的第7日视为送达。</w:t>
      </w:r>
    </w:p>
    <w:p w14:paraId="76376017">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 xml:space="preserve">3、发出的短信/微信，自前述电子文件内容在发送方正确填写地址且未被系统退回的情况下，视为进入对方数据电文接收系统即视为送达。若送达日为非工作日, 则视为在下一工作日送达。   </w:t>
      </w:r>
    </w:p>
    <w:p w14:paraId="2E1D2AB8">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4、一方当事人变更名称、地址、联系人或通信终端的，应当在变更后3日内及时书面通知对方当事人，对方当事人实际收到变更通知前的送达仍为有效送达，电子送达与书面送达具有同等法律效力。</w:t>
      </w:r>
    </w:p>
    <w:p w14:paraId="6C2E40A8">
      <w:pPr>
        <w:tabs>
          <w:tab w:val="left" w:pos="480"/>
        </w:tabs>
        <w:ind w:firstLine="473" w:firstLineChars="196"/>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十二、合同变更</w:t>
      </w:r>
    </w:p>
    <w:p w14:paraId="47C32E47">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1C750C39">
      <w:pPr>
        <w:tabs>
          <w:tab w:val="left" w:pos="480"/>
        </w:tabs>
        <w:ind w:firstLine="473" w:firstLineChars="196"/>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十三、合同生效</w:t>
      </w:r>
    </w:p>
    <w:p w14:paraId="30802CE5">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本合同一式</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份，甲方持</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份，乙方持</w:t>
      </w:r>
      <w:r>
        <w:rPr>
          <w:rFonts w:hint="eastAsia" w:ascii="Calibri Light" w:hAnsi="Calibri Light" w:eastAsia="仿宋" w:cs="Times New Roman"/>
          <w:sz w:val="28"/>
          <w:u w:val="single"/>
        </w:rPr>
        <w:t xml:space="preserve">  </w:t>
      </w:r>
      <w:r>
        <w:rPr>
          <w:rFonts w:hint="eastAsia" w:ascii="Calibri Light" w:hAnsi="Calibri Light" w:eastAsia="仿宋" w:cs="Times New Roman"/>
          <w:sz w:val="28"/>
        </w:rPr>
        <w:t>份，鉴证方持壹份，本合同甲、乙、鉴证</w:t>
      </w:r>
      <w:r>
        <w:rPr>
          <w:rFonts w:hint="eastAsia" w:ascii="Calibri Light" w:hAnsi="Calibri Light" w:eastAsia="仿宋" w:cs="Times New Roman"/>
          <w:sz w:val="28"/>
          <w:lang w:val="en-US" w:eastAsia="zh-Hans"/>
        </w:rPr>
        <w:t>方</w:t>
      </w:r>
      <w:r>
        <w:rPr>
          <w:rFonts w:hint="eastAsia" w:ascii="Calibri Light" w:hAnsi="Calibri Light" w:eastAsia="仿宋" w:cs="Times New Roman"/>
          <w:sz w:val="28"/>
        </w:rPr>
        <w:t>各方签字</w:t>
      </w:r>
      <w:r>
        <w:rPr>
          <w:rFonts w:hint="eastAsia" w:ascii="Calibri Light" w:hAnsi="Calibri Light" w:eastAsia="仿宋" w:cs="Times New Roman"/>
          <w:sz w:val="28"/>
          <w:lang w:eastAsia="zh-Hans"/>
        </w:rPr>
        <w:t>并</w:t>
      </w:r>
      <w:r>
        <w:rPr>
          <w:rFonts w:hint="eastAsia" w:ascii="Calibri Light" w:hAnsi="Calibri Light" w:eastAsia="仿宋" w:cs="Times New Roman"/>
          <w:sz w:val="28"/>
        </w:rPr>
        <w:t>盖章后生效，</w:t>
      </w:r>
      <w:r>
        <w:rPr>
          <w:rFonts w:hint="eastAsia" w:ascii="Calibri Light" w:hAnsi="Calibri Light" w:eastAsia="仿宋" w:cs="Times New Roman"/>
          <w:sz w:val="28"/>
          <w:lang w:val="en-US" w:eastAsia="zh-Hans"/>
        </w:rPr>
        <w:t>由甲方在政府采购综合管理平台完成备案</w:t>
      </w:r>
      <w:r>
        <w:rPr>
          <w:rFonts w:hint="default" w:ascii="Calibri Light" w:hAnsi="Calibri Light" w:eastAsia="仿宋" w:cs="Times New Roman"/>
          <w:sz w:val="28"/>
          <w:lang w:eastAsia="zh-Hans"/>
        </w:rPr>
        <w:t>。</w:t>
      </w:r>
      <w:r>
        <w:rPr>
          <w:rFonts w:hint="eastAsia" w:ascii="Calibri Light" w:hAnsi="Calibri Light" w:eastAsia="仿宋" w:cs="Times New Roman"/>
          <w:sz w:val="28"/>
        </w:rPr>
        <w:t>合同执行完毕后，自动失效（合同的服务承诺则长期有效）。</w:t>
      </w:r>
    </w:p>
    <w:p w14:paraId="38150101">
      <w:pPr>
        <w:tabs>
          <w:tab w:val="left" w:pos="480"/>
        </w:tabs>
        <w:ind w:firstLine="473" w:firstLineChars="196"/>
        <w:rPr>
          <w:rFonts w:hint="eastAsia" w:ascii="仿宋_GB2312" w:hAnsi="宋体" w:eastAsia="仿宋_GB2312" w:cs="Times New Roman"/>
          <w:b/>
          <w:color w:val="000000"/>
          <w:spacing w:val="-20"/>
          <w:kern w:val="0"/>
          <w:sz w:val="28"/>
          <w:szCs w:val="20"/>
        </w:rPr>
      </w:pPr>
      <w:r>
        <w:rPr>
          <w:rFonts w:hint="eastAsia" w:ascii="仿宋_GB2312" w:hAnsi="宋体" w:eastAsia="仿宋_GB2312" w:cs="Times New Roman"/>
          <w:b/>
          <w:color w:val="000000"/>
          <w:spacing w:val="-20"/>
          <w:kern w:val="0"/>
          <w:sz w:val="28"/>
          <w:szCs w:val="20"/>
        </w:rPr>
        <w:t>十四、其他事项</w:t>
      </w:r>
    </w:p>
    <w:p w14:paraId="78B385F5">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（一）鉴证方作为集中采购代理机构对合同进行确认。</w:t>
      </w:r>
    </w:p>
    <w:p w14:paraId="24468946">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（二）西安市财政局政府采购管理处在合同的履行期间以及履行期后，可以随时检查项目的执行情况，对采购标准、采购内容进行调查核实，并对发现的问题进行处理。</w:t>
      </w:r>
    </w:p>
    <w:p w14:paraId="1038069C">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（三）</w:t>
      </w:r>
      <w:r>
        <w:rPr>
          <w:rFonts w:hint="default" w:ascii="Calibri Light" w:hAnsi="Calibri Light" w:eastAsia="仿宋" w:cs="Times New Roman"/>
          <w:sz w:val="28"/>
        </w:rPr>
        <w:t>竞争性磋商文件</w:t>
      </w:r>
      <w:r>
        <w:rPr>
          <w:rFonts w:hint="eastAsia" w:ascii="Calibri Light" w:hAnsi="Calibri Light" w:eastAsia="仿宋" w:cs="Times New Roman"/>
          <w:sz w:val="28"/>
        </w:rPr>
        <w:t>、</w:t>
      </w:r>
      <w:r>
        <w:rPr>
          <w:rFonts w:hint="default" w:ascii="Calibri Light" w:hAnsi="Calibri Light" w:eastAsia="仿宋" w:cs="Times New Roman"/>
          <w:sz w:val="28"/>
        </w:rPr>
        <w:t>响应文件</w:t>
      </w:r>
      <w:r>
        <w:rPr>
          <w:rFonts w:hint="eastAsia" w:ascii="Calibri Light" w:hAnsi="Calibri Light" w:eastAsia="仿宋" w:cs="Times New Roman"/>
          <w:sz w:val="28"/>
        </w:rPr>
        <w:t>、澄清表（函）、</w:t>
      </w:r>
      <w:r>
        <w:rPr>
          <w:rFonts w:hint="default" w:ascii="Calibri Light" w:hAnsi="Calibri Light" w:eastAsia="仿宋" w:cs="Times New Roman"/>
          <w:sz w:val="28"/>
        </w:rPr>
        <w:t>成交</w:t>
      </w:r>
      <w:r>
        <w:rPr>
          <w:rFonts w:hint="eastAsia" w:ascii="Calibri Light" w:hAnsi="Calibri Light" w:eastAsia="仿宋" w:cs="Times New Roman"/>
          <w:sz w:val="28"/>
        </w:rPr>
        <w:t>通知书、合同附件均成为合同不可分割的部分。</w:t>
      </w:r>
    </w:p>
    <w:p w14:paraId="10611287">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（四）甲乙双方因不可抗力导致本合同全部或部分不能履行时，发生不可抗力的一方应当在不可抗力发生后   天内书面通知对方，以减轻可能给对方造成的损失。因不可抗力导致本合同全部或部分不能履行时，双方各自承担其因此而造成的损失、损害。</w:t>
      </w:r>
    </w:p>
    <w:p w14:paraId="73178D1B">
      <w:pPr>
        <w:spacing w:line="400" w:lineRule="exact"/>
        <w:ind w:firstLine="560" w:firstLineChars="200"/>
        <w:rPr>
          <w:rFonts w:hint="eastAsia" w:ascii="Calibri Light" w:hAnsi="Calibri Light" w:eastAsia="仿宋" w:cs="Times New Roman"/>
          <w:sz w:val="28"/>
        </w:rPr>
      </w:pPr>
      <w:r>
        <w:rPr>
          <w:rFonts w:hint="eastAsia" w:ascii="Calibri Light" w:hAnsi="Calibri Light" w:eastAsia="仿宋" w:cs="Times New Roman"/>
          <w:sz w:val="28"/>
        </w:rPr>
        <w:t>（五）合同未尽事宜，由甲、乙双方协商并经鉴证方确认后签订政府采购补充合同，与原合同具有同等法律效力。</w:t>
      </w:r>
    </w:p>
    <w:p w14:paraId="36F6EA9F">
      <w:pPr>
        <w:spacing w:line="400" w:lineRule="exact"/>
        <w:ind w:firstLine="560" w:firstLineChars="200"/>
        <w:rPr>
          <w:rFonts w:hint="default" w:ascii="Calibri Light" w:hAnsi="Calibri Light" w:eastAsia="仿宋" w:cs="Times New Roman"/>
          <w:sz w:val="28"/>
          <w:lang w:val="en-US" w:eastAsia="zh-CN"/>
        </w:rPr>
      </w:pPr>
      <w:r>
        <w:rPr>
          <w:rFonts w:hint="eastAsia" w:ascii="Calibri Light" w:hAnsi="Calibri Light" w:eastAsia="仿宋" w:cs="Times New Roman"/>
          <w:sz w:val="28"/>
          <w:lang w:eastAsia="zh-CN"/>
        </w:rPr>
        <w:t>（六）本公司规模为</w:t>
      </w:r>
      <w:r>
        <w:rPr>
          <w:rFonts w:hint="eastAsia" w:ascii="Calibri Light" w:hAnsi="Calibri Light" w:eastAsia="仿宋" w:cs="Times New Roman"/>
          <w:b/>
          <w:bCs/>
          <w:color w:val="FF0000"/>
          <w:sz w:val="28"/>
          <w:lang w:val="en-US" w:eastAsia="zh-CN"/>
        </w:rPr>
        <w:t>中型企业/小型企业/其他</w:t>
      </w:r>
      <w:r>
        <w:rPr>
          <w:rFonts w:hint="eastAsia" w:ascii="Calibri Light" w:hAnsi="Calibri Light" w:eastAsia="仿宋" w:cs="Times New Roman"/>
          <w:sz w:val="28"/>
          <w:lang w:val="en-US" w:eastAsia="zh-CN"/>
        </w:rPr>
        <w:t>。</w:t>
      </w:r>
    </w:p>
    <w:p w14:paraId="5B5BF908">
      <w:pPr>
        <w:spacing w:line="400" w:lineRule="exact"/>
        <w:ind w:firstLine="562" w:firstLineChars="200"/>
        <w:rPr>
          <w:rFonts w:hint="eastAsia" w:ascii="Calibri Light" w:hAnsi="Calibri Light" w:eastAsia="仿宋" w:cs="Times New Roman"/>
          <w:b/>
          <w:color w:val="FF0000"/>
          <w:sz w:val="28"/>
        </w:rPr>
      </w:pPr>
    </w:p>
    <w:p w14:paraId="32707BF5">
      <w:pPr>
        <w:spacing w:line="400" w:lineRule="exact"/>
        <w:rPr>
          <w:rFonts w:ascii="Calibri Light" w:hAnsi="Calibri Light" w:eastAsia="仿宋" w:cs="Times New Roman"/>
          <w:b/>
          <w:color w:val="FF0000"/>
          <w:sz w:val="28"/>
        </w:rPr>
      </w:pPr>
    </w:p>
    <w:p w14:paraId="0AA81E34">
      <w:pPr>
        <w:tabs>
          <w:tab w:val="left" w:pos="480"/>
        </w:tabs>
        <w:ind w:firstLine="480" w:firstLineChars="200"/>
        <w:rPr>
          <w:rFonts w:hint="eastAsia" w:ascii="仿宋_GB2312" w:hAnsi="宋体" w:eastAsia="仿宋_GB2312" w:cs="Times New Roman"/>
          <w:color w:val="000000"/>
          <w:spacing w:val="-20"/>
          <w:kern w:val="0"/>
          <w:sz w:val="28"/>
          <w:szCs w:val="20"/>
        </w:rPr>
      </w:pPr>
      <w:r>
        <w:rPr>
          <w:rFonts w:ascii="仿宋_GB2312" w:hAnsi="宋体" w:eastAsia="仿宋_GB2312" w:cs="Times New Roman"/>
          <w:color w:val="000000"/>
          <w:spacing w:val="-20"/>
          <w:kern w:val="0"/>
          <w:sz w:val="28"/>
          <w:szCs w:val="20"/>
        </w:rPr>
        <w:br w:type="page"/>
      </w:r>
    </w:p>
    <w:tbl>
      <w:tblPr>
        <w:tblStyle w:val="8"/>
        <w:tblW w:w="1008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5"/>
        <w:gridCol w:w="3095"/>
        <w:gridCol w:w="4070"/>
      </w:tblGrid>
      <w:tr w14:paraId="2DCDA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15" w:type="dxa"/>
            <w:tcBorders>
              <w:top w:val="single" w:color="auto" w:sz="4" w:space="0"/>
              <w:left w:val="single" w:color="auto" w:sz="4" w:space="0"/>
              <w:bottom w:val="single" w:color="auto" w:sz="4" w:space="0"/>
              <w:right w:val="single" w:color="auto" w:sz="4" w:space="0"/>
            </w:tcBorders>
            <w:noWrap w:val="0"/>
            <w:vAlign w:val="top"/>
          </w:tcPr>
          <w:p w14:paraId="4AD290E9">
            <w:pPr>
              <w:autoSpaceDE w:val="0"/>
              <w:autoSpaceDN w:val="0"/>
              <w:adjustRightInd w:val="0"/>
              <w:spacing w:line="360" w:lineRule="auto"/>
              <w:jc w:val="center"/>
              <w:rPr>
                <w:rFonts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甲  方</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4579E663">
            <w:pPr>
              <w:autoSpaceDE w:val="0"/>
              <w:autoSpaceDN w:val="0"/>
              <w:adjustRightInd w:val="0"/>
              <w:spacing w:line="360" w:lineRule="auto"/>
              <w:jc w:val="center"/>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乙  方</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37CCEFDC">
            <w:pPr>
              <w:autoSpaceDE w:val="0"/>
              <w:autoSpaceDN w:val="0"/>
              <w:adjustRightInd w:val="0"/>
              <w:spacing w:line="360" w:lineRule="auto"/>
              <w:jc w:val="center"/>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鉴 证 方</w:t>
            </w:r>
          </w:p>
        </w:tc>
      </w:tr>
      <w:tr w14:paraId="4F56D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center"/>
          </w:tcPr>
          <w:p w14:paraId="0295AB33">
            <w:pPr>
              <w:autoSpaceDE w:val="0"/>
              <w:autoSpaceDN w:val="0"/>
              <w:adjustRightInd w:val="0"/>
              <w:spacing w:line="360" w:lineRule="auto"/>
              <w:jc w:val="center"/>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采购人名称</w:t>
            </w:r>
          </w:p>
          <w:p w14:paraId="31E794CA">
            <w:pPr>
              <w:autoSpaceDE w:val="0"/>
              <w:autoSpaceDN w:val="0"/>
              <w:adjustRightInd w:val="0"/>
              <w:spacing w:line="360" w:lineRule="auto"/>
              <w:jc w:val="center"/>
              <w:rPr>
                <w:rFonts w:hint="eastAsia" w:ascii="仿宋_GB2312" w:hAnsi="宋体" w:eastAsia="仿宋_GB2312" w:cs="Times New Roman"/>
                <w:b/>
                <w:color w:val="FF0000"/>
                <w:spacing w:val="-20"/>
                <w:kern w:val="0"/>
                <w:sz w:val="28"/>
                <w:szCs w:val="20"/>
              </w:rPr>
            </w:pPr>
            <w:r>
              <w:rPr>
                <w:rFonts w:hint="eastAsia" w:ascii="仿宋_GB2312" w:hAnsi="宋体" w:eastAsia="仿宋_GB2312" w:cs="Times New Roman"/>
                <w:b/>
                <w:color w:val="FF0000"/>
                <w:spacing w:val="-20"/>
                <w:kern w:val="0"/>
                <w:sz w:val="28"/>
                <w:szCs w:val="20"/>
              </w:rPr>
              <w:t>（请填写具体名称）</w:t>
            </w:r>
          </w:p>
          <w:p w14:paraId="6ECD3B27">
            <w:pPr>
              <w:autoSpaceDE w:val="0"/>
              <w:autoSpaceDN w:val="0"/>
              <w:adjustRightInd w:val="0"/>
              <w:spacing w:line="360" w:lineRule="auto"/>
              <w:ind w:firstLine="840" w:firstLineChars="350"/>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（盖章）</w:t>
            </w:r>
          </w:p>
        </w:tc>
        <w:tc>
          <w:tcPr>
            <w:tcW w:w="3095" w:type="dxa"/>
            <w:tcBorders>
              <w:top w:val="single" w:color="auto" w:sz="4" w:space="0"/>
              <w:left w:val="single" w:color="auto" w:sz="4" w:space="0"/>
              <w:bottom w:val="single" w:color="auto" w:sz="4" w:space="0"/>
              <w:right w:val="single" w:color="auto" w:sz="4" w:space="0"/>
            </w:tcBorders>
            <w:noWrap w:val="0"/>
            <w:vAlign w:val="center"/>
          </w:tcPr>
          <w:p w14:paraId="0D25C1F5">
            <w:pPr>
              <w:autoSpaceDE w:val="0"/>
              <w:autoSpaceDN w:val="0"/>
              <w:adjustRightInd w:val="0"/>
              <w:spacing w:line="360" w:lineRule="auto"/>
              <w:jc w:val="center"/>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供应商全称</w:t>
            </w:r>
          </w:p>
          <w:p w14:paraId="3853D725">
            <w:pPr>
              <w:autoSpaceDE w:val="0"/>
              <w:autoSpaceDN w:val="0"/>
              <w:adjustRightInd w:val="0"/>
              <w:spacing w:line="360" w:lineRule="auto"/>
              <w:jc w:val="center"/>
              <w:rPr>
                <w:rFonts w:hint="eastAsia" w:ascii="仿宋_GB2312" w:hAnsi="宋体" w:eastAsia="仿宋_GB2312" w:cs="Times New Roman"/>
                <w:b/>
                <w:color w:val="FF0000"/>
                <w:spacing w:val="-20"/>
                <w:kern w:val="0"/>
                <w:sz w:val="28"/>
                <w:szCs w:val="20"/>
              </w:rPr>
            </w:pPr>
            <w:r>
              <w:rPr>
                <w:rFonts w:hint="eastAsia" w:ascii="仿宋_GB2312" w:hAnsi="宋体" w:eastAsia="仿宋_GB2312" w:cs="Times New Roman"/>
                <w:b/>
                <w:color w:val="FF0000"/>
                <w:spacing w:val="-20"/>
                <w:kern w:val="0"/>
                <w:sz w:val="28"/>
                <w:szCs w:val="20"/>
              </w:rPr>
              <w:t>（请填写具体名称）</w:t>
            </w:r>
          </w:p>
          <w:p w14:paraId="70F8261F">
            <w:pPr>
              <w:autoSpaceDE w:val="0"/>
              <w:autoSpaceDN w:val="0"/>
              <w:adjustRightInd w:val="0"/>
              <w:spacing w:line="360" w:lineRule="auto"/>
              <w:ind w:firstLine="960" w:firstLineChars="400"/>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（盖章）</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30C56211">
            <w:pPr>
              <w:autoSpaceDE w:val="0"/>
              <w:autoSpaceDN w:val="0"/>
              <w:adjustRightInd w:val="0"/>
              <w:spacing w:line="360" w:lineRule="auto"/>
              <w:jc w:val="center"/>
              <w:rPr>
                <w:rFonts w:hint="eastAsia" w:ascii="仿宋_GB2312" w:hAnsi="宋体" w:eastAsia="仿宋_GB2312" w:cs="Times New Roman"/>
                <w:color w:val="000000"/>
                <w:spacing w:val="-20"/>
                <w:kern w:val="0"/>
                <w:sz w:val="28"/>
                <w:szCs w:val="20"/>
                <w:lang w:eastAsia="zh-CN"/>
              </w:rPr>
            </w:pPr>
            <w:r>
              <w:rPr>
                <w:rFonts w:hint="eastAsia" w:ascii="仿宋_GB2312" w:hAnsi="宋体" w:eastAsia="仿宋_GB2312" w:cs="Times New Roman"/>
                <w:color w:val="000000"/>
                <w:spacing w:val="-20"/>
                <w:kern w:val="0"/>
                <w:sz w:val="28"/>
                <w:szCs w:val="20"/>
                <w:lang w:eastAsia="zh-CN"/>
              </w:rPr>
              <w:t>代理机构全称</w:t>
            </w:r>
          </w:p>
          <w:p w14:paraId="637152B1">
            <w:pPr>
              <w:autoSpaceDE w:val="0"/>
              <w:autoSpaceDN w:val="0"/>
              <w:adjustRightInd w:val="0"/>
              <w:spacing w:line="360" w:lineRule="auto"/>
              <w:jc w:val="center"/>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b/>
                <w:color w:val="FF0000"/>
                <w:spacing w:val="-20"/>
                <w:kern w:val="0"/>
                <w:sz w:val="28"/>
                <w:szCs w:val="20"/>
              </w:rPr>
              <w:t>（请填写具体名称）</w:t>
            </w:r>
          </w:p>
          <w:p w14:paraId="08A7F1C1">
            <w:pPr>
              <w:autoSpaceDE w:val="0"/>
              <w:autoSpaceDN w:val="0"/>
              <w:adjustRightInd w:val="0"/>
              <w:spacing w:line="360" w:lineRule="auto"/>
              <w:ind w:firstLine="1320" w:firstLineChars="550"/>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（盖章）</w:t>
            </w:r>
          </w:p>
        </w:tc>
      </w:tr>
      <w:tr w14:paraId="36869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915" w:type="dxa"/>
            <w:tcBorders>
              <w:top w:val="single" w:color="auto" w:sz="4" w:space="0"/>
              <w:left w:val="single" w:color="auto" w:sz="4" w:space="0"/>
              <w:bottom w:val="single" w:color="auto" w:sz="4" w:space="0"/>
              <w:right w:val="single" w:color="auto" w:sz="4" w:space="0"/>
            </w:tcBorders>
            <w:noWrap w:val="0"/>
            <w:vAlign w:val="top"/>
          </w:tcPr>
          <w:p w14:paraId="0ADF4C72">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 xml:space="preserve">地址： </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287E20DA">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地址：</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41559304">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地址：</w:t>
            </w:r>
          </w:p>
        </w:tc>
      </w:tr>
      <w:tr w14:paraId="73BC9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2915" w:type="dxa"/>
            <w:tcBorders>
              <w:top w:val="single" w:color="auto" w:sz="4" w:space="0"/>
              <w:left w:val="single" w:color="auto" w:sz="4" w:space="0"/>
              <w:bottom w:val="single" w:color="auto" w:sz="4" w:space="0"/>
              <w:right w:val="single" w:color="auto" w:sz="4" w:space="0"/>
            </w:tcBorders>
            <w:noWrap w:val="0"/>
            <w:vAlign w:val="top"/>
          </w:tcPr>
          <w:p w14:paraId="27708FB0">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邮编：</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5C481886">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邮编：</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51C2DD80">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邮编：</w:t>
            </w:r>
          </w:p>
        </w:tc>
      </w:tr>
      <w:tr w14:paraId="00507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2915" w:type="dxa"/>
            <w:tcBorders>
              <w:top w:val="single" w:color="auto" w:sz="4" w:space="0"/>
              <w:left w:val="single" w:color="auto" w:sz="4" w:space="0"/>
              <w:bottom w:val="single" w:color="auto" w:sz="4" w:space="0"/>
              <w:right w:val="single" w:color="auto" w:sz="4" w:space="0"/>
            </w:tcBorders>
            <w:noWrap w:val="0"/>
            <w:vAlign w:val="top"/>
          </w:tcPr>
          <w:p w14:paraId="2BF7285B">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 xml:space="preserve">法定代表人： </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1158051E">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法定代表人：</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424D4667">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法定代表人：</w:t>
            </w:r>
          </w:p>
        </w:tc>
      </w:tr>
      <w:tr w14:paraId="63015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trPr>
        <w:tc>
          <w:tcPr>
            <w:tcW w:w="2915" w:type="dxa"/>
            <w:tcBorders>
              <w:top w:val="single" w:color="auto" w:sz="4" w:space="0"/>
              <w:left w:val="single" w:color="auto" w:sz="4" w:space="0"/>
              <w:bottom w:val="single" w:color="auto" w:sz="4" w:space="0"/>
              <w:right w:val="single" w:color="auto" w:sz="4" w:space="0"/>
            </w:tcBorders>
            <w:noWrap w:val="0"/>
            <w:vAlign w:val="top"/>
          </w:tcPr>
          <w:p w14:paraId="3048714C">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被授权代表：（签字）</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2DACA4ED">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被授权代表：（签字）</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7265109F">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被授权代表：（签字）</w:t>
            </w:r>
          </w:p>
        </w:tc>
      </w:tr>
      <w:tr w14:paraId="78D55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7A3DE240">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电话：</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631019A6">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电话：</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5A9239E0">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电话：</w:t>
            </w:r>
          </w:p>
        </w:tc>
      </w:tr>
      <w:tr w14:paraId="53865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598AD3C2">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4F589092">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开户银行：</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00E0BCCC">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p>
        </w:tc>
      </w:tr>
      <w:tr w14:paraId="6BA9E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20F205FE">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233229D8">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帐号：</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66CB8A9E">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p>
        </w:tc>
      </w:tr>
      <w:tr w14:paraId="7040A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7B73F221">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日期：   年   月   日</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4C36F109">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日期：   年   月   日</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471B8E95">
            <w:pPr>
              <w:autoSpaceDE w:val="0"/>
              <w:autoSpaceDN w:val="0"/>
              <w:adjustRightInd w:val="0"/>
              <w:spacing w:line="360" w:lineRule="auto"/>
              <w:jc w:val="left"/>
              <w:rPr>
                <w:rFonts w:hint="eastAsia" w:ascii="仿宋_GB2312" w:hAnsi="宋体" w:eastAsia="仿宋_GB2312" w:cs="Times New Roman"/>
                <w:color w:val="000000"/>
                <w:spacing w:val="-20"/>
                <w:kern w:val="0"/>
                <w:sz w:val="28"/>
                <w:szCs w:val="20"/>
              </w:rPr>
            </w:pPr>
            <w:r>
              <w:rPr>
                <w:rFonts w:hint="eastAsia" w:ascii="仿宋_GB2312" w:hAnsi="宋体" w:eastAsia="仿宋_GB2312" w:cs="Times New Roman"/>
                <w:color w:val="000000"/>
                <w:spacing w:val="-20"/>
                <w:kern w:val="0"/>
                <w:sz w:val="28"/>
                <w:szCs w:val="20"/>
              </w:rPr>
              <w:t>日期：       年     月     日</w:t>
            </w:r>
          </w:p>
        </w:tc>
      </w:tr>
    </w:tbl>
    <w:p w14:paraId="1ADDD767">
      <w:pPr>
        <w:tabs>
          <w:tab w:val="left" w:pos="480"/>
        </w:tabs>
        <w:rPr>
          <w:rFonts w:hint="eastAsia" w:ascii="宋体" w:hAnsi="宋体" w:eastAsia="宋体" w:cs="Times New Roman"/>
          <w:b/>
          <w:szCs w:val="21"/>
        </w:rPr>
      </w:pPr>
    </w:p>
    <w:p w14:paraId="0EC6F2BC">
      <w:pPr>
        <w:rPr>
          <w:rFonts w:hint="eastAsia" w:ascii="Calibri" w:hAnsi="Calibri" w:eastAsia="宋体" w:cs="Times New Roman"/>
          <w:lang w:val="en-US" w:eastAsia="zh-Hans"/>
        </w:rPr>
      </w:pPr>
    </w:p>
    <w:p w14:paraId="62CA0096">
      <w:pPr>
        <w:rPr>
          <w:rFonts w:hint="eastAsia" w:ascii="Calibri" w:hAnsi="Calibri" w:eastAsia="宋体" w:cs="Times New Roman"/>
          <w:lang w:val="en-US" w:eastAsia="zh-Hans"/>
        </w:rPr>
      </w:pPr>
      <w:r>
        <w:rPr>
          <w:rFonts w:hint="eastAsia" w:ascii="仿宋_GB2312" w:hAnsi="仿宋_GB2312" w:eastAsia="仿宋_GB2312" w:cs="仿宋_GB2312"/>
          <w:lang w:val="en-US" w:eastAsia="zh-Hans"/>
        </w:rPr>
        <w:t xml:space="preserve"> </w:t>
      </w:r>
      <w:r>
        <w:rPr>
          <w:rFonts w:hint="eastAsia" w:ascii="仿宋_GB2312" w:hAnsi="仿宋_GB2312" w:eastAsia="仿宋_GB2312" w:cs="仿宋_GB2312"/>
          <w:lang w:val="en-US" w:eastAsia="zh-Hans"/>
        </w:rPr>
        <w:br w:type="textWrapping"/>
      </w:r>
    </w:p>
    <w:p w14:paraId="68EA5CE9"/>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213E100-E710-4C35-BE77-B78D5CB81ED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embedRegular r:id="rId2" w:fontKey="{2F9BB400-D3D7-45E0-9B45-2E6B9FC118A2}"/>
  </w:font>
  <w:font w:name="Calibri Light">
    <w:panose1 w:val="020F0302020204030204"/>
    <w:charset w:val="00"/>
    <w:family w:val="swiss"/>
    <w:pitch w:val="default"/>
    <w:sig w:usb0="E4002EFF" w:usb1="C000247B" w:usb2="00000009" w:usb3="00000000" w:csb0="200001FF" w:csb1="00000000"/>
    <w:embedRegular r:id="rId3" w:fontKey="{C6E8407C-F134-4BBE-8760-689B0103F3D4}"/>
  </w:font>
  <w:font w:name="仿宋">
    <w:panose1 w:val="02010609060101010101"/>
    <w:charset w:val="86"/>
    <w:family w:val="auto"/>
    <w:pitch w:val="default"/>
    <w:sig w:usb0="800002BF" w:usb1="38CF7CFA" w:usb2="00000016" w:usb3="00000000" w:csb0="00040001" w:csb1="00000000"/>
    <w:embedRegular r:id="rId4" w:fontKey="{C2516FDF-0976-4DBC-9B14-811C979C2131}"/>
  </w:font>
  <w:font w:name="方正仿宋_GBK">
    <w:panose1 w:val="02000000000000000000"/>
    <w:charset w:val="86"/>
    <w:family w:val="auto"/>
    <w:pitch w:val="default"/>
    <w:sig w:usb0="A00002BF" w:usb1="38CF7CFA" w:usb2="00082016" w:usb3="00000000" w:csb0="00040001" w:csb1="00000000"/>
    <w:embedRegular r:id="rId5" w:fontKey="{CAB9EA5E-9910-487A-923F-88EEDAAA97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30081">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91313A">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91313A">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F0BAE"/>
    <w:rsid w:val="57506419"/>
    <w:rsid w:val="5D245401"/>
    <w:rsid w:val="730D6C0C"/>
    <w:rsid w:val="7BC73BB5"/>
    <w:rsid w:val="7DEF0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val="0"/>
      <w:keepLines w:val="0"/>
      <w:pageBreakBefore w:val="0"/>
      <w:widowControl/>
      <w:kinsoku w:val="0"/>
      <w:wordWrap/>
      <w:overflowPunct/>
      <w:topLinePunct w:val="0"/>
      <w:autoSpaceDE w:val="0"/>
      <w:autoSpaceDN w:val="0"/>
      <w:bidi w:val="0"/>
      <w:adjustRightInd w:val="0"/>
      <w:snapToGrid w:val="0"/>
      <w:spacing w:before="0" w:line="360" w:lineRule="auto"/>
      <w:ind w:left="3339" w:leftChars="0"/>
      <w:jc w:val="left"/>
      <w:textAlignment w:val="baseline"/>
      <w:outlineLvl w:val="0"/>
    </w:pPr>
    <w:rPr>
      <w:rFonts w:ascii="宋体" w:hAnsi="宋体" w:eastAsia="宋体" w:cs="宋体"/>
      <w:b/>
      <w:bCs/>
      <w:snapToGrid w:val="0"/>
      <w:color w:val="000000"/>
      <w:spacing w:val="5"/>
      <w:kern w:val="0"/>
      <w:sz w:val="44"/>
      <w:szCs w:val="44"/>
      <w:lang w:val="en-US" w:eastAsia="en-US" w:bidi="ar-SA"/>
    </w:rPr>
  </w:style>
  <w:style w:type="paragraph" w:styleId="3">
    <w:name w:val="heading 2"/>
    <w:next w:val="1"/>
    <w:semiHidden/>
    <w:unhideWhenUsed/>
    <w:qFormat/>
    <w:uiPriority w:val="0"/>
    <w:pPr>
      <w:keepNext w:val="0"/>
      <w:keepLines w:val="0"/>
      <w:pageBreakBefore w:val="0"/>
      <w:widowControl/>
      <w:kinsoku w:val="0"/>
      <w:wordWrap/>
      <w:overflowPunct/>
      <w:topLinePunct w:val="0"/>
      <w:autoSpaceDE w:val="0"/>
      <w:autoSpaceDN w:val="0"/>
      <w:bidi w:val="0"/>
      <w:adjustRightInd w:val="0"/>
      <w:snapToGrid w:val="0"/>
      <w:spacing w:before="0" w:line="360" w:lineRule="auto"/>
      <w:ind w:left="176" w:leftChars="0"/>
      <w:jc w:val="center"/>
      <w:textAlignment w:val="baseline"/>
      <w:outlineLvl w:val="1"/>
    </w:pPr>
    <w:rPr>
      <w:rFonts w:ascii="宋体" w:hAnsi="宋体" w:eastAsia="宋体" w:cs="宋体"/>
      <w:b/>
      <w:bCs/>
      <w:snapToGrid w:val="0"/>
      <w:color w:val="000000"/>
      <w:spacing w:val="-4"/>
      <w:kern w:val="0"/>
      <w:sz w:val="36"/>
      <w:szCs w:val="36"/>
      <w:lang w:val="en-US" w:eastAsia="en-US" w:bidi="ar-SA"/>
    </w:rPr>
  </w:style>
  <w:style w:type="paragraph" w:styleId="4">
    <w:name w:val="heading 3"/>
    <w:basedOn w:val="5"/>
    <w:next w:val="1"/>
    <w:semiHidden/>
    <w:unhideWhenUsed/>
    <w:qFormat/>
    <w:uiPriority w:val="0"/>
    <w:pPr>
      <w:spacing w:before="245" w:line="377" w:lineRule="auto"/>
      <w:ind w:right="49"/>
      <w:outlineLvl w:val="2"/>
    </w:pPr>
    <w:rPr>
      <w:rFonts w:ascii="宋体" w:hAnsi="宋体" w:eastAsia="宋体" w:cs="宋体"/>
      <w:b/>
      <w:bCs/>
      <w:spacing w:val="9"/>
      <w:sz w:val="30"/>
      <w:szCs w:val="30"/>
      <w:lang w:eastAsia="zh-CN"/>
    </w:rPr>
  </w:style>
  <w:style w:type="paragraph" w:styleId="6">
    <w:name w:val="heading 5"/>
    <w:basedOn w:val="1"/>
    <w:next w:val="1"/>
    <w:semiHidden/>
    <w:unhideWhenUsed/>
    <w:qFormat/>
    <w:uiPriority w:val="0"/>
    <w:pPr>
      <w:keepNext/>
      <w:keepLines/>
      <w:spacing w:before="280" w:beforeLines="0" w:beforeAutospacing="0" w:after="290" w:afterLines="0" w:afterAutospacing="0" w:line="360" w:lineRule="auto"/>
      <w:jc w:val="left"/>
      <w:outlineLvl w:val="4"/>
    </w:pPr>
    <w:rPr>
      <w:rFonts w:ascii="Times New Roman" w:hAnsi="Times New Roman" w:eastAsia="宋体"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afterLines="0" w:afterAutospacing="0"/>
    </w:pPr>
  </w:style>
  <w:style w:type="paragraph" w:styleId="7">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2025-09-05T08:54:00Z</dcterms:created>
  <dc:creator>爱偷懒的阍者</dc:creator>
  <cp:lastModifiedBy>爱偷懒的阍者</cp:lastModifiedBy>
  <dcterms:modified xsi:type="dcterms:W3CDTF">2025-09-05T08:55:33Z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1002BD77A3E24166B2518001C54541B8_11</vt:lpwstr>
  </property>
  <property fmtid="{D5CDD505-2E9C-101B-9397-08002B2CF9AE}" pid="4" name="KSOTemplateDocerSaveRecord">
    <vt:lpwstr>eyJoZGlkIjoiMzA4MTI5ODgxNzk3MTk5OGRmZGU4Mzk0Y2QwNmU4YTIiLCJ1c2VySWQiOiIzNzkzMDIyNzAifQ==</vt:lpwstr>
  </property>
</Properties>
</file>