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版本号：JDZB-2025-2720250925001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西安市农灌区地下水监测及运行维护项目（2025年11月1日-2025年12月31日）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JDZB-2025-27</w:t>
      </w:r>
      <w:r>
        <w:br/>
      </w:r>
      <w:r>
        <w:br/>
      </w:r>
      <w:r>
        <w:br/>
      </w:r>
    </w:p>
    <w:p>
      <w:pPr>
        <w:pStyle w:val="null3"/>
        <w:jc w:val="center"/>
        <w:outlineLvl w:val="2"/>
      </w:pPr>
      <w:r>
        <w:rPr>
          <w:rFonts w:ascii="仿宋_GB2312" w:hAnsi="仿宋_GB2312" w:cs="仿宋_GB2312" w:eastAsia="仿宋_GB2312"/>
          <w:sz w:val="28"/>
          <w:b/>
        </w:rPr>
        <w:t>西安市水利水土保持工作总站</w:t>
      </w:r>
    </w:p>
    <w:p>
      <w:pPr>
        <w:pStyle w:val="null3"/>
        <w:jc w:val="center"/>
        <w:outlineLvl w:val="2"/>
      </w:pPr>
      <w:r>
        <w:rPr>
          <w:rFonts w:ascii="仿宋_GB2312" w:hAnsi="仿宋_GB2312" w:cs="仿宋_GB2312" w:eastAsia="仿宋_GB2312"/>
          <w:sz w:val="28"/>
          <w:b/>
        </w:rPr>
        <w:t>九鼎工程管理咨询有限公司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九鼎工程管理咨询有限公司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西安市水利水土保持工作总站</w:t>
      </w:r>
      <w:r>
        <w:rPr>
          <w:rFonts w:ascii="仿宋_GB2312" w:hAnsi="仿宋_GB2312" w:cs="仿宋_GB2312" w:eastAsia="仿宋_GB2312"/>
        </w:rPr>
        <w:t>委托，拟对</w:t>
      </w:r>
      <w:r>
        <w:rPr>
          <w:rFonts w:ascii="仿宋_GB2312" w:hAnsi="仿宋_GB2312" w:cs="仿宋_GB2312" w:eastAsia="仿宋_GB2312"/>
        </w:rPr>
        <w:t>西安市农灌区地下水监测及运行维护项目（2025年11月1日-2025年12月31日）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JDZB-2025-27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西安市农灌区地下水监测及运行维护项目（2025年11月1日-2025年12月31日）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西安市农灌区134眼地下水监测井数据采集整编;逐月审核后提交全套监测数据;逐月提交巡测纪实及影像视频资料;完成年度监测数据资料年鉴整编及刊印;完成134眼监测井及附属设施设备的管理维护;完成2020年至2025年全市地下水水位分析评价；完成全市监测站点“一张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采购包1（西安市农灌区地下水监测及运行维护项目（2025年11月1日-2025年12月31日））：属于专门面向中小企业采购。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2、财务状况报告：提供2024年度完整的财务审计报告（成立时间至开标时间不足一年的可提供成立后任意时段的资产负债表）或开标时间前六个月内基本账户银行出具的资信证明。</w:t>
      </w:r>
    </w:p>
    <w:p>
      <w:pPr>
        <w:pStyle w:val="null3"/>
      </w:pPr>
      <w:r>
        <w:rPr>
          <w:rFonts w:ascii="仿宋_GB2312" w:hAnsi="仿宋_GB2312" w:cs="仿宋_GB2312" w:eastAsia="仿宋_GB2312"/>
        </w:rPr>
        <w:t>3、税收交纳证明：提供2024年9月至今一个月已缴纳的增值税或营业税或企业所得税的凭据或税务机关开具的完税证明;依法免税的应提供相关文件证明;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4、社会保障资金交纳证明：提供2024年9月至今一个月已缴存的社会保障资金缴存单据或社保机构开具的社会保险参保缴费情况证明，依法不需要缴纳社会保障资金的单位应提供相关证明材料;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5、设备和专业技术能力的声明：提供具有履行本合同所必需的设备和专业技术能力的说明及承诺。</w:t>
      </w:r>
    </w:p>
    <w:p>
      <w:pPr>
        <w:pStyle w:val="null3"/>
      </w:pPr>
      <w:r>
        <w:rPr>
          <w:rFonts w:ascii="仿宋_GB2312" w:hAnsi="仿宋_GB2312" w:cs="仿宋_GB2312" w:eastAsia="仿宋_GB2312"/>
        </w:rPr>
        <w:t>6、书面声明：提供参加政府采购活动前三年内在经营活动中没有重大违法记录的书面声明。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7、法定代表人授权委托书：法定代表人直接参加投标，须提供法定代表人身份证明；法定代表人授权他人参加投标时，须提供法定代表人委托授权书（附法定代表人、被授权人身份证复印件）。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西安市水利水土保持工作总站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陕西省西安市未央区凤锦路58号沣惠综合服务大楼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西安市水利水土保持工作总站经办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029-62645851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九鼎工程管理咨询有限公司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西安市未央区二环北路西段福瑞苑大厦二单元18楼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15353051166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西安市水利水土保持工作总站</w:t>
      </w:r>
      <w:r>
        <w:rPr>
          <w:rFonts w:ascii="仿宋_GB2312" w:hAnsi="仿宋_GB2312" w:cs="仿宋_GB2312" w:eastAsia="仿宋_GB2312"/>
        </w:rPr>
        <w:t>和</w:t>
      </w:r>
      <w:r>
        <w:rPr>
          <w:rFonts w:ascii="仿宋_GB2312" w:hAnsi="仿宋_GB2312" w:cs="仿宋_GB2312" w:eastAsia="仿宋_GB2312"/>
        </w:rPr>
        <w:t>九鼎工程管理咨询有限公司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西安市水利水土保持工作总站</w:t>
      </w:r>
      <w:r>
        <w:rPr>
          <w:rFonts w:ascii="仿宋_GB2312" w:hAnsi="仿宋_GB2312" w:cs="仿宋_GB2312" w:eastAsia="仿宋_GB2312"/>
        </w:rPr>
        <w:t>负责解释。除上述磋商文件内容，其他内容由</w:t>
      </w:r>
      <w:r>
        <w:rPr>
          <w:rFonts w:ascii="仿宋_GB2312" w:hAnsi="仿宋_GB2312" w:cs="仿宋_GB2312" w:eastAsia="仿宋_GB2312"/>
        </w:rPr>
        <w:t>九鼎工程管理咨询有限公司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西安市水利水土保持工作总站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九鼎工程管理咨询有限公司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符合《地下水监测工程技术标准》、《地下水监测规范》和《陕西省地下水监测工作规则》等相关技术规范要求。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联系人：张晓妮</w:t>
      </w:r>
    </w:p>
    <w:p>
      <w:pPr>
        <w:pStyle w:val="null3"/>
      </w:pPr>
      <w:r>
        <w:rPr>
          <w:rFonts w:ascii="仿宋_GB2312" w:hAnsi="仿宋_GB2312" w:cs="仿宋_GB2312" w:eastAsia="仿宋_GB2312"/>
        </w:rPr>
        <w:t>联系电话：15353051166</w:t>
      </w:r>
    </w:p>
    <w:p>
      <w:pPr>
        <w:pStyle w:val="null3"/>
      </w:pPr>
      <w:r>
        <w:rPr>
          <w:rFonts w:ascii="仿宋_GB2312" w:hAnsi="仿宋_GB2312" w:cs="仿宋_GB2312" w:eastAsia="仿宋_GB2312"/>
        </w:rPr>
        <w:t>地址：西安市未央区二环北路西段福瑞苑大厦二单元18楼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西安市农灌区134眼地下水监测井数据采集整编;逐月审核后提交全套监测数据;逐月提交巡测纪实及影像视频资料;完成年度监测数据资料年鉴整编及刊印;完成134眼监测井及附属设施设备的管理维护;完成2020年至2025年全市地下水水位分析评价；完成全市监测站点“一张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402,600.00</w:t>
      </w:r>
    </w:p>
    <w:p>
      <w:pPr>
        <w:pStyle w:val="null3"/>
      </w:pPr>
      <w:r>
        <w:rPr>
          <w:rFonts w:ascii="仿宋_GB2312" w:hAnsi="仿宋_GB2312" w:cs="仿宋_GB2312" w:eastAsia="仿宋_GB2312"/>
        </w:rPr>
        <w:t>采购包最高限价（元）: 402,600.00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西安市农灌区地下水监测及运行维护项目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标的名称：西安市农灌区地下水监测及运行维护项目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一、采购内容</w:t>
            </w:r>
          </w:p>
          <w:p>
            <w:pPr>
              <w:pStyle w:val="null3"/>
              <w:jc w:val="both"/>
            </w:pPr>
            <w:r>
              <w:rPr>
                <w:rFonts w:ascii="仿宋_GB2312" w:hAnsi="仿宋_GB2312" w:cs="仿宋_GB2312" w:eastAsia="仿宋_GB2312"/>
                <w:sz w:val="20"/>
              </w:rPr>
              <w:t>完成西安市农灌区134眼地下水监测井数据采集整编，逐月审核后提交全套监测数据，逐月提交巡测纪实及影像视频资料；完成年度监测数据资料年鉴整编及刊印，完成134眼监测井及附属设施设备的管理维护；完成2020年至2025年全市地下水水位分析评价；完成全市监测站点“一张图”。</w:t>
            </w:r>
          </w:p>
          <w:p>
            <w:pPr>
              <w:pStyle w:val="null3"/>
              <w:jc w:val="both"/>
            </w:pPr>
            <w:r>
              <w:rPr>
                <w:rFonts w:ascii="仿宋_GB2312" w:hAnsi="仿宋_GB2312" w:cs="仿宋_GB2312" w:eastAsia="仿宋_GB2312"/>
                <w:sz w:val="20"/>
              </w:rPr>
              <w:t>二、需满足的</w:t>
            </w:r>
            <w:r>
              <w:rPr>
                <w:rFonts w:ascii="仿宋_GB2312" w:hAnsi="仿宋_GB2312" w:cs="仿宋_GB2312" w:eastAsia="仿宋_GB2312"/>
                <w:sz w:val="20"/>
              </w:rPr>
              <w:t>技术</w:t>
            </w:r>
            <w:r>
              <w:rPr>
                <w:rFonts w:ascii="仿宋_GB2312" w:hAnsi="仿宋_GB2312" w:cs="仿宋_GB2312" w:eastAsia="仿宋_GB2312"/>
                <w:sz w:val="20"/>
              </w:rPr>
              <w:t>要求</w:t>
            </w:r>
          </w:p>
          <w:p>
            <w:pPr>
              <w:pStyle w:val="null3"/>
            </w:pPr>
            <w:r>
              <w:rPr>
                <w:rFonts w:ascii="仿宋_GB2312" w:hAnsi="仿宋_GB2312" w:cs="仿宋_GB2312" w:eastAsia="仿宋_GB2312"/>
                <w:sz w:val="21"/>
              </w:rPr>
              <w:t>严格按照《地下水监测规范》（SL183-2005）、《城市地下水动态观测规程》（CJJ76-2012）和《陕西省地下水监测工作规则》等相关技术规范要求完成西安市农灌区134眼地下水监测井采集数据，按照《地下水监测规范》（SL183-2005）等整编数据、逐月及时上报，保证监测数据准确有效。做好监测井及附属设施管理维护，保证监测井及附属设施完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1.采购活动受国家法律保护和约束。双方遵守法律、法规和职业道德，凡在磋商过程中弄虚作假，一经查出，追究责任方的法律、经济责任。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4.成交单位不得对服务业务分包或转包。否则采购人有权终止合同，成交单位要承担由此造 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2025年11月1日-2025年12月31日。在甲方确定下一监测年度服务承担单位并签署合同前，乙方承诺并保证继续按质、按量提供监测服务并完成相应工作。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（1）验收要求：在本项目数据采集任务完成后，经自检合格后，乙方向甲方提交项目成果及巡测影像在内的有关材料，经甲方确认材料齐全、符合相关要求由甲方组织验收。 （2）验收方法：乙方提交相关资料、提出验收申请，经甲方初步审核且达到验收条件，由甲方组织、聘请专家进行项目验收。 （3）如通过验收，乙方应自通过之日起20日内向甲方提交项目全部成果及相关材料。 （4）如未通过验收，由此给甲方带来的损失由乙方承担。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乙方向甲方提供合同价款的40%的履约保函后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交的成果必须符合本合同的相关规定，未达到要求的，应按合同标的总金额百分之十向甲方支付违约金，经甲方要求整改后的30日内或甲方确定的其他期限内仍未达到要求，进而导致无法通过项目验收的，甲方有权解除合同，乙方还应同时返还甲方已支付的款项。2.乙方如未能按期提交项目成果，每延迟一日应按合同标的总金额千分之一向甲方支付迟延违约金。违约金首先从甲方未支付的项目款项中扣除。乙方逾期超过30日的，甲方有权要求解除合同，并有权要求乙方支付本合同总金额的20%违约金和承担甲方因此遭受的其他直接损失。3.乙方未按合同要求履行义务，且经甲方要求仍拒不改正的，应按合同标的总金额百分之十向甲方支付违约金。如拒不改正的部分或程度等导致本合同目的无法实现的，甲方有权解除合同，乙方还应同时返还甲方已支付的款项。4.争议解决和补充协议 因本合同产生或与本合同有关的任何争议，甲乙双方应协商解决，协商不成的依法向甲方所在地人民法院起诉。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储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提供2024年9月至今一个月已缴纳的增值税或营业税或企业所得税的凭据或税务机关开具的完税证明;依法免税的应提供相关文件证明;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提供2024年9月至今一个月已缴存的社会保障资金缴存单据或社保机构开具的社会保险参保缴费情况证明，依法不需要缴纳社会保障资金的单位应提供相关证明材料;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法定代表人直接参加投标，须提供法定代表人身份证明；法定代表人授权他人参加投标时，须提供法定代表人委托授权书（附法定代表人、被授权人身份证复印件）。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费用组成明细表.docx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费用组成明细表.docx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对本项目特性了解透彻，监测方案内容全面，方案先进、经济、规划合理，根据响应情况计7.1～10分； 对本项目特性了解透彻基本透彻，监测方案具有一定的合理性和可行性，对项目实施可起到一定指导作用的，根据响应情况计4.1～7分； 监测方案思路不清晰、合理性和可行性较差，影响项目实施的，根据响应情况计1～4分，缺项不计分。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监测方法及其依据的标准</w:t>
            </w:r>
          </w:p>
        </w:tc>
        <w:tc>
          <w:tcPr>
            <w:tcW w:type="dxa" w:w="2492"/>
          </w:tcPr>
          <w:p>
            <w:pPr>
              <w:pStyle w:val="null3"/>
            </w:pPr>
            <w:r>
              <w:rPr>
                <w:rFonts w:ascii="仿宋_GB2312" w:hAnsi="仿宋_GB2312" w:cs="仿宋_GB2312" w:eastAsia="仿宋_GB2312"/>
              </w:rPr>
              <w:t>监测方法合理可行，熟悉地下水监测工作，掌握地下水位动态，对地下水监测工作的技术规范操作要求论述详细、清晰的，根据响应情况计7.1～10分； 监测方法基本合理，基本掌握地下水监测工作和地下水位动态，对地下水监测工作的技术规范操作要求有论述的，根据响应情况计4.1～7分； 监测方法不合理，未掌握地下水监测工作和地下水位动态，对地下水监测工作的技术规范操作要求没有论述的，根据响应情况计1～4分，缺项不计分。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监测设备和材料投入</w:t>
            </w:r>
          </w:p>
        </w:tc>
        <w:tc>
          <w:tcPr>
            <w:tcW w:type="dxa" w:w="2492"/>
          </w:tcPr>
          <w:p>
            <w:pPr>
              <w:pStyle w:val="null3"/>
            </w:pPr>
            <w:r>
              <w:rPr>
                <w:rFonts w:ascii="仿宋_GB2312" w:hAnsi="仿宋_GB2312" w:cs="仿宋_GB2312" w:eastAsia="仿宋_GB2312"/>
              </w:rPr>
              <w:t>监测设备型号、精度、数量和材料投入配备合理的，根据响应情况计7.1～10分； 监测设备型号、精度、数量和材料投入配备基本合理的，根据响应情况计4.1～7分； 监测设备型号、精度、数量和材料投入配备不合理的，根据响应情况计0～4分，缺项不计分。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质量管理与各项保证措施</w:t>
            </w:r>
          </w:p>
        </w:tc>
        <w:tc>
          <w:tcPr>
            <w:tcW w:type="dxa" w:w="2492"/>
          </w:tcPr>
          <w:p>
            <w:pPr>
              <w:pStyle w:val="null3"/>
            </w:pPr>
            <w:r>
              <w:rPr>
                <w:rFonts w:ascii="仿宋_GB2312" w:hAnsi="仿宋_GB2312" w:cs="仿宋_GB2312" w:eastAsia="仿宋_GB2312"/>
              </w:rPr>
              <w:t>质量管理与各项保证措施完善的，根据响应情况计7.1～10分； 质量管理与各项保证措施基本完善的，根据响应情况计4.1～7分； 质量管理与各项保证措施不完善的，根据响应情况计0～4分，缺项不计分。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对项目各阶段进度控制方法和措施、工作流程描述完整、科学、可行，进度控制方法和措施完整，科学、可行计7.1～10分； 进度控制方法和措施较完整，科学、可行性一般计4.1～7分； 进度控制方法和措施较差，科学、可行性较差计0～4分，缺项不计分。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对项目的建议合理可行，具有建设性，满足项目需要，根据响应情况计7.1～10分； 对项目的建议基本合理可行，建设性一般，基本满足项目需要，根据响应情况计4.1～7分； 对项目的建议不合理，建设性较差，不满足项目需要，根据响应情况计0～4分，缺项不计分。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针对本项目实际情况及采购人实际需求提供可行的应急预案，按其响应程度计0～5分。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供应商具有2022年9月至今(以合同签订时间为准)的类似项目业绩，每提供一个计2分，满分10分。 注：供应商响应文件中提供复印件加盖供应商公章，不提供者不计分。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1、拟投入本项目人员须为投标单位在职人员，项目组成员须提供近六个月社保缴纳证明，否则不计分。 ①拟投入本项目人员在6人 ( 含）及以上的计10分； ②3人（含 ) 以上-6人以下计6分； ③1人（含 ) 以上-3人以下计2分，未提供的不计分。 2、项目组成员每配备1名水利或水文专业高级职称的计1分，最多计3分，每配备1名水利或水文专专业中级职称的计0.5分，最多计2分，此项最多计5分。（以上人员提供职称证书复印件加盖公章）； 注：以响应文件中提供的证明材料为准，复印件须清晰可辨，复印件模糊无法辨认的不予赋分。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详见附件：费用组成明细表.docx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