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版本号：DX2025-24420251009002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污水处理站托管运营服务项目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DX2025-244</w:t>
      </w:r>
      <w:r>
        <w:br/>
      </w:r>
      <w:r>
        <w:br/>
      </w:r>
      <w:r>
        <w:br/>
      </w:r>
    </w:p>
    <w:p>
      <w:pPr>
        <w:pStyle w:val="null3"/>
        <w:jc w:val="center"/>
        <w:outlineLvl w:val="2"/>
      </w:pPr>
      <w:r>
        <w:rPr>
          <w:rFonts w:ascii="仿宋_GB2312" w:hAnsi="仿宋_GB2312" w:cs="仿宋_GB2312" w:eastAsia="仿宋_GB2312"/>
          <w:sz w:val="28"/>
          <w:b/>
        </w:rPr>
        <w:t>西安市胸科医院</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西安市胸科医院</w:t>
      </w:r>
      <w:r>
        <w:rPr>
          <w:rFonts w:ascii="仿宋_GB2312" w:hAnsi="仿宋_GB2312" w:cs="仿宋_GB2312" w:eastAsia="仿宋_GB2312"/>
        </w:rPr>
        <w:t>委托，拟对</w:t>
      </w:r>
      <w:r>
        <w:rPr>
          <w:rFonts w:ascii="仿宋_GB2312" w:hAnsi="仿宋_GB2312" w:cs="仿宋_GB2312" w:eastAsia="仿宋_GB2312"/>
        </w:rPr>
        <w:t>污水处理站托管运营服务项目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DX2025-244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污水处理站托管运营服务项目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西安市胸科医院污水处理站托管运营服务项目。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1、营业执照等主体资格证明文件：提供统一社会信用代码的营业执照或其他组织经营的合法凭证或自然人的提供身份证明文件。2、财务状况报告：提供具有财务审计资质单位出具的2024年度财务报告或开标前六个月内其基本账户银行出具的资信证明或财政部门认可的政府采购专业担保机构出具的担保函，以上形式的证明资料提供任何一种即可。 3、税收缴纳证明：提供已缴纳的 2024年9月1日以来任意时间段的纳税证明或完税证明，纳税证明或完税证明上应有代收机构或税务机关的公章或业务专用章。依法免税的投标人应提供相关文件证明。 4、社保缴纳证明：提供已缴存的 2024年9月1日以来任意时间段的社会保障资金缴存单据或社保机构开具的社会保险参保缴费情况证明。成立时间至提交投标文件截止时间不足一个月或依法不需要缴纳社会保障资金的投标人应提供相关文件证明。 5、书面声明：1.出具履行合同所必需的设备和专业技术能力的书面声明； 2.出具参加本次政府采购活动的书面声明。</w:t>
      </w:r>
    </w:p>
    <w:p>
      <w:pPr>
        <w:pStyle w:val="null3"/>
      </w:pPr>
      <w:r>
        <w:rPr>
          <w:rFonts w:ascii="仿宋_GB2312" w:hAnsi="仿宋_GB2312" w:cs="仿宋_GB2312" w:eastAsia="仿宋_GB2312"/>
        </w:rPr>
        <w:t>2、法定代表人授权委托书：法定代表人直接参加的须出具法人身份证明并与营业执照信息一致，法定代表人授权代表参加的须出具法定代表人授权书及被授权人本单位证明（投标截止前近三个月的本单位养老保险缴纳证明）。</w:t>
      </w:r>
    </w:p>
    <w:p>
      <w:pPr>
        <w:pStyle w:val="null3"/>
      </w:pPr>
      <w:r>
        <w:rPr>
          <w:rFonts w:ascii="仿宋_GB2312" w:hAnsi="仿宋_GB2312" w:cs="仿宋_GB2312" w:eastAsia="仿宋_GB2312"/>
        </w:rPr>
        <w:t>3、信用记录：经查，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4、非联合体投标声明：非联合体投标声明。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西安市胸科医院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西安市长安区航天大道东段杜陵西路2000号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029-62500115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李薇、张亚娜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计价格[2002]1980号）、《国家发展改革委办公厅关于招标代理服务收费有关问题的通知》（发改价格[2003]857号）、《国家发展改革委关于进一步放开建设项目专业服务价格的通知》下浮20%计取。 本项目招标代理服务费由中标人在中标结果公示期满后三个工作日内按照标准支付给招标代理机构。（代理报酬的币种：人民币，汇率：无）</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踏勘时间：2025-10-11 10:00:00</w:t>
            </w:r>
          </w:p>
          <w:p>
            <w:pPr>
              <w:pStyle w:val="null3"/>
              <w:ind w:firstLine="975"/>
            </w:pPr>
            <w:r>
              <w:rPr>
                <w:rFonts w:ascii="仿宋_GB2312" w:hAnsi="仿宋_GB2312" w:cs="仿宋_GB2312" w:eastAsia="仿宋_GB2312"/>
              </w:rPr>
              <w:t>踏勘地点：西安市胸科医院行政办公楼门口</w:t>
            </w:r>
          </w:p>
          <w:p>
            <w:pPr>
              <w:pStyle w:val="null3"/>
              <w:ind w:firstLine="975"/>
            </w:pPr>
            <w:r>
              <w:rPr>
                <w:rFonts w:ascii="仿宋_GB2312" w:hAnsi="仿宋_GB2312" w:cs="仿宋_GB2312" w:eastAsia="仿宋_GB2312"/>
              </w:rPr>
              <w:t>联系人：后勤管理科</w:t>
            </w:r>
          </w:p>
          <w:p>
            <w:pPr>
              <w:pStyle w:val="null3"/>
              <w:ind w:firstLine="975"/>
            </w:pPr>
            <w:r>
              <w:rPr>
                <w:rFonts w:ascii="仿宋_GB2312" w:hAnsi="仿宋_GB2312" w:cs="仿宋_GB2312" w:eastAsia="仿宋_GB2312"/>
              </w:rPr>
              <w:t>联系电话号码：62500148</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西安市胸科医院</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西安市胸科医院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西安市胸科医院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联系人：李薇、张亚娜</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污水处理站托管运营服务项目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污水处理站托管运营服务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标的名称：污水处理站托管运营服务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一、采购内容</w:t>
            </w:r>
          </w:p>
          <w:tbl>
            <w:tblPr>
              <w:tblInd w:type="dxa" w:w="120"/>
              <w:tblBorders>
                <w:top w:val="none" w:color="000000" w:sz="4"/>
                <w:left w:val="none" w:color="000000" w:sz="4"/>
                <w:bottom w:val="none" w:color="000000" w:sz="4"/>
                <w:right w:val="none" w:color="000000" w:sz="4"/>
                <w:insideH w:val="none"/>
                <w:insideV w:val="none"/>
              </w:tblBorders>
            </w:tblPr>
            <w:tblGrid>
              <w:gridCol w:w="730"/>
              <w:gridCol w:w="917"/>
              <w:gridCol w:w="345"/>
              <w:gridCol w:w="561"/>
            </w:tblGrid>
            <w:tr>
              <w:tc>
                <w:tcPr>
                  <w:tcW w:type="dxa" w:w="7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项目名称</w:t>
                  </w:r>
                </w:p>
              </w:tc>
              <w:tc>
                <w:tcPr>
                  <w:tcW w:type="dxa" w:w="9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服务内容</w:t>
                  </w:r>
                </w:p>
              </w:tc>
              <w:tc>
                <w:tcPr>
                  <w:tcW w:type="dxa" w:w="3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周期</w:t>
                  </w:r>
                </w:p>
              </w:tc>
              <w:tc>
                <w:tcPr>
                  <w:tcW w:type="dxa" w:w="5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预算</w:t>
                  </w:r>
                </w:p>
              </w:tc>
            </w:tr>
            <w:tr>
              <w:tc>
                <w:tcPr>
                  <w:tcW w:type="dxa" w:w="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污水处理站托管运营服务项目</w:t>
                  </w: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包括：污水监测</w:t>
                  </w:r>
                </w:p>
                <w:p>
                  <w:pPr>
                    <w:pStyle w:val="null3"/>
                    <w:jc w:val="both"/>
                  </w:pPr>
                  <w:r>
                    <w:rPr>
                      <w:rFonts w:ascii="仿宋_GB2312" w:hAnsi="仿宋_GB2312" w:cs="仿宋_GB2312" w:eastAsia="仿宋_GB2312"/>
                      <w:sz w:val="21"/>
                    </w:rPr>
                    <w:t>有组织废气监测</w:t>
                  </w:r>
                </w:p>
                <w:p>
                  <w:pPr>
                    <w:pStyle w:val="null3"/>
                    <w:jc w:val="both"/>
                  </w:pPr>
                  <w:r>
                    <w:rPr>
                      <w:rFonts w:ascii="仿宋_GB2312" w:hAnsi="仿宋_GB2312" w:cs="仿宋_GB2312" w:eastAsia="仿宋_GB2312"/>
                      <w:sz w:val="21"/>
                    </w:rPr>
                    <w:t>锅炉废气监测</w:t>
                  </w:r>
                </w:p>
                <w:p>
                  <w:pPr>
                    <w:pStyle w:val="null3"/>
                    <w:jc w:val="both"/>
                  </w:pPr>
                  <w:r>
                    <w:rPr>
                      <w:rFonts w:ascii="仿宋_GB2312" w:hAnsi="仿宋_GB2312" w:cs="仿宋_GB2312" w:eastAsia="仿宋_GB2312"/>
                      <w:sz w:val="21"/>
                    </w:rPr>
                    <w:t>污泥清运（每季度一次）</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1年</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55万元</w:t>
                  </w:r>
                </w:p>
              </w:tc>
            </w:tr>
          </w:tbl>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项目基本情况</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西安市胸科医院污水处理站设计规模为</w:t>
            </w:r>
            <w:r>
              <w:rPr>
                <w:rFonts w:ascii="仿宋_GB2312" w:hAnsi="仿宋_GB2312" w:cs="仿宋_GB2312" w:eastAsia="仿宋_GB2312"/>
                <w:sz w:val="21"/>
              </w:rPr>
              <w:t>1000吨/天，处理后出水水质达到《医疗机构水污染排放标准》（GB18466-2005）中传染病、结核病医疗机构水污染物排放限值，排入市政管网。</w:t>
            </w:r>
          </w:p>
          <w:p>
            <w:pPr>
              <w:pStyle w:val="null3"/>
              <w:jc w:val="both"/>
            </w:pPr>
            <w:r>
              <w:rPr>
                <w:rFonts w:ascii="仿宋_GB2312" w:hAnsi="仿宋_GB2312" w:cs="仿宋_GB2312" w:eastAsia="仿宋_GB2312"/>
                <w:sz w:val="21"/>
              </w:rPr>
              <w:t>处理工艺采用</w:t>
            </w:r>
            <w:r>
              <w:rPr>
                <w:rFonts w:ascii="仿宋_GB2312" w:hAnsi="仿宋_GB2312" w:cs="仿宋_GB2312" w:eastAsia="仿宋_GB2312"/>
                <w:sz w:val="21"/>
              </w:rPr>
              <w:t>“预消毒+脱氧+格栅+调节均化+水解酸化+一级接触氧化+二级接触氧化+竖流沉淀+絮凝反应+斜板沉淀+中间池+消毒”。</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采购人</w:t>
            </w:r>
            <w:r>
              <w:rPr>
                <w:rFonts w:ascii="仿宋_GB2312" w:hAnsi="仿宋_GB2312" w:cs="仿宋_GB2312" w:eastAsia="仿宋_GB2312"/>
                <w:sz w:val="21"/>
              </w:rPr>
              <w:t>医疗区内排出的污水携带有传染性病毒、细菌，必须先进行预消毒处理，防止病毒扩散，预处理后的污水才能进入</w:t>
            </w:r>
            <w:r>
              <w:rPr>
                <w:rFonts w:ascii="仿宋_GB2312" w:hAnsi="仿宋_GB2312" w:cs="仿宋_GB2312" w:eastAsia="仿宋_GB2312"/>
                <w:sz w:val="21"/>
              </w:rPr>
              <w:t>采购人</w:t>
            </w:r>
            <w:r>
              <w:rPr>
                <w:rFonts w:ascii="仿宋_GB2312" w:hAnsi="仿宋_GB2312" w:cs="仿宋_GB2312" w:eastAsia="仿宋_GB2312"/>
                <w:sz w:val="21"/>
              </w:rPr>
              <w:t>总污水处理站进行再处理。</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采购人</w:t>
            </w:r>
            <w:r>
              <w:rPr>
                <w:rFonts w:ascii="仿宋_GB2312" w:hAnsi="仿宋_GB2312" w:cs="仿宋_GB2312" w:eastAsia="仿宋_GB2312"/>
                <w:sz w:val="21"/>
              </w:rPr>
              <w:t>2020年月平均污水处理水量为6297m³，日平均处理水量为210m³；2021年月平均污水处理水量为6668m³，日平均处理水量为222.3m³。2022年月平均污水处理水量为5418m³，日平均处理水量为180.6m³。2023年月平均污水处理水量为7268m³，日均处理水量为242.3m³。2024年月平均污水处理量为7085.4m³，日均处理水量为232.3m³</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服务要求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人员配备</w:t>
            </w:r>
          </w:p>
          <w:p>
            <w:pPr>
              <w:pStyle w:val="null3"/>
              <w:jc w:val="both"/>
            </w:pPr>
            <w:r>
              <w:rPr>
                <w:rFonts w:ascii="仿宋_GB2312" w:hAnsi="仿宋_GB2312" w:cs="仿宋_GB2312" w:eastAsia="仿宋_GB2312"/>
                <w:sz w:val="21"/>
              </w:rPr>
              <w:t>需配备技术人员不少于</w:t>
            </w:r>
            <w:r>
              <w:rPr>
                <w:rFonts w:ascii="仿宋_GB2312" w:hAnsi="仿宋_GB2312" w:cs="仿宋_GB2312" w:eastAsia="仿宋_GB2312"/>
                <w:sz w:val="21"/>
              </w:rPr>
              <w:t>5人，满足24小时运转人员配置。</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总体费用：全年污水处理站托管运营；有组织废气监测；污水监测；锅炉废气监测；污泥清运（每季度一次）；流量计校验；在线</w:t>
            </w:r>
            <w:r>
              <w:rPr>
                <w:rFonts w:ascii="仿宋_GB2312" w:hAnsi="仿宋_GB2312" w:cs="仿宋_GB2312" w:eastAsia="仿宋_GB2312"/>
                <w:sz w:val="21"/>
              </w:rPr>
              <w:t>PH值监测探头校验；排污许可证变更（如需）。</w:t>
            </w:r>
          </w:p>
          <w:p>
            <w:pPr>
              <w:pStyle w:val="null3"/>
              <w:jc w:val="both"/>
            </w:pPr>
            <w:r>
              <w:rPr>
                <w:rFonts w:ascii="仿宋_GB2312" w:hAnsi="仿宋_GB2312" w:cs="仿宋_GB2312" w:eastAsia="仿宋_GB2312"/>
                <w:sz w:val="21"/>
              </w:rPr>
              <w:t>托管运营总体费用包含但不限于以下几类：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1）人员费用，包含人员工资、人员体检费、劳保费、人员培训费、保险费等。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2）污水投放药剂费；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3）环保检测费、水质分析化验费；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4）污水池清理费，污泥栅渣处置费；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5）设备维修费</w:t>
            </w:r>
            <w:r>
              <w:rPr>
                <w:rFonts w:ascii="仿宋_GB2312" w:hAnsi="仿宋_GB2312" w:cs="仿宋_GB2312" w:eastAsia="仿宋_GB2312"/>
                <w:sz w:val="21"/>
              </w:rPr>
              <w:t>：</w:t>
            </w:r>
            <w:r>
              <w:rPr>
                <w:rFonts w:ascii="仿宋_GB2312" w:hAnsi="仿宋_GB2312" w:cs="仿宋_GB2312" w:eastAsia="仿宋_GB2312"/>
                <w:sz w:val="21"/>
              </w:rPr>
              <w:t>2000元以内（含2000元）的维修、配件更换等全部由乙方负责，</w:t>
            </w:r>
            <w:r>
              <w:rPr>
                <w:rFonts w:ascii="仿宋_GB2312" w:hAnsi="仿宋_GB2312" w:cs="仿宋_GB2312" w:eastAsia="仿宋_GB2312"/>
                <w:sz w:val="21"/>
              </w:rPr>
              <w:t>采购人</w:t>
            </w:r>
            <w:r>
              <w:rPr>
                <w:rFonts w:ascii="仿宋_GB2312" w:hAnsi="仿宋_GB2312" w:cs="仿宋_GB2312" w:eastAsia="仿宋_GB2312"/>
                <w:sz w:val="21"/>
              </w:rPr>
              <w:t>不再支付任何费用，</w:t>
            </w:r>
            <w:r>
              <w:rPr>
                <w:rFonts w:ascii="仿宋_GB2312" w:hAnsi="仿宋_GB2312" w:cs="仿宋_GB2312" w:eastAsia="仿宋_GB2312"/>
                <w:sz w:val="21"/>
              </w:rPr>
              <w:t>2000元以上的维修、配件更换费用由</w:t>
            </w:r>
            <w:r>
              <w:rPr>
                <w:rFonts w:ascii="仿宋_GB2312" w:hAnsi="仿宋_GB2312" w:cs="仿宋_GB2312" w:eastAsia="仿宋_GB2312"/>
                <w:sz w:val="21"/>
              </w:rPr>
              <w:t>采购人</w:t>
            </w:r>
            <w:r>
              <w:rPr>
                <w:rFonts w:ascii="仿宋_GB2312" w:hAnsi="仿宋_GB2312" w:cs="仿宋_GB2312" w:eastAsia="仿宋_GB2312"/>
                <w:sz w:val="21"/>
              </w:rPr>
              <w:t>负责。</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6）管理费、利润、税金等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四、</w:t>
            </w:r>
            <w:r>
              <w:rPr>
                <w:rFonts w:ascii="仿宋_GB2312" w:hAnsi="仿宋_GB2312" w:cs="仿宋_GB2312" w:eastAsia="仿宋_GB2312"/>
                <w:sz w:val="21"/>
                <w:b/>
              </w:rPr>
              <w:t>托管范围</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托管范围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1）污水处理站水质达标；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2）排污许可证执行报告内的监测项目的检测，按环保部门和</w:t>
            </w:r>
            <w:r>
              <w:rPr>
                <w:rFonts w:ascii="仿宋_GB2312" w:hAnsi="仿宋_GB2312" w:cs="仿宋_GB2312" w:eastAsia="仿宋_GB2312"/>
                <w:sz w:val="21"/>
              </w:rPr>
              <w:t>采购人</w:t>
            </w:r>
            <w:r>
              <w:rPr>
                <w:rFonts w:ascii="仿宋_GB2312" w:hAnsi="仿宋_GB2312" w:cs="仿宋_GB2312" w:eastAsia="仿宋_GB2312"/>
                <w:sz w:val="21"/>
              </w:rPr>
              <w:t>要求完成所有数据的线上平台及系统的填报等各项工作；如排污许可证到期延续或变更，需协助办理相关手续；</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3）派驻污水站运营管理人员；</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4）设备设施保养、维修等；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5）污水池清理、清洗；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6）污泥的处置；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7）栅渣的处置；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8）突发性事故的处理；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9）接受主管部门检查；</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10）安全风险的控制。</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托管目标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1）安全运营：污水站运营过程的安全责任（包括但不限于人员安全、排放达标、突发应急事件、计量检测、环保检查问题整改等）由乙方承担。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2）达标排放：污水不达标所引起的相关责任及经济处罚由乙方承担。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3）费用包干：费用超支或亏损由乙方承担。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4）本项目报价为固定总价，价格一次性包死，不受市场价格变化因素的影响。</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5）服从科室管理，完成各项临时性工作安排</w:t>
            </w:r>
            <w:r>
              <w:rPr>
                <w:rFonts w:ascii="仿宋_GB2312" w:hAnsi="仿宋_GB2312" w:cs="仿宋_GB2312" w:eastAsia="仿宋_GB2312"/>
                <w:sz w:val="21"/>
              </w:rPr>
              <w:t>，</w:t>
            </w:r>
            <w:r>
              <w:rPr>
                <w:rFonts w:ascii="仿宋_GB2312" w:hAnsi="仿宋_GB2312" w:cs="仿宋_GB2312" w:eastAsia="仿宋_GB2312"/>
                <w:sz w:val="21"/>
              </w:rPr>
              <w:t>产生费用含总价内</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6）维保单位工作人员在</w:t>
            </w:r>
            <w:r>
              <w:rPr>
                <w:rFonts w:ascii="仿宋_GB2312" w:hAnsi="仿宋_GB2312" w:cs="仿宋_GB2312" w:eastAsia="仿宋_GB2312"/>
                <w:sz w:val="21"/>
              </w:rPr>
              <w:t>采购人</w:t>
            </w:r>
            <w:r>
              <w:rPr>
                <w:rFonts w:ascii="仿宋_GB2312" w:hAnsi="仿宋_GB2312" w:cs="仿宋_GB2312" w:eastAsia="仿宋_GB2312"/>
                <w:sz w:val="21"/>
              </w:rPr>
              <w:t>发生的任何人身意外，</w:t>
            </w:r>
            <w:r>
              <w:rPr>
                <w:rFonts w:ascii="仿宋_GB2312" w:hAnsi="仿宋_GB2312" w:cs="仿宋_GB2312" w:eastAsia="仿宋_GB2312"/>
                <w:sz w:val="21"/>
              </w:rPr>
              <w:t>采购人</w:t>
            </w:r>
            <w:r>
              <w:rPr>
                <w:rFonts w:ascii="仿宋_GB2312" w:hAnsi="仿宋_GB2312" w:cs="仿宋_GB2312" w:eastAsia="仿宋_GB2312"/>
                <w:sz w:val="21"/>
              </w:rPr>
              <w:t>不承担任何责任。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7）按照《污水排放标准》要求保证全院污水（包含隔离病区）达标排放，配合</w:t>
            </w:r>
            <w:r>
              <w:rPr>
                <w:rFonts w:ascii="仿宋_GB2312" w:hAnsi="仿宋_GB2312" w:cs="仿宋_GB2312" w:eastAsia="仿宋_GB2312"/>
                <w:sz w:val="21"/>
              </w:rPr>
              <w:t>采购人</w:t>
            </w:r>
            <w:r>
              <w:rPr>
                <w:rFonts w:ascii="仿宋_GB2312" w:hAnsi="仿宋_GB2312" w:cs="仿宋_GB2312" w:eastAsia="仿宋_GB2312"/>
                <w:sz w:val="21"/>
              </w:rPr>
              <w:t>完成每日水质监测，每周、每月水质检测。</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需配备技术人员不少于5人，满足24小时运转人员配置。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供应商根据采购需求提供所需的相应设备。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费用每半年支付，乙方提供等额正规发票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费用每半年支付，乙方提供等额正规发票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2.供应商应自协商文件递交截止时间起至磋商结束，保持在线状态。3.响应文件中凡是需要法定代表人盖章之处，由分支机构参与投标时，单位负责人均参照执行（法定代表人授权书由单位负责人签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2、财务状况报告：提供具有财务审计资质单位出具的2024年度财务报告或开标前六个月内其基本账户银行出具的资信证明或财政部门认可的政府采购专业担保机构出具的担保函，以上形式的证明资料提供任何一种即可。 3、税收缴纳证明：提供已缴纳的 2024年9月1日以来任意时间段的纳税证明或完税证明，纳税证明或完税证明上应有代收机构或税务机关的公章或业务专用章。依法免税的投标人应提供相关文件证明。 4、社保缴纳证明：提供已缴存的 2024年9月1日以来任意时间段的社会保障资金缴存单据或社保机构开具的社会保险参保缴费情况证明。成立时间至提交投标文件截止时间不足一个月或依法不需要缴纳社会保障资金的投标人应提供相关文件证明。 5、书面声明：1.出具履行合同所必需的设备和专业技术能力的书面声明； 2.出具参加本次政府采购活动的书面声明。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法定代表人直接参加的须出具法人身份证明并与营业执照信息一致，法定代表人授权代表参加的须出具法定代表人授权书及被授权人本单位证明（投标截止前近三个月的本单位养老保险缴纳证明）。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费用组成明细表 第一次磋商报价表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费用组成明细表 第一次磋商报价表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（1）完全理解并接受《供应商廉洁自律承诺书》内容；（2）完全理解并接受《供应商企业关系关联承诺书》内容。</w:t>
            </w:r>
          </w:p>
        </w:tc>
        <w:tc>
          <w:tcPr>
            <w:tcW w:type="dxa" w:w="1661"/>
          </w:tcPr>
          <w:p>
            <w:pPr>
              <w:pStyle w:val="null3"/>
            </w:pPr>
            <w:r>
              <w:rPr>
                <w:rFonts w:ascii="仿宋_GB2312" w:hAnsi="仿宋_GB2312" w:cs="仿宋_GB2312" w:eastAsia="仿宋_GB2312"/>
              </w:rPr>
              <w:t>供应商企业关系关联承诺书 供应商廉洁自律承诺书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响应文件质量保证、服务期限、合同条款等商务要求进行响应，根据响应程度计0-2分。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w:t>
            </w:r>
          </w:p>
          <w:p>
            <w:pPr>
              <w:pStyle w:val="null3"/>
            </w:pPr>
            <w:r>
              <w:rPr>
                <w:rFonts w:ascii="仿宋_GB2312" w:hAnsi="仿宋_GB2312" w:cs="仿宋_GB2312" w:eastAsia="仿宋_GB2312"/>
              </w:rPr>
              <w:t>商务条款响应偏差表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针对本项目提供详细的项目实施方案包括但不限于： ①污水监测方案； ②废气监测方案； ③锅炉废气监测方案； ④污泥、栅渣及废液清理方案； ⑤设备设施保养、维修方案； ⑥污水池清理、清洗方案； ⑦项目检测方案。 二、评审标准 1、完善性：方案全面，对评审内容中的各项要求有详细阐述； 2、可实施性：切合本项目实际情况，提出步骤清晰、合理的方案； 3、针对性：方案能够紧扣项目实际情况，内容科学合理。 上述7项评审内容全部满足评审标准得28分，每有一个评审内容缺项扣4分，每有一项评审内容存在缺陷，扣（1-4）分，扣完为止。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针对本项目提供详细完善的服务计划及保障措施，包括但不限于 ①水质达标保障措施； ②维保措施； ③安全保障措施等内容。 二、评审标准 1、完善性：方案全面，对评审内容中的各项要求有详细阐述； 2、可实施性：切合本项目实际情况，提出步骤清晰、合理的方案； 3、针对性：方案能够紧扣项目实际情况，内容科学合理。 上述3项评审内容全部满足评审标准得9分，每有一个评审内容缺项扣3分，每有一项评审内容存在缺陷，扣（1-3）分，扣完为止。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针对本项目提供详细的人员配备，包括但不限于： ①组织管理机构人员名单及人员分工安排、职责划分； ②项目负责人的从业经验、管理能力等； ③人员协调方案。 二、评审标准 1、完善性：方案全面，对评审内容中的各项要求有详细阐述； 2、可实施性：切合本项目实际情况，提出步骤清晰、合理的方案； 3、针对性：方案能够紧扣项目实际情况，内容科学合理。 上述3项评审内容全部满足评审标准得9分，每有一个评审内容缺项扣3分，每有一项评审内容存在缺陷，扣（1-3）分，扣完为止。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针对本项目提供详尽的服务承诺，包含但不限于针对本项目的 ①服务质量目标； ②有利于本项目实施的服务承诺； ③合理化建议； ④针对本项目的培训方案。 二、评审标准 1、完善性：方案全面，对评审内容中的各项要求有详细阐述； 2、可实施性：切合本项目实际情况，提出步骤清晰、合理的方案； 3、针对性：方案能够紧扣项目实际情况，内容科学合理。 上述4项评审内容全部满足评审标准得12分，每有一个评审内容缺项扣3分，每有一项评审内容存在缺陷，扣（1-3）分，扣完为止。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针对本项目提供详尽的应急预案，包含但不限于针对本项目的 ①因客观原因造成的污水进水量超出设计水量； ②因不可抗拒的自然灾害导致污水处理站超负荷运行； ③水质水量异常时投加的各类药剂； ④突发性事故的处理； ⑤应急响应方案。 二、评审标准 1、完善性：方案全面，对评审内容中的各项要求有详细阐述； 2、可实施性：切合本项目实际情况，提出步骤清晰、合理的方案； 3、针对性：方案能够紧扣项目实际情况，内容科学合理。 上述5项评审内容全部满足评审标准得10分，每有一个评审内容缺项扣2分，每有一项评审内容存在缺陷，扣（1-2）分，扣完为止。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供应商提供2022年9月1日至今类似项目业绩合同（以合同签订时间为准）；一个业绩得2分，最高得10分； 评审依据：提供完整合同复印件并加盖公章。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以本次最低有效磋商报价总价为基准价，其价格分为满分。报价得分=（评审基准价／总报价）×20%×100。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第一次磋商报价表</w:t>
            </w:r>
          </w:p>
          <w:p>
            <w:pPr>
              <w:pStyle w:val="null3"/>
            </w:pPr>
            <w:r>
              <w:rPr>
                <w:rFonts w:ascii="仿宋_GB2312" w:hAnsi="仿宋_GB2312" w:cs="仿宋_GB2312" w:eastAsia="仿宋_GB2312"/>
              </w:rPr>
              <w:t>费用组成明细表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w:t>
      </w:r>
    </w:p>
    <w:p>
      <w:pPr>
        <w:pStyle w:val="null3"/>
        <w:ind w:firstLine="960"/>
      </w:pPr>
      <w:r>
        <w:rPr>
          <w:rFonts w:ascii="仿宋_GB2312" w:hAnsi="仿宋_GB2312" w:cs="仿宋_GB2312" w:eastAsia="仿宋_GB2312"/>
        </w:rPr>
        <w:t>详见附件：费用组成明细表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详见附件：商务条款响应偏差表</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