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版本号：CT-ZB00-180-2025.20250925001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西安市中小学教师及校园长骨干班主任管理能力提升培训项目(二次)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CT-ZB00-180-2025.</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西安市中小学教师及校园长骨干班主任管理能力提升培训项目(二次)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CT-ZB00-180-2025.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西安市中小学教师及校园长骨干班主任管理能力提升培训项目(二次)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共中央国务院关于全面深化新时代教师队伍建设改革的意见》明确提出“以德为先、骨干引领、全员提升”战略，强调通过系统化培训提升教师队伍整体素质，着力打造一支高素质、专业化、创新型的教育人才队伍，推动教育领军人才在区域教育改革中发挥示范引领作用。 西安市积极响应国家战略部署，本项培训以《中小学教师培训课程指导标准（班级管理）》为核心依据，结合《陕西省新时代基础教育强师计划实施方案》要求，通过分层分类培训，强化班主任在班集体建设、学生发展指导、沟通协作等方面的关键能力，响应新时代教师队伍建设和陕西省强师计划相关要求，打造具有示范引领作用的骨干班主任队伍。培训内容严格对标指导标准的各项指标，结合西安市基础教育实际需求，通过能力诊断、个性化课程设置及成果转化机制，实现班主任专业能力精准提升，为培养新时代“大先生”奠定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采购包1（西安市中小学教师及校园长骨干班主任管理能力提升培训项目）：属于专门面向中小企业采购。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营业执照等主体资格证明文件提供统一社会信用代码的营业执照或其他组织经营的合法凭证或自然人的提供身份证明文件。2.财务状况报告提供具有财务审计资质单位出具的2024年度经审计的完整有效财务报告或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p>
      <w:pPr>
        <w:pStyle w:val="null3"/>
      </w:pPr>
      <w:r>
        <w:rPr>
          <w:rFonts w:ascii="仿宋_GB2312" w:hAnsi="仿宋_GB2312" w:cs="仿宋_GB2312" w:eastAsia="仿宋_GB2312"/>
        </w:rPr>
        <w:t>2、信用证明：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法定代表人授权书：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同秀秀、王超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13201690885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号）、国家发展改革委办公厅《关于招标代理服务收费有关问题的通知》（发改办价格［2003］857号）及国家发展改革委《关于降低部分建设项目收费标准规范收费行为等有关问题的通知》（发改价格[2011]534号）规定的标准计取（以成交金额结算）。 代理服务费缴纳账号： 账户名称：中昕国际项目管理有限公司 开户行：中国建设银行股份有限公司西安文景路支行 银行账号：61050178150000000278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本项目圆满结束。2.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联系人：同秀秀、王超</w:t>
      </w:r>
    </w:p>
    <w:p>
      <w:pPr>
        <w:pStyle w:val="null3"/>
      </w:pPr>
      <w:r>
        <w:rPr>
          <w:rFonts w:ascii="仿宋_GB2312" w:hAnsi="仿宋_GB2312" w:cs="仿宋_GB2312" w:eastAsia="仿宋_GB2312"/>
        </w:rPr>
        <w:t>联系电话：13201690885</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共中央国务院关于全面深化新时代教师队伍建设改革的意见》明确提出“以德为先、骨干引领、全员提升”战略，强调通过系统化培训提升教师队伍整体素质，着力打造一支高素质、专业化、创新型的教育人才队伍，推动教育领军人才在区域教育改革中发挥示范引领作用。 西安市积极响应国家战略部署，本项培训以《中小学教师培训课程指导标准（班级管理）》为核心依据，结合《陕西省新时代基础教育强师计划实施方案》要求，通过分层分类培训，强化班主任在班集体建设、学生发展指导、沟通协作等方面的关键能力，响应新时代教师队伍建设和陕西省强师计划相关要求，打造具有示范引领作用的骨干班主任队伍。培训内容严格对标指导标准的各项指标，结合西安市基础教育实际需求，通过能力诊断、个性化课程设置及成果转化机制，实现班主任专业能力精准提升，为培养新时代“大先生”奠定基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西安市中小学教师及校园长骨干班主任管理能力提升培训项目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标的名称：西安市中小学教师及校园长骨干班主任管理能力提升培训项目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1.培训对象：西安市中小学骨干班主任</w:t>
            </w:r>
          </w:p>
          <w:p>
            <w:pPr>
              <w:pStyle w:val="null3"/>
            </w:pPr>
            <w:r>
              <w:rPr>
                <w:rFonts w:ascii="仿宋_GB2312" w:hAnsi="仿宋_GB2312" w:cs="仿宋_GB2312" w:eastAsia="仿宋_GB2312"/>
              </w:rPr>
              <w:t>2.培训人数：400人，分批开展。</w:t>
            </w:r>
          </w:p>
          <w:p>
            <w:pPr>
              <w:pStyle w:val="null3"/>
            </w:pPr>
            <w:r>
              <w:rPr>
                <w:rFonts w:ascii="仿宋_GB2312" w:hAnsi="仿宋_GB2312" w:cs="仿宋_GB2312" w:eastAsia="仿宋_GB2312"/>
              </w:rPr>
              <w:t>3.培训周期：3天集中</w:t>
            </w:r>
          </w:p>
          <w:p>
            <w:pPr>
              <w:pStyle w:val="null3"/>
            </w:pPr>
            <w:r>
              <w:rPr>
                <w:rFonts w:ascii="仿宋_GB2312" w:hAnsi="仿宋_GB2312" w:cs="仿宋_GB2312" w:eastAsia="仿宋_GB2312"/>
              </w:rPr>
              <w:t>4.培训内容：紧扣新时代教育高质量发展要求，聚焦班主任核心能力提升，系统学习现代班级管理理论，如人本主义管理、精细化管理、自主管理等理念，结合案例分析其在班级管理中的实践应用，帮助班主任更新管理思维。探讨“班级自治”“小组合作管理”“网格化管理”等创新模式，分享通过学生自主制定班规、组织班级活动、解决班级问题的实践经验，提升班级管理效率。探索整合社区、公益组织、专业机构等社会资源，为学生提供社会实践、志愿服务、职业体验等平台，形成家校社协同育人合力；深入提升数字化班级管理能力，包括数字化班级管理工具使用、学生学业数据分析与评价、智慧教育场景应用等，促进班主任教育技术与育人实践深度融合。</w:t>
            </w:r>
          </w:p>
          <w:p>
            <w:pPr>
              <w:pStyle w:val="null3"/>
            </w:pPr>
            <w:r>
              <w:rPr>
                <w:rFonts w:ascii="仿宋_GB2312" w:hAnsi="仿宋_GB2312" w:cs="仿宋_GB2312" w:eastAsia="仿宋_GB2312"/>
              </w:rPr>
              <w:t>5.培训方式：聚焦新时代基础教育高质量发展目标，结合不同学段骨干班主任岗位特点与能力提升需求制定培养路径,进行分层分段培训，采取专家引领、名班主任示范、任务实践、案例研讨、成果展示等多元形式，构建闭环培养路径，并建立动态评估与反馈机制，确保培训内容精准对接班主任岗位需求，实现能力提升与成果转化的双重目标。</w:t>
            </w:r>
          </w:p>
          <w:p>
            <w:pPr>
              <w:pStyle w:val="null3"/>
            </w:pPr>
            <w:r>
              <w:rPr>
                <w:rFonts w:ascii="仿宋_GB2312" w:hAnsi="仿宋_GB2312" w:cs="仿宋_GB2312" w:eastAsia="仿宋_GB2312"/>
              </w:rPr>
              <w:t>6.供应商须提供项目培训方案、实施计划、专家师资、组织管理保障等信息。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自合同签订之日起至所有服务完成。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1.项目完成后，由甲方和乙方共同对项目进行整体验收。 2.其内容包括乙方是否按照甲方要求进行服务、是否在规定时间内服务完毕、服务工作是否存在失误。验收合格后，填写政府采购项目验收单、验收报告作为对本服务的最终认可。 3.乙方向甲方提供服务过程中的所有相关资料，以便甲方日后管理。 4.验收依据为竞争性磋商文件、磋商响应文件、澄清表（函）、政府采购合同及附件文本、国家相应的标准、规范。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项目结束验收完成后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2.投标人未按合同要求提供服务或服务质量不能满足技术要求，且在规定时间内未使采购人满意的，采购人有权解除合同，同时报请西安市财政局政府采购监管部门对其违约行为进行追究。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1.本项目通过电子化交易系统磋商，供应商需在电子化交易系统上传响应的文件。成交供应商领取成交通知书时，向采购代理机构提供一份正本纸质响应文件并签字盖章。 2.供应商应自磋商文件递交截止时间起至磋商结束，保持在线状态。 3.本项目专门面向中小企业采购，供应商应为中小微企业或监狱企业或残疾人福利性单位。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提供具有财务审计资质单位出具的2024年度经审计的完整有效财务报告或其基本账户银行出具的资信证明或财政部门认可的政府采购专业担保机构出具的担保函，以上形式的证明资料提供任何一种即可。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2.财务状况报告提供具有财务审计资质单位出具的2024年度经审计的完整有效财务报告或其基本账户银行出具的资信证明或财政部门认可的政府采购专业担保机构出具的担保函，以上形式的证明资料提供任何一种即可。3.社保缴纳证明提供已缴存的2025年01月01日以来任意时段社会保障资金缴存单据或社保机构开具的社会保险参保缴费情况证明。成立时间至提交响应文件截止时间不足一个月或依法不需要缴纳社会保障资金的供应商应提供相关文件证明。4.税收缴纳证明提供已缴纳的2025年01月01日以来任意时段的纳税证明或完税证明，纳税证明或完税证明上应有代收机构或税务机关的公章或业务专用章。依法免税的供应商应提供相关文件证明。5.书面声明（1）出具履行合同所必需的设备和专业技术能力的书面声明；（2）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明；法定代表人授权他人参加磋商的，须提供法定代表人授权书及被授权人身份证，并且提供授权代表截止磋商前六个月内任意一个月本单位社保缴纳证明（法人参加只需提供法定代表人身份证明并与营业执照上信息一致）。</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完全理解并接受《供应商廉洁自律承诺书》内容。</w:t>
            </w:r>
          </w:p>
        </w:tc>
        <w:tc>
          <w:tcPr>
            <w:tcW w:type="dxa" w:w="1661"/>
          </w:tcPr>
          <w:p>
            <w:pPr>
              <w:pStyle w:val="null3"/>
            </w:pPr>
            <w:r>
              <w:rPr>
                <w:rFonts w:ascii="仿宋_GB2312" w:hAnsi="仿宋_GB2312" w:cs="仿宋_GB2312" w:eastAsia="仿宋_GB2312"/>
              </w:rPr>
              <w:t>供应商廉洁自律承诺书.docx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 整体服务方案</w:t>
            </w:r>
          </w:p>
        </w:tc>
        <w:tc>
          <w:tcPr>
            <w:tcW w:type="dxa" w:w="2492"/>
          </w:tcPr>
          <w:p>
            <w:pPr>
              <w:pStyle w:val="null3"/>
            </w:pPr>
            <w:r>
              <w:rPr>
                <w:rFonts w:ascii="仿宋_GB2312" w:hAnsi="仿宋_GB2312" w:cs="仿宋_GB2312" w:eastAsia="仿宋_GB2312"/>
              </w:rPr>
              <w:t>针对本项目提供具体可行的整体服务方案，至少包括：①项目岗位特点及需求分析、②培训目标、③培训内容、④培训形式、⑤培训情况考核机制。以上内容完整、描述详尽、符合项目实际采购需求的，得35分；每缺少一项扣7分；虽提供但所述内容有缺陷扣3.5分/处，每项内容最多扣7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 教学管理制度</w:t>
            </w:r>
          </w:p>
        </w:tc>
        <w:tc>
          <w:tcPr>
            <w:tcW w:type="dxa" w:w="2492"/>
          </w:tcPr>
          <w:p>
            <w:pPr>
              <w:pStyle w:val="null3"/>
            </w:pPr>
            <w:r>
              <w:rPr>
                <w:rFonts w:ascii="仿宋_GB2312" w:hAnsi="仿宋_GB2312" w:cs="仿宋_GB2312" w:eastAsia="仿宋_GB2312"/>
              </w:rPr>
              <w:t>至少包括：①授课教师管理制度、②学员管理制度、③班主任管理制度、④其他健全的内部管理制度。以上内容完整、描述详尽、符合项目实际采购需求的，得8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 组织管理保障方案</w:t>
            </w:r>
          </w:p>
        </w:tc>
        <w:tc>
          <w:tcPr>
            <w:tcW w:type="dxa" w:w="2492"/>
          </w:tcPr>
          <w:p>
            <w:pPr>
              <w:pStyle w:val="null3"/>
            </w:pPr>
            <w:r>
              <w:rPr>
                <w:rFonts w:ascii="仿宋_GB2312" w:hAnsi="仿宋_GB2312" w:cs="仿宋_GB2312" w:eastAsia="仿宋_GB2312"/>
              </w:rPr>
              <w:t>至少包括：①培训组织方案、②培训场地资源、③跟踪指导机制、④沟通协调机制、⑤学员培训成果展示。以上内容完整描述详尽、符合项目实际采购需求的，得10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 应急管理方案</w:t>
            </w:r>
          </w:p>
        </w:tc>
        <w:tc>
          <w:tcPr>
            <w:tcW w:type="dxa" w:w="2492"/>
          </w:tcPr>
          <w:p>
            <w:pPr>
              <w:pStyle w:val="null3"/>
            </w:pPr>
            <w:r>
              <w:rPr>
                <w:rFonts w:ascii="仿宋_GB2312" w:hAnsi="仿宋_GB2312" w:cs="仿宋_GB2312" w:eastAsia="仿宋_GB2312"/>
              </w:rPr>
              <w:t>至少包括：①突发事件预防及处理、②师资力量调配。以上内容完整、描述详尽、符合项目实际采购需求的，得4分；每缺少一项扣2分；虽提供但所述内容有缺陷扣1分/处，每项内容最多扣2分，扣完为止。(缺陷是指：存在不适用项目实际情况的情形、凭空编造、方案中内容前后不一致、前后逻辑错误、涉及的规范及标准错误、地点区域错误、内容缺失、与采购需求不符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服务方案（5）人员配置</w:t>
            </w:r>
          </w:p>
        </w:tc>
        <w:tc>
          <w:tcPr>
            <w:tcW w:type="dxa" w:w="2492"/>
          </w:tcPr>
          <w:p>
            <w:pPr>
              <w:pStyle w:val="null3"/>
            </w:pPr>
            <w:r>
              <w:rPr>
                <w:rFonts w:ascii="仿宋_GB2312" w:hAnsi="仿宋_GB2312" w:cs="仿宋_GB2312" w:eastAsia="仿宋_GB2312"/>
              </w:rPr>
              <w:t>根据供应商拟投入本项目的专家团队进行评审： 1、培训专家组负责人(1人)：具有①正高级职称，得8分；②副高级职称，得5分；③中级职称，得3分。本项最高得8分。 2、授课专家团队中（除培训专家组组长外），每有1名①正高级职称，得3分；②副高级职称，得2分；③中级职称，得1分；本项最高得12分。 注：①专家团队中同一人员不可重复计分；②提供专家团队人员的职称证书复印件并加盖供应商公章。 3、其他管理人员：每配置1名专职班主任的，得1.5分，最高得3分； 注：其他管理人员均为供应商单位的在职员工，提供在职证明材料复印件和身份证复印件并加盖供应商公章。</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2022年01月01日以来(以合同签订时间为准)，每提供1个类似业绩的，得2分，本项最高得10分。 注：(1)类似业绩是指：教师培训类服务业绩；(2)应提供合同复印件或中标(成交)通知书复印件并加盖供应商公章。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详见附件：合同-骨干班主任管理能力提升.docx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