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版本号：ZYTT-2025090420250928001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殡仪馆环保管家服务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ZYTT-20250904</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殡仪馆环保管家服务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ZYTT-20250904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殡仪馆环保管家服务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殡仪馆开展固体废物和污染物治理，积极推动绿色低碳高质量发展，推动生态环境质量稳中向好、持续改善。契合污染防治工作，加强废气、废水、固废处理等。提升殡仪馆环保管理水平，计划引进第三方环保管家服务，推动环保工作又好又快发展。 目前，西安市殡仪馆迁建至长安区鸣犊街道办凤栖山公墓以北，西康铁路以西，距离西安市中心城区13公里。总占地面积1273亩，项目分三期建设，其中 一二期用地765亩，三期用地508亩。 一二期建设内容包括殡仪中心，业务楼， 丧属服务、骨灰寄存、守灵堂，并配套完善给排水、绿化、环保等附属工程，三期主要建设内容为生态绿化。主要设备有GX-PB型平板式天然气火化机，GX-JH 型炼灰式天然气火化机、 GX-FS 型天然气焚烧炉，年工作时间365天，每天工作24小时两班制，员工人数324人。环保工程主要有火化炉烟气处理系统，焚烧炉烟气处理系统，污水处理站，危废贮存库。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采购包1（环保管家服务）：属于专门面向中小企业采购。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1、信用记录：未被列为“信用中国”网（www.creditchina.gov.cn）中失信被执行人和重大税收违法案件当事人名单及中国政府采购网（www.ccgp.gov.cn）政府采购严重违法失信行为记录名单。</w:t>
      </w:r>
    </w:p>
    <w:p>
      <w:pPr>
        <w:pStyle w:val="null3"/>
      </w:pPr>
      <w:r>
        <w:rPr>
          <w:rFonts w:ascii="仿宋_GB2312" w:hAnsi="仿宋_GB2312" w:cs="仿宋_GB2312" w:eastAsia="仿宋_GB2312"/>
        </w:rPr>
        <w:t>2、资质证书：供应商须具有合法有效的CMA资质证书，且证书附表包含‘废气监测、水质监测、噪声监测’等本项目所需检测范围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洪济安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13709218958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贾瑞、吕前惠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采购包1：3,010,463.31元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代理服务费收费标准：1、代理服务费的收取参照（发改办价格[2011]534号）收费标准计取 2、代理服务费账户： 户 名：陕西中裕天腾项目管理有限公司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西安市殡仪馆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联系人：贾瑞、吕前惠</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殡仪馆开展固体废物和污染物治理，积极推动绿色低碳高质量发展，推动生态环境质量稳中向好、持续改善。契合污染防治工作，加强废气、废水、固废处理等。提升殡仪馆环保管理水平，计划引进第三方环保管家服务，推动环保工作又好又快发展，具体服务内容见技术参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3,010,463.31</w:t>
      </w:r>
    </w:p>
    <w:p>
      <w:pPr>
        <w:pStyle w:val="null3"/>
      </w:pPr>
      <w:r>
        <w:rPr>
          <w:rFonts w:ascii="仿宋_GB2312" w:hAnsi="仿宋_GB2312" w:cs="仿宋_GB2312" w:eastAsia="仿宋_GB2312"/>
        </w:rPr>
        <w:t>采购包最高限价（元）: 3,010,463.31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西安市殡仪馆环保管家服务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3,010,463.31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标的名称：西安市殡仪馆环保管家服务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对西安市殡仪馆环保运行情况进行系统排查</w:t>
            </w:r>
          </w:p>
          <w:p>
            <w:pPr>
              <w:pStyle w:val="null3"/>
            </w:pPr>
            <w:r>
              <w:rPr>
                <w:rFonts w:ascii="仿宋_GB2312" w:hAnsi="仿宋_GB2312" w:cs="仿宋_GB2312" w:eastAsia="仿宋_GB2312"/>
                <w:sz w:val="21"/>
              </w:rPr>
              <w:t>对企业环保运行情况系统排查、资料搜集分析，应包括但不限于：</w:t>
            </w:r>
          </w:p>
          <w:p>
            <w:pPr>
              <w:pStyle w:val="null3"/>
            </w:pPr>
            <w:r>
              <w:rPr>
                <w:rFonts w:ascii="仿宋_GB2312" w:hAnsi="仿宋_GB2312" w:cs="仿宋_GB2312" w:eastAsia="仿宋_GB2312"/>
                <w:sz w:val="21"/>
              </w:rPr>
              <w:t>（1）污染源调查：污染源及其位置、类型、排放量等。</w:t>
            </w:r>
          </w:p>
          <w:p>
            <w:pPr>
              <w:pStyle w:val="null3"/>
            </w:pPr>
            <w:r>
              <w:rPr>
                <w:rFonts w:ascii="仿宋_GB2312" w:hAnsi="仿宋_GB2312" w:cs="仿宋_GB2312" w:eastAsia="仿宋_GB2312"/>
                <w:sz w:val="21"/>
              </w:rPr>
              <w:t>（2）环保合规情况：政策法规、环保手续、环保运行情况。</w:t>
            </w:r>
          </w:p>
          <w:p>
            <w:pPr>
              <w:pStyle w:val="null3"/>
            </w:pPr>
            <w:r>
              <w:rPr>
                <w:rFonts w:ascii="仿宋_GB2312" w:hAnsi="仿宋_GB2312" w:cs="仿宋_GB2312" w:eastAsia="仿宋_GB2312"/>
                <w:sz w:val="21"/>
              </w:rPr>
              <w:t>（3）核实工艺：调查工况、工艺、设施等现状，核查是否存在国家明令淘汰和禁止的设备、技术、工艺等，核查是否涉及有毒有害物质排放，以及是否存在其他重大环境风险的生产工艺和产污环节。</w:t>
            </w:r>
          </w:p>
          <w:p>
            <w:pPr>
              <w:pStyle w:val="null3"/>
            </w:pPr>
            <w:r>
              <w:rPr>
                <w:rFonts w:ascii="仿宋_GB2312" w:hAnsi="仿宋_GB2312" w:cs="仿宋_GB2312" w:eastAsia="仿宋_GB2312"/>
                <w:sz w:val="21"/>
              </w:rPr>
              <w:t>（4）污染防治设施及运维情况。</w:t>
            </w:r>
          </w:p>
          <w:p>
            <w:pPr>
              <w:pStyle w:val="null3"/>
            </w:pPr>
            <w:r>
              <w:rPr>
                <w:rFonts w:ascii="仿宋_GB2312" w:hAnsi="仿宋_GB2312" w:cs="仿宋_GB2312" w:eastAsia="仿宋_GB2312"/>
                <w:sz w:val="21"/>
              </w:rPr>
              <w:t>（5）自行监测情况：年度监测计划，历史自行监测数据等。</w:t>
            </w:r>
          </w:p>
          <w:p>
            <w:pPr>
              <w:pStyle w:val="null3"/>
            </w:pPr>
            <w:r>
              <w:rPr>
                <w:rFonts w:ascii="仿宋_GB2312" w:hAnsi="仿宋_GB2312" w:cs="仿宋_GB2312" w:eastAsia="仿宋_GB2312"/>
                <w:sz w:val="21"/>
              </w:rPr>
              <w:t>（6）环境专项调查情况：定期或不定期对水、气、土、声、固等调查。</w:t>
            </w:r>
          </w:p>
          <w:p>
            <w:pPr>
              <w:pStyle w:val="null3"/>
            </w:pPr>
            <w:r>
              <w:rPr>
                <w:rFonts w:ascii="仿宋_GB2312" w:hAnsi="仿宋_GB2312" w:cs="仿宋_GB2312" w:eastAsia="仿宋_GB2312"/>
                <w:sz w:val="21"/>
              </w:rPr>
              <w:t>（7）环境管理台账情况。</w:t>
            </w:r>
          </w:p>
          <w:p>
            <w:pPr>
              <w:pStyle w:val="null3"/>
            </w:pPr>
            <w:r>
              <w:rPr>
                <w:rFonts w:ascii="仿宋_GB2312" w:hAnsi="仿宋_GB2312" w:cs="仿宋_GB2312" w:eastAsia="仿宋_GB2312"/>
                <w:sz w:val="21"/>
              </w:rPr>
              <w:t>（8）内部环境管理与运行情况：核查企业环境管理体系：包括但不限于以下内容：环保管理制度、体系文件、作业指导书、记录格式等；核查企业环保实际运行情况。</w:t>
            </w:r>
          </w:p>
          <w:p>
            <w:pPr>
              <w:pStyle w:val="null3"/>
            </w:pPr>
            <w:r>
              <w:rPr>
                <w:rFonts w:ascii="仿宋_GB2312" w:hAnsi="仿宋_GB2312" w:cs="仿宋_GB2312" w:eastAsia="仿宋_GB2312"/>
                <w:sz w:val="21"/>
              </w:rPr>
              <w:t>（9）环境隐患排查。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按照排污许可证自行检测方案要求，对有组织废气、无组织废气、噪声、废水、油烟等检测，并出具检测报告。</w:t>
            </w:r>
          </w:p>
          <w:p>
            <w:pPr>
              <w:pStyle w:val="null3"/>
            </w:pPr>
            <w:r>
              <w:rPr>
                <w:rFonts w:ascii="仿宋_GB2312" w:hAnsi="仿宋_GB2312" w:cs="仿宋_GB2312" w:eastAsia="仿宋_GB2312"/>
                <w:sz w:val="21"/>
              </w:rPr>
              <w:t>具体检测内容如下</w:t>
            </w:r>
          </w:p>
          <w:p>
            <w:pPr>
              <w:pStyle w:val="null3"/>
            </w:pPr>
            <w:r>
              <w:rPr>
                <w:rFonts w:ascii="仿宋_GB2312" w:hAnsi="仿宋_GB2312" w:cs="仿宋_GB2312" w:eastAsia="仿宋_GB2312"/>
                <w:sz w:val="21"/>
              </w:rPr>
              <w:t>（1）排污许可证要求检测内容：</w:t>
            </w:r>
          </w:p>
          <w:p>
            <w:pPr>
              <w:pStyle w:val="null3"/>
            </w:pPr>
            <w:r>
              <w:rPr>
                <w:rFonts w:ascii="仿宋_GB2312" w:hAnsi="仿宋_GB2312" w:cs="仿宋_GB2312" w:eastAsia="仿宋_GB2312"/>
                <w:sz w:val="21"/>
              </w:rPr>
              <w:t xml:space="preserve"> 废气监测方案</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sz w:val="21"/>
                    </w:rPr>
                    <w:t>排放设备</w:t>
                  </w:r>
                </w:p>
              </w:tc>
              <w:tc>
                <w:tcPr>
                  <w:tcW w:type="dxa" w:w="511"/>
                </w:tcPr>
                <w:p>
                  <w:pPr>
                    <w:pStyle w:val="null3"/>
                    <w:jc w:val="center"/>
                  </w:pPr>
                  <w:r>
                    <w:rPr>
                      <w:rFonts w:ascii="仿宋_GB2312" w:hAnsi="仿宋_GB2312" w:cs="仿宋_GB2312" w:eastAsia="仿宋_GB2312"/>
                      <w:sz w:val="21"/>
                    </w:rPr>
                    <w:t>设备类型</w:t>
                  </w:r>
                </w:p>
              </w:tc>
              <w:tc>
                <w:tcPr>
                  <w:tcW w:type="dxa" w:w="511"/>
                </w:tcPr>
                <w:p>
                  <w:pPr>
                    <w:pStyle w:val="null3"/>
                    <w:jc w:val="center"/>
                  </w:pPr>
                  <w:r>
                    <w:rPr>
                      <w:rFonts w:ascii="仿宋_GB2312" w:hAnsi="仿宋_GB2312" w:cs="仿宋_GB2312" w:eastAsia="仿宋_GB2312"/>
                      <w:sz w:val="21"/>
                    </w:rPr>
                    <w:t>监测点</w:t>
                  </w:r>
                </w:p>
              </w:tc>
              <w:tc>
                <w:tcPr>
                  <w:tcW w:type="dxa" w:w="511"/>
                </w:tcPr>
                <w:p>
                  <w:pPr>
                    <w:pStyle w:val="null3"/>
                    <w:jc w:val="center"/>
                  </w:pPr>
                  <w:r>
                    <w:rPr>
                      <w:rFonts w:ascii="仿宋_GB2312" w:hAnsi="仿宋_GB2312" w:cs="仿宋_GB2312" w:eastAsia="仿宋_GB2312"/>
                      <w:sz w:val="21"/>
                    </w:rPr>
                    <w:t>监测指标</w:t>
                  </w:r>
                </w:p>
              </w:tc>
              <w:tc>
                <w:tcPr>
                  <w:tcW w:type="dxa" w:w="511"/>
                </w:tcPr>
                <w:p>
                  <w:pPr>
                    <w:pStyle w:val="null3"/>
                    <w:jc w:val="center"/>
                  </w:pPr>
                  <w:r>
                    <w:rPr>
                      <w:rFonts w:ascii="仿宋_GB2312" w:hAnsi="仿宋_GB2312" w:cs="仿宋_GB2312" w:eastAsia="仿宋_GB2312"/>
                      <w:sz w:val="21"/>
                    </w:rPr>
                    <w:t>监测频次</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1号平板炉废气 排放口(DA003)</w:t>
                  </w:r>
                </w:p>
              </w:tc>
              <w:tc>
                <w:tcPr>
                  <w:tcW w:type="dxa" w:w="511"/>
                </w:tcPr>
                <w:p>
                  <w:pPr>
                    <w:pStyle w:val="null3"/>
                    <w:jc w:val="center"/>
                  </w:pPr>
                  <w:r>
                    <w:rPr>
                      <w:rFonts w:ascii="仿宋_GB2312" w:hAnsi="仿宋_GB2312" w:cs="仿宋_GB2312" w:eastAsia="仿宋_GB2312"/>
                      <w:sz w:val="21"/>
                    </w:rPr>
                    <w:t>二氧化硫、氮氧化物、 烟尘、一氧化碳、汞、 二噁英类、林格曼黑度、 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2号平板炉废气 排放口(DA019)</w:t>
                  </w:r>
                </w:p>
              </w:tc>
              <w:tc>
                <w:tcPr>
                  <w:tcW w:type="dxa" w:w="511"/>
                </w:tcPr>
                <w:p>
                  <w:pPr>
                    <w:pStyle w:val="null3"/>
                    <w:jc w:val="center"/>
                  </w:pPr>
                  <w:r>
                    <w:rPr>
                      <w:rFonts w:ascii="仿宋_GB2312" w:hAnsi="仿宋_GB2312" w:cs="仿宋_GB2312" w:eastAsia="仿宋_GB2312"/>
                      <w:sz w:val="21"/>
                    </w:rPr>
                    <w:t>二氧化硫、氮氧化物、 烟尘、一氧化碳、汞、 二噁英类、林格曼黑度、 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3号平板炉废气 排放口(DA004)</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4号平板炉废气排放口(DA005)</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11号拣灰炉废气排放口(DA020)</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12 号拣灰炉废 气 排 放  口 (DA014)</w:t>
                  </w:r>
                </w:p>
              </w:tc>
              <w:tc>
                <w:tcPr>
                  <w:tcW w:type="dxa" w:w="511"/>
                </w:tcPr>
                <w:p>
                  <w:pPr>
                    <w:pStyle w:val="null3"/>
                    <w:jc w:val="center"/>
                  </w:pPr>
                  <w:r>
                    <w:rPr>
                      <w:rFonts w:ascii="仿宋_GB2312" w:hAnsi="仿宋_GB2312" w:cs="仿宋_GB2312" w:eastAsia="仿宋_GB2312"/>
                      <w:sz w:val="21"/>
                    </w:rPr>
                    <w:t>二氧化硫、氮氧化物、 烟尘、一氧化碳、汞、 二噁英类、林格曼黑度、 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1号拣灰炉废气排放口(DA006)</w:t>
                  </w:r>
                </w:p>
              </w:tc>
              <w:tc>
                <w:tcPr>
                  <w:tcW w:type="dxa" w:w="511"/>
                </w:tcPr>
                <w:p>
                  <w:pPr>
                    <w:pStyle w:val="null3"/>
                    <w:jc w:val="center"/>
                  </w:pPr>
                  <w:r>
                    <w:rPr>
                      <w:rFonts w:ascii="仿宋_GB2312" w:hAnsi="仿宋_GB2312" w:cs="仿宋_GB2312" w:eastAsia="仿宋_GB2312"/>
                      <w:sz w:val="21"/>
                    </w:rPr>
                    <w:t>二氧化硫、氮氧化物、 烟尘、一氧化碳、汞、 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2号拣灰炉废气排放口(DA001)</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 次/1 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3号拣灰炉废气排放口(DA007)</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4号拣灰炉废气排放口(DA002)</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5号拣灰炉废气排放口(DA008)</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6号拣灰炉废气排放口(DA015)</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7号拣灰炉废气排放口(DA009)</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8号拣灰炉废气排放口(DA016)</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1号专制炉废气排放口(DA010)</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2号专制炉废气排放口(DA021)</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9号拣灰炉废气排放口(DA011)</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10号拣灰炉废气排放口(DA012)</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3号专制炉废气排放口(DA013)</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r>
              <w:tc>
                <w:tcPr>
                  <w:tcW w:type="dxa" w:w="511"/>
                </w:tcPr>
                <w:p>
                  <w:pPr>
                    <w:pStyle w:val="null3"/>
                    <w:jc w:val="center"/>
                  </w:pPr>
                  <w:r>
                    <w:rPr>
                      <w:rFonts w:ascii="仿宋_GB2312" w:hAnsi="仿宋_GB2312" w:cs="仿宋_GB2312" w:eastAsia="仿宋_GB2312"/>
                      <w:sz w:val="21"/>
                    </w:rPr>
                    <w:t>火化机</w:t>
                  </w:r>
                </w:p>
              </w:tc>
              <w:tc>
                <w:tcPr>
                  <w:tcW w:type="dxa" w:w="511"/>
                </w:tcPr>
                <w:p>
                  <w:pPr>
                    <w:pStyle w:val="null3"/>
                    <w:jc w:val="center"/>
                  </w:pPr>
                  <w:r>
                    <w:rPr>
                      <w:rFonts w:ascii="仿宋_GB2312" w:hAnsi="仿宋_GB2312" w:cs="仿宋_GB2312" w:eastAsia="仿宋_GB2312"/>
                      <w:sz w:val="21"/>
                    </w:rPr>
                    <w:t>燃烧</w:t>
                  </w:r>
                </w:p>
              </w:tc>
              <w:tc>
                <w:tcPr>
                  <w:tcW w:type="dxa" w:w="511"/>
                </w:tcPr>
                <w:p>
                  <w:pPr>
                    <w:pStyle w:val="null3"/>
                    <w:jc w:val="center"/>
                  </w:pPr>
                  <w:r>
                    <w:rPr>
                      <w:rFonts w:ascii="仿宋_GB2312" w:hAnsi="仿宋_GB2312" w:cs="仿宋_GB2312" w:eastAsia="仿宋_GB2312"/>
                      <w:sz w:val="21"/>
                    </w:rPr>
                    <w:t>13号拣灰炉废气排放口(DA022)</w:t>
                  </w:r>
                </w:p>
              </w:tc>
              <w:tc>
                <w:tcPr>
                  <w:tcW w:type="dxa" w:w="511"/>
                </w:tcPr>
                <w:p>
                  <w:pPr>
                    <w:pStyle w:val="null3"/>
                    <w:jc w:val="center"/>
                  </w:pPr>
                  <w:r>
                    <w:rPr>
                      <w:rFonts w:ascii="仿宋_GB2312" w:hAnsi="仿宋_GB2312" w:cs="仿宋_GB2312" w:eastAsia="仿宋_GB2312"/>
                      <w:sz w:val="21"/>
                    </w:rPr>
                    <w:t>二氧化硫、氮氧化物、 烟尘、一氧化碳、汞、二噁英类、林格曼黑度、氯化氢</w:t>
                  </w:r>
                </w:p>
              </w:tc>
              <w:tc>
                <w:tcPr>
                  <w:tcW w:type="dxa" w:w="511"/>
                </w:tcPr>
                <w:p>
                  <w:pPr>
                    <w:pStyle w:val="null3"/>
                    <w:jc w:val="center"/>
                  </w:pPr>
                  <w:r>
                    <w:rPr>
                      <w:rFonts w:ascii="仿宋_GB2312" w:hAnsi="仿宋_GB2312" w:cs="仿宋_GB2312" w:eastAsia="仿宋_GB2312"/>
                      <w:sz w:val="21"/>
                    </w:rPr>
                    <w:t>1次/1年</w:t>
                  </w:r>
                </w:p>
              </w:tc>
            </w:tr>
          </w:tbl>
          <w:p>
            <w:pPr>
              <w:pStyle w:val="null3"/>
            </w:pPr>
            <w:r>
              <w:rPr>
                <w:rFonts w:ascii="仿宋_GB2312" w:hAnsi="仿宋_GB2312" w:cs="仿宋_GB2312" w:eastAsia="仿宋_GB2312"/>
                <w:sz w:val="21"/>
              </w:rPr>
              <w:t>（2）其它要求检测内容（根据环保要求进行适当监测）</w:t>
            </w:r>
          </w:p>
          <w:p>
            <w:pPr>
              <w:pStyle w:val="null3"/>
            </w:pPr>
            <w:r>
              <w:rPr>
                <w:rFonts w:ascii="仿宋_GB2312" w:hAnsi="仿宋_GB2312" w:cs="仿宋_GB2312" w:eastAsia="仿宋_GB2312"/>
                <w:sz w:val="21"/>
              </w:rPr>
              <w:t>无组织监测方案</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sz w:val="21"/>
                    </w:rPr>
                    <w:t>监测点位</w:t>
                  </w:r>
                </w:p>
              </w:tc>
              <w:tc>
                <w:tcPr>
                  <w:tcW w:type="dxa" w:w="638"/>
                </w:tcPr>
                <w:p>
                  <w:pPr>
                    <w:pStyle w:val="null3"/>
                    <w:jc w:val="center"/>
                  </w:pPr>
                  <w:r>
                    <w:rPr>
                      <w:rFonts w:ascii="仿宋_GB2312" w:hAnsi="仿宋_GB2312" w:cs="仿宋_GB2312" w:eastAsia="仿宋_GB2312"/>
                      <w:sz w:val="21"/>
                    </w:rPr>
                    <w:t>监测指标</w:t>
                  </w:r>
                </w:p>
              </w:tc>
              <w:tc>
                <w:tcPr>
                  <w:tcW w:type="dxa" w:w="638"/>
                </w:tcPr>
                <w:p>
                  <w:pPr>
                    <w:pStyle w:val="null3"/>
                    <w:jc w:val="center"/>
                  </w:pPr>
                  <w:r>
                    <w:rPr>
                      <w:rFonts w:ascii="仿宋_GB2312" w:hAnsi="仿宋_GB2312" w:cs="仿宋_GB2312" w:eastAsia="仿宋_GB2312"/>
                      <w:sz w:val="21"/>
                    </w:rPr>
                    <w:t>监测点位数量</w:t>
                  </w:r>
                </w:p>
              </w:tc>
              <w:tc>
                <w:tcPr>
                  <w:tcW w:type="dxa" w:w="638"/>
                </w:tcPr>
                <w:p>
                  <w:pPr>
                    <w:pStyle w:val="null3"/>
                    <w:jc w:val="center"/>
                  </w:pPr>
                  <w:r>
                    <w:rPr>
                      <w:rFonts w:ascii="仿宋_GB2312" w:hAnsi="仿宋_GB2312" w:cs="仿宋_GB2312" w:eastAsia="仿宋_GB2312"/>
                      <w:sz w:val="21"/>
                    </w:rPr>
                    <w:t>监测频次</w:t>
                  </w:r>
                </w:p>
              </w:tc>
            </w:tr>
            <w:tr>
              <w:tc>
                <w:tcPr>
                  <w:tcW w:type="dxa" w:w="638"/>
                </w:tcPr>
                <w:p>
                  <w:pPr>
                    <w:pStyle w:val="null3"/>
                    <w:jc w:val="center"/>
                  </w:pPr>
                  <w:r>
                    <w:rPr>
                      <w:rFonts w:ascii="仿宋_GB2312" w:hAnsi="仿宋_GB2312" w:cs="仿宋_GB2312" w:eastAsia="仿宋_GB2312"/>
                      <w:sz w:val="21"/>
                    </w:rPr>
                    <w:t>厂界上风向</w:t>
                  </w:r>
                </w:p>
              </w:tc>
              <w:tc>
                <w:tcPr>
                  <w:tcW w:type="dxa" w:w="638"/>
                </w:tcPr>
                <w:p>
                  <w:pPr>
                    <w:pStyle w:val="null3"/>
                    <w:jc w:val="center"/>
                  </w:pPr>
                  <w:r>
                    <w:rPr>
                      <w:rFonts w:ascii="仿宋_GB2312" w:hAnsi="仿宋_GB2312" w:cs="仿宋_GB2312" w:eastAsia="仿宋_GB2312"/>
                      <w:sz w:val="21"/>
                    </w:rPr>
                    <w:t>氮氧化物、氯化氢、 颗粒物、二氧化硫</w:t>
                  </w:r>
                </w:p>
              </w:tc>
              <w:tc>
                <w:tcPr>
                  <w:tcW w:type="dxa" w:w="638"/>
                </w:tcPr>
                <w:p>
                  <w:pPr>
                    <w:pStyle w:val="null3"/>
                    <w:jc w:val="center"/>
                  </w:pPr>
                  <w:r>
                    <w:rPr>
                      <w:rFonts w:ascii="仿宋_GB2312" w:hAnsi="仿宋_GB2312" w:cs="仿宋_GB2312" w:eastAsia="仿宋_GB2312"/>
                      <w:sz w:val="21"/>
                    </w:rPr>
                    <w:t>1</w:t>
                  </w:r>
                </w:p>
              </w:tc>
              <w:tc>
                <w:tcPr>
                  <w:tcW w:type="dxa" w:w="638"/>
                </w:tcPr>
                <w:p>
                  <w:pPr>
                    <w:pStyle w:val="null3"/>
                    <w:jc w:val="center"/>
                  </w:pPr>
                  <w:r>
                    <w:rPr>
                      <w:rFonts w:ascii="仿宋_GB2312" w:hAnsi="仿宋_GB2312" w:cs="仿宋_GB2312" w:eastAsia="仿宋_GB2312"/>
                      <w:sz w:val="21"/>
                    </w:rPr>
                    <w:t>1 次/1 年</w:t>
                  </w:r>
                </w:p>
              </w:tc>
            </w:tr>
            <w:tr>
              <w:tc>
                <w:tcPr>
                  <w:tcW w:type="dxa" w:w="638"/>
                </w:tcPr>
                <w:p>
                  <w:pPr>
                    <w:pStyle w:val="null3"/>
                    <w:jc w:val="center"/>
                  </w:pPr>
                  <w:r>
                    <w:rPr>
                      <w:rFonts w:ascii="仿宋_GB2312" w:hAnsi="仿宋_GB2312" w:cs="仿宋_GB2312" w:eastAsia="仿宋_GB2312"/>
                      <w:sz w:val="21"/>
                    </w:rPr>
                    <w:t>厂界下风向</w:t>
                  </w:r>
                </w:p>
              </w:tc>
              <w:tc>
                <w:tcPr>
                  <w:tcW w:type="dxa" w:w="638"/>
                </w:tcPr>
                <w:p>
                  <w:pPr>
                    <w:pStyle w:val="null3"/>
                    <w:jc w:val="center"/>
                  </w:pPr>
                  <w:r>
                    <w:rPr>
                      <w:rFonts w:ascii="仿宋_GB2312" w:hAnsi="仿宋_GB2312" w:cs="仿宋_GB2312" w:eastAsia="仿宋_GB2312"/>
                      <w:sz w:val="21"/>
                    </w:rPr>
                    <w:t>氮氧化物、氯化氢、 颗粒物、二氧化硫</w:t>
                  </w:r>
                </w:p>
              </w:tc>
              <w:tc>
                <w:tcPr>
                  <w:tcW w:type="dxa" w:w="638"/>
                </w:tcPr>
                <w:p>
                  <w:pPr>
                    <w:pStyle w:val="null3"/>
                    <w:jc w:val="center"/>
                  </w:pPr>
                  <w:r>
                    <w:rPr>
                      <w:rFonts w:ascii="仿宋_GB2312" w:hAnsi="仿宋_GB2312" w:cs="仿宋_GB2312" w:eastAsia="仿宋_GB2312"/>
                      <w:sz w:val="21"/>
                    </w:rPr>
                    <w:t>3</w:t>
                  </w:r>
                </w:p>
              </w:tc>
              <w:tc>
                <w:tcPr>
                  <w:tcW w:type="dxa" w:w="638"/>
                </w:tcPr>
                <w:p>
                  <w:pPr>
                    <w:pStyle w:val="null3"/>
                    <w:jc w:val="center"/>
                  </w:pPr>
                  <w:r>
                    <w:rPr>
                      <w:rFonts w:ascii="仿宋_GB2312" w:hAnsi="仿宋_GB2312" w:cs="仿宋_GB2312" w:eastAsia="仿宋_GB2312"/>
                      <w:sz w:val="21"/>
                    </w:rPr>
                    <w:t>1 次/1 年</w:t>
                  </w:r>
                </w:p>
              </w:tc>
            </w:tr>
          </w:tbl>
          <w:p>
            <w:pPr>
              <w:pStyle w:val="null3"/>
            </w:pPr>
            <w:r>
              <w:rPr>
                <w:rFonts w:ascii="仿宋_GB2312" w:hAnsi="仿宋_GB2312" w:cs="仿宋_GB2312" w:eastAsia="仿宋_GB2312"/>
                <w:sz w:val="21"/>
              </w:rPr>
              <w:t>废水监测方案</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sz w:val="21"/>
                    </w:rPr>
                    <w:t>监测点位</w:t>
                  </w:r>
                </w:p>
              </w:tc>
              <w:tc>
                <w:tcPr>
                  <w:tcW w:type="dxa" w:w="851"/>
                </w:tcPr>
                <w:p>
                  <w:pPr>
                    <w:pStyle w:val="null3"/>
                    <w:jc w:val="center"/>
                  </w:pPr>
                  <w:r>
                    <w:rPr>
                      <w:rFonts w:ascii="仿宋_GB2312" w:hAnsi="仿宋_GB2312" w:cs="仿宋_GB2312" w:eastAsia="仿宋_GB2312"/>
                      <w:sz w:val="21"/>
                    </w:rPr>
                    <w:t>监测指标</w:t>
                  </w:r>
                </w:p>
              </w:tc>
              <w:tc>
                <w:tcPr>
                  <w:tcW w:type="dxa" w:w="851"/>
                </w:tcPr>
                <w:p>
                  <w:pPr>
                    <w:pStyle w:val="null3"/>
                    <w:jc w:val="center"/>
                  </w:pPr>
                  <w:r>
                    <w:rPr>
                      <w:rFonts w:ascii="仿宋_GB2312" w:hAnsi="仿宋_GB2312" w:cs="仿宋_GB2312" w:eastAsia="仿宋_GB2312"/>
                      <w:sz w:val="21"/>
                    </w:rPr>
                    <w:t>监测频次</w:t>
                  </w:r>
                </w:p>
              </w:tc>
            </w:tr>
            <w:tr>
              <w:tc>
                <w:tcPr>
                  <w:tcW w:type="dxa" w:w="851"/>
                </w:tcPr>
                <w:p>
                  <w:pPr>
                    <w:pStyle w:val="null3"/>
                    <w:jc w:val="center"/>
                  </w:pPr>
                  <w:r>
                    <w:rPr>
                      <w:rFonts w:ascii="仿宋_GB2312" w:hAnsi="仿宋_GB2312" w:cs="仿宋_GB2312" w:eastAsia="仿宋_GB2312"/>
                      <w:sz w:val="21"/>
                    </w:rPr>
                    <w:t>污水站总排口</w:t>
                  </w:r>
                </w:p>
              </w:tc>
              <w:tc>
                <w:tcPr>
                  <w:tcW w:type="dxa" w:w="851"/>
                </w:tcPr>
                <w:p>
                  <w:pPr>
                    <w:pStyle w:val="null3"/>
                    <w:jc w:val="center"/>
                  </w:pPr>
                  <w:r>
                    <w:rPr>
                      <w:rFonts w:ascii="仿宋_GB2312" w:hAnsi="仿宋_GB2312" w:cs="仿宋_GB2312" w:eastAsia="仿宋_GB2312"/>
                      <w:sz w:val="21"/>
                    </w:rPr>
                    <w:t>pH、悬浮物、COD、BOD5、 氨氮、总磷、总氮、动植 物油</w:t>
                  </w:r>
                </w:p>
              </w:tc>
              <w:tc>
                <w:tcPr>
                  <w:tcW w:type="dxa" w:w="851"/>
                </w:tcPr>
                <w:p>
                  <w:pPr>
                    <w:pStyle w:val="null3"/>
                    <w:jc w:val="center"/>
                  </w:pPr>
                  <w:r>
                    <w:rPr>
                      <w:rFonts w:ascii="仿宋_GB2312" w:hAnsi="仿宋_GB2312" w:cs="仿宋_GB2312" w:eastAsia="仿宋_GB2312"/>
                      <w:sz w:val="21"/>
                    </w:rPr>
                    <w:t>1 次/季度</w:t>
                  </w:r>
                </w:p>
              </w:tc>
            </w:tr>
          </w:tbl>
          <w:p>
            <w:pPr>
              <w:pStyle w:val="null3"/>
            </w:pPr>
            <w:r>
              <w:rPr>
                <w:rFonts w:ascii="仿宋_GB2312" w:hAnsi="仿宋_GB2312" w:cs="仿宋_GB2312" w:eastAsia="仿宋_GB2312"/>
                <w:sz w:val="21"/>
              </w:rPr>
              <w:t>油烟监测方案</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sz w:val="21"/>
                    </w:rPr>
                    <w:t>监测点位</w:t>
                  </w:r>
                </w:p>
              </w:tc>
              <w:tc>
                <w:tcPr>
                  <w:tcW w:type="dxa" w:w="851"/>
                </w:tcPr>
                <w:p>
                  <w:pPr>
                    <w:pStyle w:val="null3"/>
                    <w:jc w:val="center"/>
                  </w:pPr>
                  <w:r>
                    <w:rPr>
                      <w:rFonts w:ascii="仿宋_GB2312" w:hAnsi="仿宋_GB2312" w:cs="仿宋_GB2312" w:eastAsia="仿宋_GB2312"/>
                      <w:sz w:val="21"/>
                    </w:rPr>
                    <w:t>监测指标</w:t>
                  </w:r>
                </w:p>
              </w:tc>
              <w:tc>
                <w:tcPr>
                  <w:tcW w:type="dxa" w:w="851"/>
                </w:tcPr>
                <w:p>
                  <w:pPr>
                    <w:pStyle w:val="null3"/>
                    <w:jc w:val="center"/>
                  </w:pPr>
                  <w:r>
                    <w:rPr>
                      <w:rFonts w:ascii="仿宋_GB2312" w:hAnsi="仿宋_GB2312" w:cs="仿宋_GB2312" w:eastAsia="仿宋_GB2312"/>
                      <w:sz w:val="21"/>
                    </w:rPr>
                    <w:t>监测频次</w:t>
                  </w:r>
                </w:p>
              </w:tc>
            </w:tr>
            <w:tr>
              <w:tc>
                <w:tcPr>
                  <w:tcW w:type="dxa" w:w="851"/>
                </w:tcPr>
                <w:p>
                  <w:pPr>
                    <w:pStyle w:val="null3"/>
                    <w:jc w:val="center"/>
                  </w:pPr>
                  <w:r>
                    <w:rPr>
                      <w:rFonts w:ascii="仿宋_GB2312" w:hAnsi="仿宋_GB2312" w:cs="仿宋_GB2312" w:eastAsia="仿宋_GB2312"/>
                      <w:sz w:val="21"/>
                    </w:rPr>
                    <w:t>1#油烟净化器排放口</w:t>
                  </w:r>
                </w:p>
              </w:tc>
              <w:tc>
                <w:tcPr>
                  <w:tcW w:type="dxa" w:w="851"/>
                </w:tcPr>
                <w:p>
                  <w:pPr>
                    <w:pStyle w:val="null3"/>
                    <w:jc w:val="center"/>
                  </w:pPr>
                  <w:r>
                    <w:rPr>
                      <w:rFonts w:ascii="仿宋_GB2312" w:hAnsi="仿宋_GB2312" w:cs="仿宋_GB2312" w:eastAsia="仿宋_GB2312"/>
                      <w:sz w:val="21"/>
                    </w:rPr>
                    <w:t>油烟</w:t>
                  </w:r>
                </w:p>
              </w:tc>
              <w:tc>
                <w:tcPr>
                  <w:tcW w:type="dxa" w:w="851"/>
                </w:tcPr>
                <w:p>
                  <w:pPr>
                    <w:pStyle w:val="null3"/>
                    <w:jc w:val="center"/>
                  </w:pPr>
                  <w:r>
                    <w:rPr>
                      <w:rFonts w:ascii="仿宋_GB2312" w:hAnsi="仿宋_GB2312" w:cs="仿宋_GB2312" w:eastAsia="仿宋_GB2312"/>
                      <w:sz w:val="21"/>
                    </w:rPr>
                    <w:t>1 次/1 年</w:t>
                  </w:r>
                </w:p>
              </w:tc>
            </w:tr>
            <w:tr>
              <w:tc>
                <w:tcPr>
                  <w:tcW w:type="dxa" w:w="851"/>
                </w:tcPr>
                <w:p>
                  <w:pPr>
                    <w:pStyle w:val="null3"/>
                    <w:jc w:val="center"/>
                  </w:pPr>
                  <w:r>
                    <w:rPr>
                      <w:rFonts w:ascii="仿宋_GB2312" w:hAnsi="仿宋_GB2312" w:cs="仿宋_GB2312" w:eastAsia="仿宋_GB2312"/>
                      <w:sz w:val="21"/>
                    </w:rPr>
                    <w:t>2#油烟净化器排放口</w:t>
                  </w:r>
                </w:p>
              </w:tc>
              <w:tc>
                <w:tcPr>
                  <w:tcW w:type="dxa" w:w="851"/>
                </w:tcPr>
                <w:p>
                  <w:pPr>
                    <w:pStyle w:val="null3"/>
                    <w:jc w:val="center"/>
                  </w:pPr>
                  <w:r>
                    <w:rPr>
                      <w:rFonts w:ascii="仿宋_GB2312" w:hAnsi="仿宋_GB2312" w:cs="仿宋_GB2312" w:eastAsia="仿宋_GB2312"/>
                      <w:sz w:val="21"/>
                    </w:rPr>
                    <w:t>油烟</w:t>
                  </w:r>
                </w:p>
              </w:tc>
              <w:tc>
                <w:tcPr>
                  <w:tcW w:type="dxa" w:w="851"/>
                </w:tcPr>
                <w:p>
                  <w:pPr>
                    <w:pStyle w:val="null3"/>
                    <w:jc w:val="center"/>
                  </w:pPr>
                  <w:r>
                    <w:rPr>
                      <w:rFonts w:ascii="仿宋_GB2312" w:hAnsi="仿宋_GB2312" w:cs="仿宋_GB2312" w:eastAsia="仿宋_GB2312"/>
                      <w:sz w:val="21"/>
                    </w:rPr>
                    <w:t>1 次/1 年</w:t>
                  </w:r>
                </w:p>
              </w:tc>
            </w:tr>
          </w:tbl>
          <w:p>
            <w:pPr>
              <w:pStyle w:val="null3"/>
            </w:pPr>
            <w:r>
              <w:rPr>
                <w:rFonts w:ascii="仿宋_GB2312" w:hAnsi="仿宋_GB2312" w:cs="仿宋_GB2312" w:eastAsia="仿宋_GB2312"/>
                <w:sz w:val="21"/>
              </w:rPr>
              <w:t>厂界噪声监测方案</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sz w:val="21"/>
                    </w:rPr>
                    <w:t>监测点位</w:t>
                  </w:r>
                </w:p>
              </w:tc>
              <w:tc>
                <w:tcPr>
                  <w:tcW w:type="dxa" w:w="851"/>
                </w:tcPr>
                <w:p>
                  <w:pPr>
                    <w:pStyle w:val="null3"/>
                    <w:jc w:val="center"/>
                  </w:pPr>
                  <w:r>
                    <w:rPr>
                      <w:rFonts w:ascii="仿宋_GB2312" w:hAnsi="仿宋_GB2312" w:cs="仿宋_GB2312" w:eastAsia="仿宋_GB2312"/>
                      <w:sz w:val="21"/>
                    </w:rPr>
                    <w:t>监测指标</w:t>
                  </w:r>
                </w:p>
              </w:tc>
              <w:tc>
                <w:tcPr>
                  <w:tcW w:type="dxa" w:w="851"/>
                </w:tcPr>
                <w:p>
                  <w:pPr>
                    <w:pStyle w:val="null3"/>
                    <w:jc w:val="center"/>
                  </w:pPr>
                  <w:r>
                    <w:rPr>
                      <w:rFonts w:ascii="仿宋_GB2312" w:hAnsi="仿宋_GB2312" w:cs="仿宋_GB2312" w:eastAsia="仿宋_GB2312"/>
                      <w:sz w:val="21"/>
                    </w:rPr>
                    <w:t>监测频次</w:t>
                  </w:r>
                </w:p>
              </w:tc>
            </w:tr>
            <w:tr>
              <w:tc>
                <w:tcPr>
                  <w:tcW w:type="dxa" w:w="851"/>
                </w:tcPr>
                <w:p>
                  <w:pPr>
                    <w:pStyle w:val="null3"/>
                    <w:jc w:val="center"/>
                  </w:pPr>
                  <w:r>
                    <w:rPr>
                      <w:rFonts w:ascii="仿宋_GB2312" w:hAnsi="仿宋_GB2312" w:cs="仿宋_GB2312" w:eastAsia="仿宋_GB2312"/>
                      <w:sz w:val="21"/>
                    </w:rPr>
                    <w:t>厂界四周</w:t>
                  </w:r>
                </w:p>
              </w:tc>
              <w:tc>
                <w:tcPr>
                  <w:tcW w:type="dxa" w:w="851"/>
                </w:tcPr>
                <w:p>
                  <w:pPr>
                    <w:pStyle w:val="null3"/>
                    <w:jc w:val="center"/>
                  </w:pPr>
                  <w:r>
                    <w:rPr>
                      <w:rFonts w:ascii="仿宋_GB2312" w:hAnsi="仿宋_GB2312" w:cs="仿宋_GB2312" w:eastAsia="仿宋_GB2312"/>
                      <w:sz w:val="21"/>
                    </w:rPr>
                    <w:t>等效连续 A 声级</w:t>
                  </w:r>
                </w:p>
              </w:tc>
              <w:tc>
                <w:tcPr>
                  <w:tcW w:type="dxa" w:w="851"/>
                </w:tcPr>
                <w:p>
                  <w:pPr>
                    <w:pStyle w:val="null3"/>
                    <w:jc w:val="center"/>
                  </w:pPr>
                  <w:r>
                    <w:rPr>
                      <w:rFonts w:ascii="仿宋_GB2312" w:hAnsi="仿宋_GB2312" w:cs="仿宋_GB2312" w:eastAsia="仿宋_GB2312"/>
                      <w:sz w:val="21"/>
                    </w:rPr>
                    <w:t>1 次/季度，昼、夜各监测一次。</w:t>
                  </w:r>
                </w:p>
              </w:tc>
            </w:tr>
          </w:tbl>
          <w:p>
            <w:pPr>
              <w:pStyle w:val="null3"/>
            </w:pPr>
            <w:r>
              <w:rPr>
                <w:rFonts w:ascii="仿宋_GB2312" w:hAnsi="仿宋_GB2312" w:cs="仿宋_GB2312" w:eastAsia="仿宋_GB2312"/>
                <w:sz w:val="21"/>
              </w:rPr>
              <w:t>（3）应急监测</w:t>
            </w:r>
          </w:p>
          <w:p>
            <w:pPr>
              <w:pStyle w:val="null3"/>
            </w:pPr>
            <w:r>
              <w:rPr>
                <w:rFonts w:ascii="仿宋_GB2312" w:hAnsi="仿宋_GB2312" w:cs="仿宋_GB2312" w:eastAsia="仿宋_GB2312"/>
                <w:sz w:val="21"/>
              </w:rPr>
              <w:t>设备故障或出现环境污染事故时的应急监测，根据具体情况确定监测内容，预估有组织1个排气筒1次/1 年；废水总排口1次/1年；无组织1次/1年；土壤监测1个点位，1次/年，地下水监测1个点位，1次/年；其它应急监测。（该部分以实际发生为准。）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西安市殡仪馆第20台火化炉进行建设项目环境保护竣工验收。</w:t>
            </w:r>
          </w:p>
          <w:p>
            <w:pPr>
              <w:pStyle w:val="null3"/>
            </w:pPr>
            <w:r>
              <w:rPr>
                <w:rFonts w:ascii="仿宋_GB2312" w:hAnsi="仿宋_GB2312" w:cs="仿宋_GB2312" w:eastAsia="仿宋_GB2312"/>
                <w:sz w:val="21"/>
              </w:rPr>
              <w:t>现有20台火化炉已经有19台进行了环境保护竣工验收，第20台包含在环评中，因后期建设，未进行验收，近期应对其进行一次验收并经专家评审后向环保部门备案。建设规模与设备参数与其它火化炉相同。</w:t>
            </w:r>
          </w:p>
          <w:p>
            <w:pPr>
              <w:pStyle w:val="null3"/>
            </w:pPr>
            <w:r>
              <w:rPr>
                <w:rFonts w:ascii="仿宋_GB2312" w:hAnsi="仿宋_GB2312" w:cs="仿宋_GB2312" w:eastAsia="仿宋_GB2312"/>
                <w:sz w:val="21"/>
              </w:rPr>
              <w:t>要求按照生态环境部《建设项目竣工环境保护验收技术指南污染影响类》对西安市殡仪馆第20台火化炉进行建设项目环境保护竣工验收，主要包括以下工作内容：</w:t>
            </w:r>
          </w:p>
          <w:p>
            <w:pPr>
              <w:pStyle w:val="null3"/>
            </w:pPr>
            <w:r>
              <w:rPr>
                <w:rFonts w:ascii="仿宋_GB2312" w:hAnsi="仿宋_GB2312" w:cs="仿宋_GB2312" w:eastAsia="仿宋_GB2312"/>
                <w:sz w:val="21"/>
              </w:rPr>
              <w:t>验收工作主要包括验收监测工作和后续工作，其中验收监测工作可分为启动、自查、编制验收监测方案、实施监测与检查、编制验收监测报告五个阶段；后续工作包括：组织专家评审会议、提出验收意见、其他需要说明的事项、形成验收报告、公开、登记相关信息并建立档案等内容。</w:t>
            </w:r>
          </w:p>
          <w:p>
            <w:pPr>
              <w:pStyle w:val="null3"/>
            </w:pPr>
            <w:r>
              <w:rPr>
                <w:rFonts w:ascii="仿宋_GB2312" w:hAnsi="仿宋_GB2312" w:cs="仿宋_GB2312" w:eastAsia="仿宋_GB2312"/>
                <w:sz w:val="21"/>
              </w:rPr>
              <w:t>验收监测内容主要包括涉及本次验收范围的第20台火化炉的项目前期现场踏勘、收集资料、验收监测、专家评审、验收公示及备案工作，严格按照《建设项目竣工环境保护验收技术指南污染影响类》中相关要求进行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西安市殡仪馆污水处理站进行提标改造。</w:t>
            </w:r>
          </w:p>
          <w:p>
            <w:pPr>
              <w:pStyle w:val="null3"/>
            </w:pPr>
            <w:r>
              <w:rPr>
                <w:rFonts w:ascii="仿宋_GB2312" w:hAnsi="仿宋_GB2312" w:cs="仿宋_GB2312" w:eastAsia="仿宋_GB2312"/>
                <w:sz w:val="21"/>
              </w:rPr>
              <w:t>目前殡仪馆内主要废水为生活污水，执行标准为《城市污水再生利用城市杂用水水质（GB/T18920-2020）中表 1城市绿化、道路清扫、消防、建筑施工用水限值，现有污水处理站处理规模为100m3/d， 因存在以下问题需要进行改造。</w:t>
            </w:r>
          </w:p>
          <w:p>
            <w:pPr>
              <w:pStyle w:val="null3"/>
            </w:pPr>
            <w:r>
              <w:rPr>
                <w:rFonts w:ascii="仿宋_GB2312" w:hAnsi="仿宋_GB2312" w:cs="仿宋_GB2312" w:eastAsia="仿宋_GB2312"/>
                <w:sz w:val="21"/>
              </w:rPr>
              <w:t>主要问题：1、各池体管路腐蚀损坏，设施设备运行异常，造成污水外溢现象，存在环保风险。</w:t>
            </w:r>
          </w:p>
          <w:p>
            <w:pPr>
              <w:pStyle w:val="null3"/>
            </w:pPr>
            <w:r>
              <w:rPr>
                <w:rFonts w:ascii="仿宋_GB2312" w:hAnsi="仿宋_GB2312" w:cs="仿宋_GB2312" w:eastAsia="仿宋_GB2312"/>
                <w:sz w:val="21"/>
              </w:rPr>
              <w:t>2、生化池填料及支架腐蚀损坏严重，严重跑泥，污泥浓度低，生化处理能力差。</w:t>
            </w:r>
          </w:p>
          <w:p>
            <w:pPr>
              <w:pStyle w:val="null3"/>
            </w:pPr>
            <w:r>
              <w:rPr>
                <w:rFonts w:ascii="仿宋_GB2312" w:hAnsi="仿宋_GB2312" w:cs="仿宋_GB2312" w:eastAsia="仿宋_GB2312"/>
                <w:sz w:val="21"/>
              </w:rPr>
              <w:t>3、沉淀池沉降性能差，且无法正常排泥，需提升改造。</w:t>
            </w:r>
          </w:p>
          <w:p>
            <w:pPr>
              <w:pStyle w:val="null3"/>
            </w:pPr>
            <w:r>
              <w:rPr>
                <w:rFonts w:ascii="仿宋_GB2312" w:hAnsi="仿宋_GB2312" w:cs="仿宋_GB2312" w:eastAsia="仿宋_GB2312"/>
                <w:sz w:val="21"/>
              </w:rPr>
              <w:t>4、现有废水处理工艺无遗体清洗废水处理措施。</w:t>
            </w:r>
          </w:p>
          <w:p>
            <w:pPr>
              <w:pStyle w:val="null3"/>
            </w:pPr>
            <w:r>
              <w:rPr>
                <w:rFonts w:ascii="仿宋_GB2312" w:hAnsi="仿宋_GB2312" w:cs="仿宋_GB2312" w:eastAsia="仿宋_GB2312"/>
                <w:sz w:val="21"/>
              </w:rPr>
              <w:t>5、生化系统未设置排泥系统，无法通过排泥控制污泥浓度和污泥龄。</w:t>
            </w:r>
          </w:p>
          <w:p>
            <w:pPr>
              <w:pStyle w:val="null3"/>
            </w:pPr>
            <w:r>
              <w:rPr>
                <w:rFonts w:ascii="仿宋_GB2312" w:hAnsi="仿宋_GB2312" w:cs="仿宋_GB2312" w:eastAsia="仿宋_GB2312"/>
                <w:sz w:val="21"/>
              </w:rPr>
              <w:t>本工程为在原有基础上的改造工程，处理对象为西安市殡仪馆院内废水。按照100m3/d进行改造，处理后的水质达到《城市污水再生利用城市杂用水水质》（GB/T18920-2020）污染物排放限值，回用于馆内绿化灌溉、道路洒水等。</w:t>
            </w:r>
          </w:p>
          <w:p>
            <w:pPr>
              <w:pStyle w:val="null3"/>
            </w:pPr>
            <w:r>
              <w:rPr>
                <w:rFonts w:ascii="仿宋_GB2312" w:hAnsi="仿宋_GB2312" w:cs="仿宋_GB2312" w:eastAsia="仿宋_GB2312"/>
                <w:sz w:val="21"/>
              </w:rPr>
              <w:t>本工程为交钥匙工程：包括设备采购、设备安装和调试及培训等， 顺利验收后交给甲方。</w:t>
            </w:r>
          </w:p>
          <w:p>
            <w:pPr>
              <w:pStyle w:val="null3"/>
            </w:pPr>
            <w:r>
              <w:rPr>
                <w:rFonts w:ascii="仿宋_GB2312" w:hAnsi="仿宋_GB2312" w:cs="仿宋_GB2312" w:eastAsia="仿宋_GB2312"/>
                <w:sz w:val="21"/>
              </w:rPr>
              <w:t>污水站工艺流程图如下：</w:t>
            </w:r>
          </w:p>
          <w:p>
            <w:pPr>
              <w:pStyle w:val="null3"/>
            </w:pPr>
            <w:r>
              <w:rPr>
                <w:rFonts w:ascii="仿宋_GB2312" w:hAnsi="仿宋_GB2312" w:cs="仿宋_GB2312" w:eastAsia="仿宋_GB2312"/>
                <w:sz w:val="21"/>
              </w:rPr>
              <w:t>改造前处理工艺流程图</w:t>
            </w:r>
          </w:p>
          <w:p>
            <w:pPr>
              <w:pStyle w:val="null3"/>
            </w:pPr>
            <w:r>
              <w:drawing>
                <wp:inline distT="0" distR="0" distB="0" distL="0">
                  <wp:extent cx="1621155" cy="84569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845692"/>
                          </a:xfrm>
                          <a:prstGeom prst="rect">
                            <a:avLst/>
                          </a:prstGeom>
                        </pic:spPr>
                      </pic:pic>
                    </a:graphicData>
                  </a:graphic>
                </wp:inline>
              </w:drawing>
            </w:r>
          </w:p>
          <w:p>
            <w:pPr>
              <w:pStyle w:val="null3"/>
            </w:pPr>
            <w:r>
              <w:rPr>
                <w:rFonts w:ascii="仿宋_GB2312" w:hAnsi="仿宋_GB2312" w:cs="仿宋_GB2312" w:eastAsia="仿宋_GB2312"/>
                <w:sz w:val="21"/>
              </w:rPr>
              <w:t>改造后处理工艺流程图</w:t>
            </w:r>
          </w:p>
          <w:p>
            <w:pPr>
              <w:pStyle w:val="null3"/>
            </w:pPr>
            <w:r>
              <w:drawing>
                <wp:inline distT="0" distR="0" distB="0" distL="0">
                  <wp:extent cx="1621155" cy="112553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125535"/>
                          </a:xfrm>
                          <a:prstGeom prst="rect">
                            <a:avLst/>
                          </a:prstGeom>
                        </pic:spPr>
                      </pic:pic>
                    </a:graphicData>
                  </a:graphic>
                </wp:inline>
              </w:drawing>
            </w:r>
          </w:p>
          <w:p>
            <w:pPr>
              <w:pStyle w:val="null3"/>
            </w:pPr>
            <w:r>
              <w:rPr>
                <w:rFonts w:ascii="仿宋_GB2312" w:hAnsi="仿宋_GB2312" w:cs="仿宋_GB2312" w:eastAsia="仿宋_GB2312"/>
                <w:sz w:val="21"/>
              </w:rPr>
              <w:t>西安市殡仪馆污水处理站提升改造清单</w:t>
            </w:r>
          </w:p>
          <w:tbl>
            <w:tblPr>
              <w:tblInd w:type="dxa" w:w="105"/>
              <w:tblBorders>
                <w:top w:val="none" w:color="000000" w:sz="4"/>
                <w:left w:val="none" w:color="000000" w:sz="4"/>
                <w:bottom w:val="none" w:color="000000" w:sz="4"/>
                <w:right w:val="none" w:color="000000" w:sz="4"/>
                <w:insideH w:val="none"/>
                <w:insideV w:val="none"/>
              </w:tblBorders>
            </w:tblPr>
            <w:tblGrid>
              <w:gridCol w:w="233"/>
              <w:gridCol w:w="395"/>
              <w:gridCol w:w="997"/>
              <w:gridCol w:w="211"/>
              <w:gridCol w:w="332"/>
              <w:gridCol w:w="373"/>
            </w:tblGrid>
            <w:tr>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序号</w:t>
                  </w:r>
                </w:p>
              </w:tc>
              <w:tc>
                <w:tcPr>
                  <w:tcW w:type="dxa" w:w="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名称</w:t>
                  </w:r>
                </w:p>
              </w:tc>
              <w:tc>
                <w:tcPr>
                  <w:tcW w:type="dxa" w:w="9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型号规格</w:t>
                  </w:r>
                </w:p>
              </w:tc>
              <w:tc>
                <w:tcPr>
                  <w:tcW w:type="dxa" w:w="2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数量</w:t>
                  </w:r>
                </w:p>
              </w:tc>
              <w:tc>
                <w:tcPr>
                  <w:tcW w:type="dxa" w:w="3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项目</w:t>
                  </w:r>
                </w:p>
              </w:tc>
              <w:tc>
                <w:tcPr>
                  <w:tcW w:type="dxa" w:w="3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机械格栅检</w:t>
                  </w:r>
                  <w:r>
                    <w:rPr>
                      <w:rFonts w:ascii="仿宋_GB2312" w:hAnsi="仿宋_GB2312" w:cs="仿宋_GB2312" w:eastAsia="仿宋_GB2312"/>
                      <w:sz w:val="21"/>
                      <w:color w:val="000000"/>
                    </w:rPr>
                    <w:t>修</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B=700mm，栅条间隙3mm，渠宽</w:t>
                  </w:r>
                </w:p>
                <w:p>
                  <w:pPr>
                    <w:pStyle w:val="null3"/>
                    <w:jc w:val="center"/>
                  </w:pPr>
                  <w:r>
                    <w:rPr>
                      <w:rFonts w:ascii="仿宋_GB2312" w:hAnsi="仿宋_GB2312" w:cs="仿宋_GB2312" w:eastAsia="仿宋_GB2312"/>
                      <w:sz w:val="21"/>
                      <w:color w:val="000000"/>
                    </w:rPr>
                    <w:t>800mm，渠深 4.1m，不锈钢材质，</w:t>
                  </w:r>
                </w:p>
                <w:p>
                  <w:pPr>
                    <w:pStyle w:val="null3"/>
                    <w:jc w:val="center"/>
                  </w:pPr>
                  <w:r>
                    <w:rPr>
                      <w:rFonts w:ascii="仿宋_GB2312" w:hAnsi="仿宋_GB2312" w:cs="仿宋_GB2312" w:eastAsia="仿宋_GB2312"/>
                      <w:sz w:val="21"/>
                      <w:color w:val="000000"/>
                    </w:rPr>
                    <w:t>安装角度</w:t>
                  </w:r>
                  <w:r>
                    <w:rPr>
                      <w:rFonts w:ascii="仿宋_GB2312" w:hAnsi="仿宋_GB2312" w:cs="仿宋_GB2312" w:eastAsia="仿宋_GB2312"/>
                      <w:sz w:val="21"/>
                      <w:color w:val="000000"/>
                    </w:rPr>
                    <w:t>70 °, N=1.1kw</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集水井提升</w:t>
                  </w:r>
                  <w:r>
                    <w:rPr>
                      <w:rFonts w:ascii="仿宋_GB2312" w:hAnsi="仿宋_GB2312" w:cs="仿宋_GB2312" w:eastAsia="仿宋_GB2312"/>
                      <w:sz w:val="21"/>
                      <w:color w:val="000000"/>
                    </w:rPr>
                    <w:t>泵拆除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Q：10m3/h，H：15m，380V，</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水泵检修</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调节池提升</w:t>
                  </w:r>
                  <w:r>
                    <w:rPr>
                      <w:rFonts w:ascii="仿宋_GB2312" w:hAnsi="仿宋_GB2312" w:cs="仿宋_GB2312" w:eastAsia="仿宋_GB2312"/>
                      <w:sz w:val="21"/>
                      <w:color w:val="000000"/>
                    </w:rPr>
                    <w:t>泵拆除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Q：10m3/h，H：15m，380V</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水泵检修</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厌氧池推流</w:t>
                  </w:r>
                  <w:r>
                    <w:rPr>
                      <w:rFonts w:ascii="仿宋_GB2312" w:hAnsi="仿宋_GB2312" w:cs="仿宋_GB2312" w:eastAsia="仿宋_GB2312"/>
                      <w:sz w:val="21"/>
                      <w:color w:val="000000"/>
                    </w:rPr>
                    <w:t>器拆除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缺氧池推流</w:t>
                  </w:r>
                  <w:r>
                    <w:rPr>
                      <w:rFonts w:ascii="仿宋_GB2312" w:hAnsi="仿宋_GB2312" w:cs="仿宋_GB2312" w:eastAsia="仿宋_GB2312"/>
                      <w:sz w:val="21"/>
                      <w:color w:val="000000"/>
                    </w:rPr>
                    <w:t>器拆除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消化液回流</w:t>
                  </w:r>
                  <w:r>
                    <w:rPr>
                      <w:rFonts w:ascii="仿宋_GB2312" w:hAnsi="仿宋_GB2312" w:cs="仿宋_GB2312" w:eastAsia="仿宋_GB2312"/>
                      <w:sz w:val="21"/>
                      <w:color w:val="000000"/>
                    </w:rPr>
                    <w:t>泵拆除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Q：10m3/h，H：15m，380V</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污泥回流泵</w:t>
                  </w:r>
                  <w:r>
                    <w:rPr>
                      <w:rFonts w:ascii="仿宋_GB2312" w:hAnsi="仿宋_GB2312" w:cs="仿宋_GB2312" w:eastAsia="仿宋_GB2312"/>
                      <w:sz w:val="21"/>
                      <w:color w:val="000000"/>
                    </w:rPr>
                    <w:t>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Q：10m3/h，H：15m，380V</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排泥泵拆除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Q：10m3/h，H：15m，380V</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检修保养</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管路、耦合器维修</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DN50、DNA40焊接钢管、弯头</w:t>
                  </w:r>
                  <w:r>
                    <w:rPr>
                      <w:rFonts w:ascii="仿宋_GB2312" w:hAnsi="仿宋_GB2312" w:cs="仿宋_GB2312" w:eastAsia="仿宋_GB2312"/>
                      <w:sz w:val="21"/>
                      <w:color w:val="000000"/>
                    </w:rPr>
                    <w:t>、</w:t>
                  </w:r>
                  <w:r>
                    <w:rPr>
                      <w:rFonts w:ascii="仿宋_GB2312" w:hAnsi="仿宋_GB2312" w:cs="仿宋_GB2312" w:eastAsia="仿宋_GB2312"/>
                      <w:sz w:val="21"/>
                      <w:color w:val="000000"/>
                    </w:rPr>
                    <w:t>对夹式止回阀、对夹式蝶阀</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维修更换</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缺氧池、好氧池填料</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Φ150*2500mm 弹性填料</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填料更换</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支架更换、加固焊接、除锈防腐</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缺氧池、好</w:t>
                  </w:r>
                </w:p>
                <w:p>
                  <w:pPr>
                    <w:pStyle w:val="null3"/>
                    <w:jc w:val="center"/>
                  </w:pPr>
                  <w:r>
                    <w:rPr>
                      <w:rFonts w:ascii="仿宋_GB2312" w:hAnsi="仿宋_GB2312" w:cs="仿宋_GB2312" w:eastAsia="仿宋_GB2312"/>
                      <w:sz w:val="21"/>
                      <w:color w:val="000000"/>
                    </w:rPr>
                    <w:t>氧池布气系</w:t>
                  </w:r>
                </w:p>
                <w:p>
                  <w:pPr>
                    <w:pStyle w:val="null3"/>
                    <w:jc w:val="center"/>
                  </w:pPr>
                  <w:r>
                    <w:rPr>
                      <w:rFonts w:ascii="仿宋_GB2312" w:hAnsi="仿宋_GB2312" w:cs="仿宋_GB2312" w:eastAsia="仿宋_GB2312"/>
                      <w:sz w:val="21"/>
                      <w:color w:val="000000"/>
                    </w:rPr>
                    <w:t>统</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DN65、DN50、DN40-UPVC管、弯头、等径三通、φ215曝气盘、 PVC支架</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MBR膜</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中空纤维膜组件</w:t>
                  </w:r>
                  <w:r>
                    <w:rPr>
                      <w:rFonts w:ascii="仿宋_GB2312" w:hAnsi="仿宋_GB2312" w:cs="仿宋_GB2312" w:eastAsia="仿宋_GB2312"/>
                      <w:sz w:val="21"/>
                      <w:color w:val="000000"/>
                    </w:rPr>
                    <w:t>（</w:t>
                  </w:r>
                  <w:r>
                    <w:rPr>
                      <w:rFonts w:ascii="仿宋_GB2312" w:hAnsi="仿宋_GB2312" w:cs="仿宋_GB2312" w:eastAsia="仿宋_GB2312"/>
                      <w:sz w:val="21"/>
                      <w:color w:val="000000"/>
                    </w:rPr>
                    <w:t>1800*700*2000）</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340㎡</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13</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MBR膜池</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依托二沉池改造</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产水泵</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流量：</w:t>
                  </w:r>
                  <w:r>
                    <w:rPr>
                      <w:rFonts w:ascii="仿宋_GB2312" w:hAnsi="仿宋_GB2312" w:cs="仿宋_GB2312" w:eastAsia="仿宋_GB2312"/>
                      <w:sz w:val="21"/>
                      <w:color w:val="000000"/>
                    </w:rPr>
                    <w:t>8m³/h，扬程16米，功率0.75kw，材质不锈钢</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15</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反洗泵</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流量：</w:t>
                  </w:r>
                  <w:r>
                    <w:rPr>
                      <w:rFonts w:ascii="仿宋_GB2312" w:hAnsi="仿宋_GB2312" w:cs="仿宋_GB2312" w:eastAsia="仿宋_GB2312"/>
                      <w:sz w:val="21"/>
                      <w:color w:val="000000"/>
                    </w:rPr>
                    <w:t>8m³/h，扬程16米，功率0.75kw，材质不锈钢</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16</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产水、反洗管路</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DN40、DN32-UPVC管、弯头、球</w:t>
                  </w:r>
                </w:p>
                <w:p>
                  <w:pPr>
                    <w:pStyle w:val="null3"/>
                    <w:jc w:val="center"/>
                  </w:pPr>
                  <w:r>
                    <w:rPr>
                      <w:rFonts w:ascii="仿宋_GB2312" w:hAnsi="仿宋_GB2312" w:cs="仿宋_GB2312" w:eastAsia="仿宋_GB2312"/>
                      <w:sz w:val="21"/>
                      <w:color w:val="000000"/>
                    </w:rPr>
                    <w:t>阀、转子流量计、压力表、电磁</w:t>
                  </w:r>
                </w:p>
                <w:p>
                  <w:pPr>
                    <w:pStyle w:val="null3"/>
                    <w:jc w:val="center"/>
                  </w:pPr>
                  <w:r>
                    <w:rPr>
                      <w:rFonts w:ascii="仿宋_GB2312" w:hAnsi="仿宋_GB2312" w:cs="仿宋_GB2312" w:eastAsia="仿宋_GB2312"/>
                      <w:sz w:val="21"/>
                      <w:color w:val="000000"/>
                    </w:rPr>
                    <w:t>阀</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17</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膜池布气管</w:t>
                  </w:r>
                  <w:r>
                    <w:rPr>
                      <w:rFonts w:ascii="仿宋_GB2312" w:hAnsi="仿宋_GB2312" w:cs="仿宋_GB2312" w:eastAsia="仿宋_GB2312"/>
                      <w:sz w:val="21"/>
                      <w:color w:val="000000"/>
                    </w:rPr>
                    <w:t>路</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DN50-UPVC管、弯头、球阀</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18</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膜池土建</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依托原有二沉池改造为膜池</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19</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预处理池</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混凝土结构</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预处理消毒</w:t>
                  </w:r>
                  <w:r>
                    <w:rPr>
                      <w:rFonts w:ascii="仿宋_GB2312" w:hAnsi="仿宋_GB2312" w:cs="仿宋_GB2312" w:eastAsia="仿宋_GB2312"/>
                      <w:sz w:val="21"/>
                      <w:color w:val="000000"/>
                    </w:rPr>
                    <w:t>装置</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200L消毒设备</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21</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脱氯装置</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200L脱氯设备</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22</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除臭设备</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生物除臭设备：</w:t>
                  </w:r>
                </w:p>
                <w:p>
                  <w:pPr>
                    <w:pStyle w:val="null3"/>
                    <w:jc w:val="center"/>
                  </w:pPr>
                  <w:r>
                    <w:rPr>
                      <w:rFonts w:ascii="仿宋_GB2312" w:hAnsi="仿宋_GB2312" w:cs="仿宋_GB2312" w:eastAsia="仿宋_GB2312"/>
                      <w:sz w:val="21"/>
                      <w:color w:val="000000"/>
                    </w:rPr>
                    <w:t>3000*2000*2000mm，材质PP，含引风机风量5000m³/h，φ300镀锌管15米高排烟筒</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1套</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23</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回转式罗茨</w:t>
                  </w:r>
                  <w:r>
                    <w:rPr>
                      <w:rFonts w:ascii="仿宋_GB2312" w:hAnsi="仿宋_GB2312" w:cs="仿宋_GB2312" w:eastAsia="仿宋_GB2312"/>
                      <w:sz w:val="21"/>
                      <w:color w:val="000000"/>
                    </w:rPr>
                    <w:t>风机</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HC-601S，风量2.41-2.18m³/min</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24</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自控维修</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自动控制</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维修维护</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依托原有</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25</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液位计</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 米浮球液位计</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更换</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26</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清淤</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各池体清淤及处置</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27</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脱泥设备</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压滤液收集槽、泥饼收集槽</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新增</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新购</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28</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调试</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污泥投加及拉运、药剂、人工</w:t>
                  </w: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29</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安装辅材</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机械、吊装</w:t>
                  </w:r>
                  <w:r>
                    <w:rPr>
                      <w:rFonts w:ascii="仿宋_GB2312" w:hAnsi="仿宋_GB2312" w:cs="仿宋_GB2312" w:eastAsia="仿宋_GB2312"/>
                      <w:sz w:val="21"/>
                      <w:color w:val="000000"/>
                    </w:rPr>
                    <w:t>运费</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31</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池体盖板除</w:t>
                  </w:r>
                  <w:r>
                    <w:rPr>
                      <w:rFonts w:ascii="仿宋_GB2312" w:hAnsi="仿宋_GB2312" w:cs="仿宋_GB2312" w:eastAsia="仿宋_GB2312"/>
                      <w:sz w:val="21"/>
                      <w:color w:val="000000"/>
                    </w:rPr>
                    <w:t>锈、防腐</w:t>
                  </w:r>
                </w:p>
              </w:tc>
              <w:tc>
                <w:tcPr>
                  <w:tcW w:type="dxa" w:w="9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1项</w:t>
                  </w:r>
                </w:p>
              </w:tc>
              <w:tc>
                <w:tcPr>
                  <w:tcW w:type="dxa" w:w="3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90"/>
              <w:ind w:left="720"/>
              <w:jc w:val="left"/>
            </w:pPr>
            <w:r>
              <w:rPr>
                <w:rFonts w:ascii="仿宋_GB2312" w:hAnsi="仿宋_GB2312" w:cs="仿宋_GB2312" w:eastAsia="仿宋_GB2312"/>
                <w:sz w:val="21"/>
              </w:rPr>
              <w:t>西安市殡仪馆污水处理站运维服务。</w:t>
            </w:r>
          </w:p>
          <w:p>
            <w:pPr>
              <w:pStyle w:val="null3"/>
            </w:pPr>
            <w:r>
              <w:rPr>
                <w:rFonts w:ascii="仿宋_GB2312" w:hAnsi="仿宋_GB2312" w:cs="仿宋_GB2312" w:eastAsia="仿宋_GB2312"/>
                <w:sz w:val="21"/>
              </w:rPr>
              <w:t>负责日常的污水站的正常运维，设备检修、药剂采购及添加、淤泥清理等，确保污水站正常运营且水质达到《城市污水再生利用城市杂用水水质》（GB/T18920-2020）中表1城市绿化、道路清扫、消防、建筑施工用水限值。</w:t>
            </w:r>
          </w:p>
          <w:p>
            <w:pPr>
              <w:pStyle w:val="null3"/>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90"/>
              <w:jc w:val="left"/>
            </w:pPr>
            <w:r>
              <w:rPr>
                <w:rFonts w:ascii="仿宋_GB2312" w:hAnsi="仿宋_GB2312" w:cs="仿宋_GB2312" w:eastAsia="仿宋_GB2312"/>
                <w:sz w:val="21"/>
              </w:rPr>
              <w:t>环保服务配套危废储存设施。</w:t>
            </w:r>
          </w:p>
          <w:p>
            <w:pPr>
              <w:pStyle w:val="null3"/>
            </w:pPr>
            <w:r>
              <w:rPr>
                <w:rFonts w:ascii="仿宋_GB2312" w:hAnsi="仿宋_GB2312" w:cs="仿宋_GB2312" w:eastAsia="仿宋_GB2312"/>
                <w:sz w:val="21"/>
              </w:rPr>
              <w:t>现有危废间设置不规范，且后期殡仪馆计划将黑灰纳入危废管理，纳入后危废总量将达到约30吨/年，因此，将按照13m×3m×3m（长×宽×高）新建一体化危废间，应符合《危险废物贮存污染控制标准》（GB 18597-2023）的标准及相关管理要求。</w:t>
            </w:r>
          </w:p>
          <w:p>
            <w:pPr>
              <w:pStyle w:val="null3"/>
            </w:pPr>
            <w:r>
              <w:rPr>
                <w:rFonts w:ascii="仿宋_GB2312" w:hAnsi="仿宋_GB2312" w:cs="仿宋_GB2312" w:eastAsia="仿宋_GB2312"/>
                <w:sz w:val="21"/>
              </w:rPr>
              <w:t>殡仪馆原环评中未将黑灰纳入危废处理，因此新建危废间建设需考虑环评验收等相关手续。</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30"/>
              <w:jc w:val="left"/>
            </w:pPr>
            <w:r>
              <w:rPr>
                <w:rFonts w:ascii="仿宋_GB2312" w:hAnsi="仿宋_GB2312" w:cs="仿宋_GB2312" w:eastAsia="仿宋_GB2312"/>
                <w:sz w:val="21"/>
              </w:rPr>
              <w:t>危险废物储存设施进行运行、维护、管理等。</w:t>
            </w:r>
          </w:p>
          <w:p>
            <w:pPr>
              <w:pStyle w:val="null3"/>
            </w:pPr>
            <w:r>
              <w:rPr>
                <w:rFonts w:ascii="仿宋_GB2312" w:hAnsi="仿宋_GB2312" w:cs="仿宋_GB2312" w:eastAsia="仿宋_GB2312"/>
                <w:sz w:val="21"/>
              </w:rPr>
              <w:t>收集殡仪馆相关危废信息，按照《危险废物贮存污染控制标准》（GB 18597-2023）的标准相关要求，建立危险废物管理体系，对危废出、入库、转移、年报、计划等进行登记管理，并在在环保部门相关平台填报危废台账及日常出、入库基本信息登记，并建立电子/纸质台账。</w:t>
            </w:r>
          </w:p>
          <w:p>
            <w:pPr>
              <w:pStyle w:val="null3"/>
            </w:pPr>
            <w:r>
              <w:rPr>
                <w:rFonts w:ascii="仿宋_GB2312" w:hAnsi="仿宋_GB2312" w:cs="仿宋_GB2312" w:eastAsia="仿宋_GB2312"/>
                <w:sz w:val="21"/>
              </w:rPr>
              <w:t>做好危废间日常管理要求并定期做好危废转移工作。</w:t>
            </w:r>
          </w:p>
          <w:p>
            <w:pPr>
              <w:pStyle w:val="null3"/>
            </w:pPr>
            <w:r>
              <w:rPr>
                <w:rFonts w:ascii="仿宋_GB2312" w:hAnsi="仿宋_GB2312" w:cs="仿宋_GB2312" w:eastAsia="仿宋_GB2312"/>
                <w:sz w:val="21"/>
              </w:rPr>
              <w:t>按照危废间相关要求，制定日常管理制度、运行记录、应急预案及相关规定要求管理制度，按要求张贴标识。</w:t>
            </w:r>
          </w:p>
          <w:p>
            <w:pPr>
              <w:pStyle w:val="null3"/>
            </w:pPr>
            <w:r>
              <w:rPr>
                <w:rFonts w:ascii="仿宋_GB2312" w:hAnsi="仿宋_GB2312" w:cs="仿宋_GB2312" w:eastAsia="仿宋_GB2312"/>
                <w:sz w:val="21"/>
              </w:rPr>
              <w:t>定期排查危废间存在的不符合项目并及时整改。</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危险废物转运处置。</w:t>
            </w:r>
          </w:p>
          <w:p>
            <w:pPr>
              <w:pStyle w:val="null3"/>
            </w:pPr>
            <w:r>
              <w:rPr>
                <w:rFonts w:ascii="仿宋_GB2312" w:hAnsi="仿宋_GB2312" w:cs="仿宋_GB2312" w:eastAsia="仿宋_GB2312"/>
                <w:sz w:val="21"/>
              </w:rPr>
              <w:t>要求与有本项目危险废物收集处置资质的第三方单位签订危废转移合同，并做好转移工作及相关台账管理。</w:t>
            </w:r>
          </w:p>
          <w:p>
            <w:pPr>
              <w:pStyle w:val="null3"/>
            </w:pPr>
            <w:r>
              <w:rPr>
                <w:rFonts w:ascii="仿宋_GB2312" w:hAnsi="仿宋_GB2312" w:cs="仿宋_GB2312" w:eastAsia="仿宋_GB2312"/>
                <w:sz w:val="21"/>
              </w:rPr>
              <w:t>核查危险废物处置单位处理资质；</w:t>
            </w:r>
          </w:p>
          <w:p>
            <w:pPr>
              <w:pStyle w:val="null3"/>
            </w:pPr>
            <w:r>
              <w:rPr>
                <w:rFonts w:ascii="仿宋_GB2312" w:hAnsi="仿宋_GB2312" w:cs="仿宋_GB2312" w:eastAsia="仿宋_GB2312"/>
                <w:sz w:val="21"/>
              </w:rPr>
              <w:t>按规范做好危险废物处置相关手续，包括：转移计划的申报、转移类别、量的核查、转移联单的管理等。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spacing w:before="285"/>
              <w:ind w:left="630"/>
              <w:jc w:val="left"/>
            </w:pPr>
            <w:r>
              <w:rPr>
                <w:rFonts w:ascii="仿宋_GB2312" w:hAnsi="仿宋_GB2312" w:cs="仿宋_GB2312" w:eastAsia="仿宋_GB2312"/>
                <w:sz w:val="21"/>
              </w:rPr>
              <w:t>按照突发环境事件预案管理要求，修订应急预案；</w:t>
            </w:r>
          </w:p>
          <w:p>
            <w:pPr>
              <w:pStyle w:val="null3"/>
            </w:pPr>
            <w:r>
              <w:rPr>
                <w:rFonts w:ascii="仿宋_GB2312" w:hAnsi="仿宋_GB2312" w:cs="仿宋_GB2312" w:eastAsia="仿宋_GB2312"/>
                <w:sz w:val="21"/>
              </w:rPr>
              <w:t>按照突发环境事件预案管理要求，应急预案应当每三年至少修订一次，目前殡仪馆突发环境事件应急预案已经超期，近期应进行一次修订工作。</w:t>
            </w:r>
          </w:p>
          <w:p>
            <w:pPr>
              <w:pStyle w:val="null3"/>
            </w:pPr>
            <w:r>
              <w:rPr>
                <w:rFonts w:ascii="仿宋_GB2312" w:hAnsi="仿宋_GB2312" w:cs="仿宋_GB2312" w:eastAsia="仿宋_GB2312"/>
                <w:sz w:val="21"/>
              </w:rPr>
              <w:t>（1）应急预案修订及备案。</w:t>
            </w:r>
          </w:p>
          <w:p>
            <w:pPr>
              <w:pStyle w:val="null3"/>
            </w:pPr>
            <w:r>
              <w:rPr>
                <w:rFonts w:ascii="仿宋_GB2312" w:hAnsi="仿宋_GB2312" w:cs="仿宋_GB2312" w:eastAsia="仿宋_GB2312"/>
                <w:sz w:val="21"/>
              </w:rPr>
              <w:t>（2）应急演练：定期开展应急演练，编写演练报告、分析存在的问题，根据演练情况及时修改完善应急预案，相关演练资料及时建档归档。</w:t>
            </w:r>
          </w:p>
          <w:p>
            <w:pPr>
              <w:pStyle w:val="null3"/>
            </w:pPr>
            <w:r>
              <w:rPr>
                <w:rFonts w:ascii="仿宋_GB2312" w:hAnsi="仿宋_GB2312" w:cs="仿宋_GB2312" w:eastAsia="仿宋_GB2312"/>
                <w:sz w:val="21"/>
              </w:rPr>
              <w:t>（3）应急物资：建立应急物资贮备库，配备符合要求的应急物资并及时更新。</w:t>
            </w:r>
          </w:p>
          <w:p>
            <w:pPr>
              <w:pStyle w:val="null3"/>
            </w:pPr>
            <w:r>
              <w:rPr>
                <w:rFonts w:ascii="仿宋_GB2312" w:hAnsi="仿宋_GB2312" w:cs="仿宋_GB2312" w:eastAsia="仿宋_GB2312"/>
                <w:sz w:val="21"/>
              </w:rPr>
              <w:t>（4）应急救援：健全应急救援队伍，完善培训记录、模拟演习管理制度。</w:t>
            </w:r>
          </w:p>
          <w:p>
            <w:pPr>
              <w:pStyle w:val="null3"/>
            </w:pPr>
            <w:r>
              <w:rPr>
                <w:rFonts w:ascii="仿宋_GB2312" w:hAnsi="仿宋_GB2312" w:cs="仿宋_GB2312" w:eastAsia="仿宋_GB2312"/>
                <w:sz w:val="21"/>
              </w:rPr>
              <w:t>（5）应急恢复与评估：制定应急恢复措施和工作计划，评估事故影响、分析事故原因，制定监测措施。</w:t>
            </w:r>
          </w:p>
          <w:p>
            <w:pPr>
              <w:pStyle w:val="null3"/>
            </w:pPr>
            <w:r>
              <w:rPr>
                <w:rFonts w:ascii="仿宋_GB2312" w:hAnsi="仿宋_GB2312" w:cs="仿宋_GB2312" w:eastAsia="仿宋_GB2312"/>
                <w:sz w:val="21"/>
              </w:rPr>
              <w:t>（6）事故调查与分析：成立事故调查组调查与分析，制定事故报告，制定事故应急处置评估报告。</w:t>
            </w:r>
          </w:p>
          <w:p>
            <w:pPr>
              <w:pStyle w:val="null3"/>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排污许可证填报</w:t>
            </w:r>
          </w:p>
          <w:p>
            <w:pPr>
              <w:pStyle w:val="null3"/>
            </w:pPr>
            <w:r>
              <w:rPr>
                <w:rFonts w:ascii="仿宋_GB2312" w:hAnsi="仿宋_GB2312" w:cs="仿宋_GB2312" w:eastAsia="仿宋_GB2312"/>
                <w:sz w:val="21"/>
              </w:rPr>
              <w:t>收集有效监测数据及单位基本信息，按照排污许可证相关管理要求，按时上传方案、对单位基础信息及台账进行更新，对数据进行填报上传。</w:t>
            </w:r>
          </w:p>
          <w:p>
            <w:pPr>
              <w:pStyle w:val="null3"/>
            </w:pPr>
            <w:r>
              <w:rPr>
                <w:rFonts w:ascii="仿宋_GB2312" w:hAnsi="仿宋_GB2312" w:cs="仿宋_GB2312" w:eastAsia="仿宋_GB2312"/>
                <w:sz w:val="21"/>
              </w:rPr>
              <w:t>按时完成许可证年度执行报告。</w:t>
            </w:r>
          </w:p>
          <w:p>
            <w:pPr>
              <w:pStyle w:val="null3"/>
            </w:pPr>
            <w:r>
              <w:rPr>
                <w:rFonts w:ascii="仿宋_GB2312" w:hAnsi="仿宋_GB2312" w:cs="仿宋_GB2312" w:eastAsia="仿宋_GB2312"/>
                <w:sz w:val="21"/>
              </w:rPr>
              <w:t>如有变更或许可证到期等情况，应及时进行变更/重新申请/续证。对排污许可证管理部门审核的其它相关问题进行更新修改。</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before="135"/>
              <w:jc w:val="left"/>
            </w:pPr>
            <w:r>
              <w:rPr>
                <w:rFonts w:ascii="仿宋_GB2312" w:hAnsi="仿宋_GB2312" w:cs="仿宋_GB2312" w:eastAsia="仿宋_GB2312"/>
                <w:sz w:val="21"/>
              </w:rPr>
              <w:t>搭建环境管理体系（管理制度、环保台账等）。</w:t>
            </w:r>
          </w:p>
          <w:p>
            <w:pPr>
              <w:pStyle w:val="null3"/>
            </w:pPr>
            <w:r>
              <w:rPr>
                <w:rFonts w:ascii="仿宋_GB2312" w:hAnsi="仿宋_GB2312" w:cs="仿宋_GB2312" w:eastAsia="仿宋_GB2312"/>
                <w:sz w:val="21"/>
              </w:rPr>
              <w:t>搭建企业环保管理体系，指定相关的管理制度，环保台账，确保所有环保相关工作能够符合现行政策要求。</w:t>
            </w:r>
          </w:p>
          <w:p>
            <w:pPr>
              <w:pStyle w:val="null3"/>
            </w:pPr>
            <w:r>
              <w:rPr>
                <w:rFonts w:ascii="仿宋_GB2312" w:hAnsi="仿宋_GB2312" w:cs="仿宋_GB2312" w:eastAsia="仿宋_GB2312"/>
                <w:sz w:val="21"/>
              </w:rPr>
              <w:t>负责搭建环境管理体系；指导运行环境管理体系；指导相关运行记录的归档等。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before="45"/>
              <w:ind w:left="585"/>
              <w:jc w:val="left"/>
            </w:pPr>
            <w:r>
              <w:rPr>
                <w:rFonts w:ascii="仿宋_GB2312" w:hAnsi="仿宋_GB2312" w:cs="仿宋_GB2312" w:eastAsia="仿宋_GB2312"/>
                <w:sz w:val="21"/>
              </w:rPr>
              <w:t>组织环保专题培训（不少于 2 次）。</w:t>
            </w:r>
          </w:p>
          <w:p>
            <w:pPr>
              <w:pStyle w:val="null3"/>
            </w:pPr>
            <w:r>
              <w:rPr>
                <w:rFonts w:ascii="仿宋_GB2312" w:hAnsi="仿宋_GB2312" w:cs="仿宋_GB2312" w:eastAsia="仿宋_GB2312"/>
                <w:sz w:val="21"/>
              </w:rPr>
              <w:t>有针对性的进行培训，由环保管家专业环保人员或行业专家进行培训，具体培训包括：环保相关政策和制度培训；国家法规政策技术文件培训；大气相关政策及管理制度培训；固体废物及危险废物相关政策培训；企业突发环境事件及应急预案；增加企业需求，企业可根据企业环保运行过程中存在的问题提出培训需要；其它新政策要求及宣传培训。</w:t>
            </w:r>
          </w:p>
          <w:p>
            <w:pPr>
              <w:pStyle w:val="null3"/>
              <w:spacing w:before="45"/>
              <w:ind w:left="585"/>
              <w:jc w:val="left"/>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环保管家设置环保专员负责西安市殡仪馆环保体系的日常运维。</w:t>
            </w:r>
          </w:p>
          <w:p>
            <w:pPr>
              <w:pStyle w:val="null3"/>
            </w:pPr>
            <w:r>
              <w:rPr>
                <w:rFonts w:ascii="仿宋_GB2312" w:hAnsi="仿宋_GB2312" w:cs="仿宋_GB2312" w:eastAsia="仿宋_GB2312"/>
                <w:sz w:val="21"/>
              </w:rPr>
              <w:t>设置环保专员配合殡仪馆的日常环保体系日常运维，至少保证工作日内由一名常驻环保专员负责日常工作，环保专员至少具有从事环保相关行业工作经验满三年，能够熟悉环保管家相关业务，有效解决企业运行中的环保问题。</w:t>
            </w:r>
          </w:p>
          <w:p>
            <w:pPr>
              <w:pStyle w:val="null3"/>
            </w:pPr>
            <w:r>
              <w:rPr>
                <w:rFonts w:ascii="仿宋_GB2312" w:hAnsi="仿宋_GB2312" w:cs="仿宋_GB2312" w:eastAsia="仿宋_GB2312"/>
                <w:sz w:val="21"/>
              </w:rPr>
              <w:t>排查处理殡仪馆内日常出现的环保问题。</w:t>
            </w:r>
          </w:p>
          <w:p>
            <w:pPr>
              <w:pStyle w:val="null3"/>
            </w:pPr>
            <w:r>
              <w:rPr>
                <w:rFonts w:ascii="仿宋_GB2312" w:hAnsi="仿宋_GB2312" w:cs="仿宋_GB2312" w:eastAsia="仿宋_GB2312"/>
                <w:sz w:val="21"/>
              </w:rPr>
              <w:t>各排污口合理性核查，规范化设置检查，排污口标识等完善并规范。</w:t>
            </w:r>
          </w:p>
          <w:p>
            <w:pPr>
              <w:pStyle w:val="null3"/>
            </w:pPr>
            <w:r>
              <w:rPr>
                <w:rFonts w:ascii="仿宋_GB2312" w:hAnsi="仿宋_GB2312" w:cs="仿宋_GB2312" w:eastAsia="仿宋_GB2312"/>
                <w:sz w:val="21"/>
              </w:rPr>
              <w:t>做好日常各项环保台账检查工作，避免遗漏。</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spacing w:before="285"/>
              <w:jc w:val="both"/>
            </w:pPr>
            <w:r>
              <w:rPr>
                <w:rFonts w:ascii="仿宋_GB2312" w:hAnsi="仿宋_GB2312" w:cs="仿宋_GB2312" w:eastAsia="仿宋_GB2312"/>
                <w:sz w:val="21"/>
              </w:rPr>
              <w:t>环保管家配合、协调西安市殡仪馆应对环保检查等工作。</w:t>
            </w:r>
          </w:p>
          <w:p>
            <w:pPr>
              <w:pStyle w:val="null3"/>
            </w:pPr>
            <w:r>
              <w:rPr>
                <w:rFonts w:ascii="仿宋_GB2312" w:hAnsi="仿宋_GB2312" w:cs="仿宋_GB2312" w:eastAsia="仿宋_GB2312"/>
                <w:sz w:val="21"/>
              </w:rPr>
              <w:t>当殡仪馆接到环保部门检查通知时，由殡仪馆第一时间联系环保管家，并在需要规定时间进行执法检查配合，现场解答相关问题，向检查部门提交相关检查报告，针对执法检查发现的问题，环保管家向企业发送回执单并协商解决方案（如有整改，需提交详细的整改方案及相关预算）。</w:t>
            </w:r>
          </w:p>
          <w:p>
            <w:pPr>
              <w:pStyle w:val="null3"/>
            </w:pPr>
            <w:r>
              <w:rPr>
                <w:rFonts w:ascii="仿宋_GB2312" w:hAnsi="仿宋_GB2312" w:cs="仿宋_GB2312" w:eastAsia="仿宋_GB2312"/>
                <w:sz w:val="21"/>
              </w:rPr>
              <w:t>环境投诉处理：投诉审查、受理投诉、调查核实、提出整改、处理结果、监督评估、投诉答复等内容。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管家服务队伍不得少于5人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满足本项目服务需求即可</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 1、废气有组织火化炉排放执行《火葬场大气污染排放标准》（GB13801-2015）。 2、食堂油烟排放执行《饮食业油烟排放标准》（试行）（GB18483-2001）。 3、废气无组织排放执行《大气污染综合排放标准》（GB16297-1996）。 4、废水执行《城市污水再生利用 城市杂用水水质》（GB/T 18920-2020）。 5、项目厂界边界噪声执行《工业企业厂界噪声排放标准》（GB12348-2008）。 6、危险废物贮存执行《危险废物贮存污染控制标准》（GB18597-2023）要求。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西安市长安区鸣犊留公三村西安市殡仪馆内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乙方完成本项目合同约定服务内容后，经采购人验收合格完成后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 3、税收缴纳证明：提供供应商2024年10月份至今已缴纳任意一个月完税凭证或税务机关开具的完税证明（任意税种）；依法免税的应提供税务机关开具的免税证明； 4、社会保障资金缴纳证明：提供供应商2024年10月份至今已缴纳任意一个月的社会保障完税证明或社保机构开具的社会保险参保缴费情况证明；依法不需要缴纳社会保障资金的应提供相关文件证明；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供应商须具有合法有效的CMA资质证书，且证书附表包含‘废气监测、水质监测、噪声监测’等本项目所需检测范围</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投标文件的签署、盖章符合采购文件要求，且无遗漏</w:t>
            </w:r>
          </w:p>
        </w:tc>
        <w:tc>
          <w:tcPr>
            <w:tcW w:type="dxa" w:w="1661"/>
          </w:tcPr>
          <w:p>
            <w:pPr>
              <w:pStyle w:val="null3"/>
            </w:pPr>
            <w:r>
              <w:rPr>
                <w:rFonts w:ascii="仿宋_GB2312" w:hAnsi="仿宋_GB2312" w:cs="仿宋_GB2312" w:eastAsia="仿宋_GB2312"/>
              </w:rPr>
              <w:t>质量保障措施方案.docx 授权委托书.docx 商务应答表 服务承诺.docx 环境保护竣工验收服务方案.docx 危险废物储存设施运行、维护、管理、处置方案.docx 分项报价表.docx 合理化建议及增值服务.docx 投标函 系统排查方案.docx 标的清单 投标文件封面 服务方案.docx 运维方案.docx 监狱企业的证明文件 业绩.docx 服务内容及服务邀请应答表 培训方案.docx 供应商应提供的资格证明文件.docx 中小企业声明函 迎检方案.docx 应急方案.docx 进度计划及保障措施.docx 人员配置方案.docx 服务质量跟进制度及监督考核方案管理制度.docx 排污检测方案.docx 残疾人福利性单位声明函 污水处理站提标改造方案.docx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分项报价表.docx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项目技术、服务、商务及其他要求</w:t>
            </w:r>
          </w:p>
        </w:tc>
        <w:tc>
          <w:tcPr>
            <w:tcW w:type="dxa" w:w="3322"/>
          </w:tcPr>
          <w:p>
            <w:pPr>
              <w:pStyle w:val="null3"/>
            </w:pPr>
            <w:r>
              <w:rPr>
                <w:rFonts w:ascii="仿宋_GB2312" w:hAnsi="仿宋_GB2312" w:cs="仿宋_GB2312" w:eastAsia="仿宋_GB2312"/>
              </w:rPr>
              <w:t>完全理解并响应招标项目技术、服务、商务及其他要求，且未含有采购人不能接受的附加条件的。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一、评审内容：根据项目实际需求提供切实可行的服务方案，内容包含①服务目标及工作思路②日常管理制度③工作计划④ 工作方法及措施； 二、评审标准：1.完整性：方案须全面，对评审内容中的各项要求有详细描述； 2.可实施性：切合本项目实际情况，提出步骤清晰、合理的方案；3.针对性：方案能够紧扣项目实际情况，内容科学合理。 三、赋分依据: ①服务目标及工作思路：每完全满足一个评审标准得1分，基本满足一个评审标准得0.5分，不满足得0分，满分3分； ②日常管理制度：每完全满足一个评审标准得1分，基本满足一个评审标准得0.5分，不满足得0分，满分3分； ③工作计划：每完全满足一个评审标准得1分，基本满足一个评审标准得0.5分，不满足得0分，满分3分； ④工作方法及措施：每完全满足一个评审标准得1分，基本满足一个评审标准得0.5分，不满足得0分，满分3分。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系统排查服务方案</w:t>
            </w:r>
          </w:p>
        </w:tc>
        <w:tc>
          <w:tcPr>
            <w:tcW w:type="dxa" w:w="2492"/>
          </w:tcPr>
          <w:p>
            <w:pPr>
              <w:pStyle w:val="null3"/>
            </w:pPr>
            <w:r>
              <w:rPr>
                <w:rFonts w:ascii="仿宋_GB2312" w:hAnsi="仿宋_GB2312" w:cs="仿宋_GB2312" w:eastAsia="仿宋_GB2312"/>
              </w:rPr>
              <w:t>一、评审内容：根据项目实际需求提供切实可行的系统排查服务方案；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三、赋分依据:每完全满足一个评审标准得2分，基本满足一个评审标准得1分，不满足得0分，满分6分。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系统排查方案.docx</w:t>
            </w:r>
          </w:p>
        </w:tc>
      </w:tr>
      <w:tr>
        <w:tc>
          <w:tcPr>
            <w:tcW w:type="dxa" w:w="831"/>
            <w:vMerge/>
          </w:tcPr>
          <w:p/>
        </w:tc>
        <w:tc>
          <w:tcPr>
            <w:tcW w:type="dxa" w:w="1661"/>
          </w:tcPr>
          <w:p>
            <w:pPr>
              <w:pStyle w:val="null3"/>
            </w:pPr>
            <w:r>
              <w:rPr>
                <w:rFonts w:ascii="仿宋_GB2312" w:hAnsi="仿宋_GB2312" w:cs="仿宋_GB2312" w:eastAsia="仿宋_GB2312"/>
              </w:rPr>
              <w:t>排污检测方案</w:t>
            </w:r>
          </w:p>
        </w:tc>
        <w:tc>
          <w:tcPr>
            <w:tcW w:type="dxa" w:w="2492"/>
          </w:tcPr>
          <w:p>
            <w:pPr>
              <w:pStyle w:val="null3"/>
            </w:pPr>
            <w:r>
              <w:rPr>
                <w:rFonts w:ascii="仿宋_GB2312" w:hAnsi="仿宋_GB2312" w:cs="仿宋_GB2312" w:eastAsia="仿宋_GB2312"/>
              </w:rPr>
              <w:t>一、评审内容：根据项目实际需求提供切实可行的排污检测方案；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三、赋分依据:每完全满足一个评审标准得2分，基本满足一个评审标准得1分，不满足得0分，满分6分。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排污检测方案.docx</w:t>
            </w:r>
          </w:p>
        </w:tc>
      </w:tr>
      <w:tr>
        <w:tc>
          <w:tcPr>
            <w:tcW w:type="dxa" w:w="831"/>
            <w:vMerge/>
          </w:tcPr>
          <w:p/>
        </w:tc>
        <w:tc>
          <w:tcPr>
            <w:tcW w:type="dxa" w:w="1661"/>
          </w:tcPr>
          <w:p>
            <w:pPr>
              <w:pStyle w:val="null3"/>
            </w:pPr>
            <w:r>
              <w:rPr>
                <w:rFonts w:ascii="仿宋_GB2312" w:hAnsi="仿宋_GB2312" w:cs="仿宋_GB2312" w:eastAsia="仿宋_GB2312"/>
              </w:rPr>
              <w:t>环境保护竣工验收服务方案</w:t>
            </w:r>
          </w:p>
        </w:tc>
        <w:tc>
          <w:tcPr>
            <w:tcW w:type="dxa" w:w="2492"/>
          </w:tcPr>
          <w:p>
            <w:pPr>
              <w:pStyle w:val="null3"/>
            </w:pPr>
            <w:r>
              <w:rPr>
                <w:rFonts w:ascii="仿宋_GB2312" w:hAnsi="仿宋_GB2312" w:cs="仿宋_GB2312" w:eastAsia="仿宋_GB2312"/>
              </w:rPr>
              <w:t>一、评审内容：根据项目实际需求提供切实可行的环境保护竣工验收服务方案；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环境保护竣工验收服务方案.docx</w:t>
            </w:r>
          </w:p>
        </w:tc>
      </w:tr>
      <w:tr>
        <w:tc>
          <w:tcPr>
            <w:tcW w:type="dxa" w:w="831"/>
            <w:vMerge/>
          </w:tcPr>
          <w:p/>
        </w:tc>
        <w:tc>
          <w:tcPr>
            <w:tcW w:type="dxa" w:w="1661"/>
          </w:tcPr>
          <w:p>
            <w:pPr>
              <w:pStyle w:val="null3"/>
            </w:pPr>
            <w:r>
              <w:rPr>
                <w:rFonts w:ascii="仿宋_GB2312" w:hAnsi="仿宋_GB2312" w:cs="仿宋_GB2312" w:eastAsia="仿宋_GB2312"/>
              </w:rPr>
              <w:t>污水处理站提标改造方案</w:t>
            </w:r>
          </w:p>
        </w:tc>
        <w:tc>
          <w:tcPr>
            <w:tcW w:type="dxa" w:w="2492"/>
          </w:tcPr>
          <w:p>
            <w:pPr>
              <w:pStyle w:val="null3"/>
            </w:pPr>
            <w:r>
              <w:rPr>
                <w:rFonts w:ascii="仿宋_GB2312" w:hAnsi="仿宋_GB2312" w:cs="仿宋_GB2312" w:eastAsia="仿宋_GB2312"/>
              </w:rPr>
              <w:t>一、评审内容：根据项目实际需求提供切实可行的污水处理站提标改造方案；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三、赋分依据:每完全满足一个评审标准得2分，基本满足一个评审标准得1分，不满足得0分，满分6分。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污水处理站提标改造方案.docx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一、评审内容：根据项目实际需求提供切实可行的运维方案，内容包含①污水处理站运维方案②日常运维方案； 二、评审标准：1.完整性：方案须全面，对评审内容中的各项要求有详细描述； 2.可实施性：切合本项目实际情况，提出步骤清晰、合理的方案；3.针对性：方案能够紧扣项目实际情况，内容科学合理。 三、赋分依据: ①污水处理站运维方案：每完全满足一个评审标准得1分，基本满足一个评审标准得0.5分，不满足得0分，满分3分； ②日常运维方案：每完全满足一个评审标准得1分，基本满足一个评审标准得0.5分，不满足得0分，满分3分。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运维方案.docx</w:t>
            </w:r>
          </w:p>
        </w:tc>
      </w:tr>
      <w:tr>
        <w:tc>
          <w:tcPr>
            <w:tcW w:type="dxa" w:w="831"/>
            <w:vMerge/>
          </w:tcPr>
          <w:p/>
        </w:tc>
        <w:tc>
          <w:tcPr>
            <w:tcW w:type="dxa" w:w="1661"/>
          </w:tcPr>
          <w:p>
            <w:pPr>
              <w:pStyle w:val="null3"/>
            </w:pPr>
            <w:r>
              <w:rPr>
                <w:rFonts w:ascii="仿宋_GB2312" w:hAnsi="仿宋_GB2312" w:cs="仿宋_GB2312" w:eastAsia="仿宋_GB2312"/>
              </w:rPr>
              <w:t>危险废物储存设施运行、维护、管理、处置方案</w:t>
            </w:r>
          </w:p>
        </w:tc>
        <w:tc>
          <w:tcPr>
            <w:tcW w:type="dxa" w:w="2492"/>
          </w:tcPr>
          <w:p>
            <w:pPr>
              <w:pStyle w:val="null3"/>
            </w:pPr>
            <w:r>
              <w:rPr>
                <w:rFonts w:ascii="仿宋_GB2312" w:hAnsi="仿宋_GB2312" w:cs="仿宋_GB2312" w:eastAsia="仿宋_GB2312"/>
              </w:rPr>
              <w:t>一、评审内容：根据项目实际需求提供切实可行的危险废物储存设施运行、维护、管理、处置方案；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三、赋分依据:每完全满足一个评审标准得2分，基本满足一个评审标准得1分，不满足得0分，满分6分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危险废物储存设施运行、维护、管理、处置方案.docx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一、评审内容：根据项目实际需求提供切实可行的应急方案，内容包含①应急预案②突发情况应急处理措施及方案； 二、评审标准：1.完整性：方案须全面，对评审内容中的各项要求有详细描述； 2.可实施性：切合本项目实际情况，提出步骤清晰、合理的方案；3.针对性：方案能够紧扣项目实际情况，内容科学合理。 三、赋分依据: ①应急预案：每满足一个评审标准得0.5分，不满足得0分，满分1.5分； ②突发情况应急处理措施及方案每满足一个评审标准得0.5分，不满足得0分，满分1.5分。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一、评审内容：根据项目实际需求提供切实可行的培训方案，内容包含①培训目标及内容②培训组织安排及人员配置； 二、评审标准：1.完整性：方案须全面，对评审内容中的各项要求有详细描述； 2.可实施性：切合本项目实际情况，提出步骤清晰、合理的方案；3.针对性：方案能够紧扣项目实际情况，内容科学合理。 三、赋分依据: ①培训目标及内容：每满足一个评审标准得0.5分，不满足得0分，满分1.5分； ②培训组织安排及人员配置：每满足一个评审标准得0.5分，不满足得0分，满分1.5分。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迎检方案</w:t>
            </w:r>
          </w:p>
        </w:tc>
        <w:tc>
          <w:tcPr>
            <w:tcW w:type="dxa" w:w="2492"/>
          </w:tcPr>
          <w:p>
            <w:pPr>
              <w:pStyle w:val="null3"/>
            </w:pPr>
            <w:r>
              <w:rPr>
                <w:rFonts w:ascii="仿宋_GB2312" w:hAnsi="仿宋_GB2312" w:cs="仿宋_GB2312" w:eastAsia="仿宋_GB2312"/>
              </w:rPr>
              <w:t>一、评审内容：根据项目实际需求提供切实可行的迎检方案；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迎检方案.docx</w:t>
            </w:r>
          </w:p>
        </w:tc>
      </w:tr>
      <w:tr>
        <w:tc>
          <w:tcPr>
            <w:tcW w:type="dxa" w:w="831"/>
            <w:vMerge/>
          </w:tcPr>
          <w:p/>
        </w:tc>
        <w:tc>
          <w:tcPr>
            <w:tcW w:type="dxa" w:w="1661"/>
          </w:tcPr>
          <w:p>
            <w:pPr>
              <w:pStyle w:val="null3"/>
            </w:pPr>
            <w:r>
              <w:rPr>
                <w:rFonts w:ascii="仿宋_GB2312" w:hAnsi="仿宋_GB2312" w:cs="仿宋_GB2312" w:eastAsia="仿宋_GB2312"/>
              </w:rPr>
              <w:t>质量保障措施方案</w:t>
            </w:r>
          </w:p>
        </w:tc>
        <w:tc>
          <w:tcPr>
            <w:tcW w:type="dxa" w:w="2492"/>
          </w:tcPr>
          <w:p>
            <w:pPr>
              <w:pStyle w:val="null3"/>
            </w:pPr>
            <w:r>
              <w:rPr>
                <w:rFonts w:ascii="仿宋_GB2312" w:hAnsi="仿宋_GB2312" w:cs="仿宋_GB2312" w:eastAsia="仿宋_GB2312"/>
              </w:rPr>
              <w:t>一、评审内容：根据项目实际需求提供切实可行的质量保障措施方案； 二、评审标准：1.完整性：方案须全面，对评审内容中的各项要求有详细描述； 2.可实施性：切合本项目实际情况，提出步骤清晰、合理的方案；3.针对性：方案能够紧扣项目实际情况，内容科学合理。 三、赋分依据:每完全满足一个评审标准得2分，基本满足一个评审标准得1分，不满足得0分，满分6分。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一、评审内容：根据项目实际需求提供切实可行的进度计划及保障措施，内容包含①进度计划②保障措施； 二、评审标准：1.完整性：方案须全面，对评审内容中的各项要求有详细描述； 2.可实施性：切合本项目实际情况，提出步骤清晰、合理的方案；3.针对性：方案能够紧扣项目实际情况，内容科学合理。 三、赋分依据: ①进度计划：每满足一个评审标准得0.5分，不满足得0分，满分1.5分； ②保障措施：每满足一个评审标准得0.5分，不满足得0分，满分1.5分。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进度计划及保障措施.docx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一、评审内容：根据项目实际需求提供切实可行的人员配置方案，内容包含①组织机构设置及机构制度管理制度②岗位配置方案（包括岗位设置、人员配备数量及清单）③执业资格及技术职称人员配置情况； 二、评审标准：1.完整性：方案须全面，对评审内容中的各项要求有详细描述； 2.可实施性：切合本项目实际情况，提出步骤清晰、合理的方案；3.针对性：方案能够紧扣项目实际情况，内容科学合理。 三、赋分依据: ①组织机构设置及机构制度管理制度：每完全满足一个评审标准得1分，基本满足一个评审标准得0.5分，不满足得0分，满分3分； ②岗位配置方案：每完全满足一个评审标准得1分，基本满足一个评审标准得0.5分，不满足得0分，满分3分； ③执业资格及技术职称人员数量：每完全满足一个评审标准得1分，基本满足一个评审标准得0.5分，不满足得0分，满分3分。（执业资格以配备持有CMA检测人员证书的检测员为准）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人员配置方案.docx</w:t>
            </w:r>
          </w:p>
        </w:tc>
      </w:tr>
      <w:tr>
        <w:tc>
          <w:tcPr>
            <w:tcW w:type="dxa" w:w="831"/>
            <w:vMerge/>
          </w:tcPr>
          <w:p/>
        </w:tc>
        <w:tc>
          <w:tcPr>
            <w:tcW w:type="dxa" w:w="1661"/>
          </w:tcPr>
          <w:p>
            <w:pPr>
              <w:pStyle w:val="null3"/>
            </w:pPr>
            <w:r>
              <w:rPr>
                <w:rFonts w:ascii="仿宋_GB2312" w:hAnsi="仿宋_GB2312" w:cs="仿宋_GB2312" w:eastAsia="仿宋_GB2312"/>
              </w:rPr>
              <w:t>服务质量跟进制度及监督考核方案管理制度</w:t>
            </w:r>
          </w:p>
        </w:tc>
        <w:tc>
          <w:tcPr>
            <w:tcW w:type="dxa" w:w="2492"/>
          </w:tcPr>
          <w:p>
            <w:pPr>
              <w:pStyle w:val="null3"/>
            </w:pPr>
            <w:r>
              <w:rPr>
                <w:rFonts w:ascii="仿宋_GB2312" w:hAnsi="仿宋_GB2312" w:cs="仿宋_GB2312" w:eastAsia="仿宋_GB2312"/>
              </w:rPr>
              <w:t>一、评审内容：根据项目实际需求提供切实可行的服务质量跟进制度及监督考核方案管理制度，内容包含①服务质量跟进制度②监督考核方案管理制度； 二、评审标准：1.完整性：方案须全面，对评审内容中的各项要求有详细描述； 2.可实施性：切合本项目实际情况，提出步骤清晰、合理的方案；3.针对性：方案能够紧扣项目实际情况，内容科学合理。 三、赋分依据: ①服务质量跟进制度：每完全满足一个评审标准得1分，基本满足一个评审标准得0.5分，不满足得0分，满分3分； ②监督考核方案管理制度：每完全满足一个评审标准得1分，基本满足一个评审标准得0.5分，不满足得0分，满分3分。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服务质量跟进制度及监督考核方案管理制度.docx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一、评审内容：根据项目实际需求提供切实可行的合理化建议及增值服务，内容包含①合理化建议②增值服务； 二、评审标准：1.完整性：方案须全面，对评审内容中的各项要求有详细描述； 2.可实施性：切合本项目实际情况，提出步骤清晰、合理的方案；3.针对性：方案能够紧扣项目实际情况，内容科学合理。 三、赋分依据: ①合理化建议：每满足一个评审标准得0.5分，不满足得0分，满分1.5分； ②增值服务：每满足一个评审标准得0.5分，不满足得0分，满分1.5分。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合理化建议及增值服务.docx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供应商针对本项目有详细、可行的服务承诺，包括前期准备中、组织实施时、提交成果后等其他伴随服务等各项服务承诺及措施，保证项目的顺利实施。 1.服务承诺及措施合理可行，满足项目需求得2分； 2.仅具有服务承诺及措施，与项目需求不契合得1分； 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提供供应商2022年1月1日起至投标文件递交截止之日类似项目的业绩，每提供一项得2分，最多得10分（提供业绩的合同复印件或扫描件，以合同签订时间为准），未提供不得分；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采用低价优先法计算，即通过资格审查和符合性审查且价格最低的有效投标报价为评标基准价，其价格分为满分。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详见附件：系统排查方案.docx</w:t>
      </w:r>
    </w:p>
    <w:p>
      <w:pPr>
        <w:pStyle w:val="null3"/>
        <w:ind w:firstLine="960"/>
      </w:pPr>
      <w:r>
        <w:rPr>
          <w:rFonts w:ascii="仿宋_GB2312" w:hAnsi="仿宋_GB2312" w:cs="仿宋_GB2312" w:eastAsia="仿宋_GB2312"/>
        </w:rPr>
        <w:t>详见附件：排污检测方案.docx</w:t>
      </w:r>
    </w:p>
    <w:p>
      <w:pPr>
        <w:pStyle w:val="null3"/>
        <w:ind w:firstLine="960"/>
      </w:pPr>
      <w:r>
        <w:rPr>
          <w:rFonts w:ascii="仿宋_GB2312" w:hAnsi="仿宋_GB2312" w:cs="仿宋_GB2312" w:eastAsia="仿宋_GB2312"/>
        </w:rPr>
        <w:t>详见附件：环境保护竣工验收服务方案.docx</w:t>
      </w:r>
    </w:p>
    <w:p>
      <w:pPr>
        <w:pStyle w:val="null3"/>
        <w:ind w:firstLine="960"/>
      </w:pPr>
      <w:r>
        <w:rPr>
          <w:rFonts w:ascii="仿宋_GB2312" w:hAnsi="仿宋_GB2312" w:cs="仿宋_GB2312" w:eastAsia="仿宋_GB2312"/>
        </w:rPr>
        <w:t>详见附件：污水处理站提标改造方案.docx</w:t>
      </w:r>
    </w:p>
    <w:p>
      <w:pPr>
        <w:pStyle w:val="null3"/>
        <w:ind w:firstLine="960"/>
      </w:pPr>
      <w:r>
        <w:rPr>
          <w:rFonts w:ascii="仿宋_GB2312" w:hAnsi="仿宋_GB2312" w:cs="仿宋_GB2312" w:eastAsia="仿宋_GB2312"/>
        </w:rPr>
        <w:t>详见附件：运维方案.docx</w:t>
      </w:r>
    </w:p>
    <w:p>
      <w:pPr>
        <w:pStyle w:val="null3"/>
        <w:ind w:firstLine="960"/>
      </w:pPr>
      <w:r>
        <w:rPr>
          <w:rFonts w:ascii="仿宋_GB2312" w:hAnsi="仿宋_GB2312" w:cs="仿宋_GB2312" w:eastAsia="仿宋_GB2312"/>
        </w:rPr>
        <w:t>详见附件：危险废物储存设施运行、维护、管理、处置方案.docx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详见附件：迎检方案.docx</w:t>
      </w:r>
    </w:p>
    <w:p>
      <w:pPr>
        <w:pStyle w:val="null3"/>
        <w:ind w:firstLine="960"/>
      </w:pPr>
      <w:r>
        <w:rPr>
          <w:rFonts w:ascii="仿宋_GB2312" w:hAnsi="仿宋_GB2312" w:cs="仿宋_GB2312" w:eastAsia="仿宋_GB2312"/>
        </w:rPr>
        <w:t>详见附件：质量保障措施方案.docx</w:t>
      </w:r>
    </w:p>
    <w:p>
      <w:pPr>
        <w:pStyle w:val="null3"/>
        <w:ind w:firstLine="960"/>
      </w:pPr>
      <w:r>
        <w:rPr>
          <w:rFonts w:ascii="仿宋_GB2312" w:hAnsi="仿宋_GB2312" w:cs="仿宋_GB2312" w:eastAsia="仿宋_GB2312"/>
        </w:rPr>
        <w:t>详见附件：进度计划及保障措施.docx</w:t>
      </w:r>
    </w:p>
    <w:p>
      <w:pPr>
        <w:pStyle w:val="null3"/>
        <w:ind w:firstLine="960"/>
      </w:pPr>
      <w:r>
        <w:rPr>
          <w:rFonts w:ascii="仿宋_GB2312" w:hAnsi="仿宋_GB2312" w:cs="仿宋_GB2312" w:eastAsia="仿宋_GB2312"/>
        </w:rPr>
        <w:t>详见附件：人员配置方案.docx</w:t>
      </w:r>
    </w:p>
    <w:p>
      <w:pPr>
        <w:pStyle w:val="null3"/>
        <w:ind w:firstLine="960"/>
      </w:pPr>
      <w:r>
        <w:rPr>
          <w:rFonts w:ascii="仿宋_GB2312" w:hAnsi="仿宋_GB2312" w:cs="仿宋_GB2312" w:eastAsia="仿宋_GB2312"/>
        </w:rPr>
        <w:t>详见附件：服务质量跟进制度及监督考核方案管理制度.docx</w:t>
      </w:r>
    </w:p>
    <w:p>
      <w:pPr>
        <w:pStyle w:val="null3"/>
        <w:ind w:firstLine="960"/>
      </w:pPr>
      <w:r>
        <w:rPr>
          <w:rFonts w:ascii="仿宋_GB2312" w:hAnsi="仿宋_GB2312" w:cs="仿宋_GB2312" w:eastAsia="仿宋_GB2312"/>
        </w:rPr>
        <w:t>详见附件：合理化建议及增值服务.docx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