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54FEB">
      <w:pPr>
        <w:pStyle w:val="3"/>
        <w:bidi w:val="0"/>
        <w:jc w:val="center"/>
        <w:outlineLvl w:val="0"/>
        <w:rPr>
          <w:rFonts w:hint="eastAsia" w:ascii="宋体" w:hAnsi="宋体" w:eastAsia="宋体" w:cs="宋体"/>
          <w:lang w:val="en-US" w:eastAsia="zh-CN"/>
        </w:rPr>
      </w:pPr>
      <w:r>
        <w:rPr>
          <w:rFonts w:hint="eastAsia" w:ascii="宋体" w:hAnsi="宋体" w:eastAsia="宋体" w:cs="宋体"/>
          <w:lang w:val="en-US" w:eastAsia="zh-CN"/>
        </w:rPr>
        <w:t>资格证明文件</w:t>
      </w:r>
    </w:p>
    <w:p w14:paraId="517AA747">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cs="宋体"/>
          <w:b/>
          <w:bCs/>
          <w:color w:val="auto"/>
          <w:sz w:val="24"/>
        </w:rPr>
      </w:pPr>
      <w:r>
        <w:rPr>
          <w:rFonts w:hint="eastAsia" w:cs="宋体"/>
          <w:b/>
          <w:bCs/>
          <w:color w:val="auto"/>
          <w:sz w:val="24"/>
          <w:lang w:eastAsia="zh-CN"/>
        </w:rPr>
        <w:t>供应商</w:t>
      </w:r>
      <w:r>
        <w:rPr>
          <w:rFonts w:hint="eastAsia" w:ascii="宋体" w:hAnsi="宋体" w:cs="宋体"/>
          <w:b/>
          <w:bCs/>
          <w:color w:val="auto"/>
          <w:sz w:val="24"/>
        </w:rPr>
        <w:t>资质证明文件（需加盖单位公章），内容如下：</w:t>
      </w:r>
    </w:p>
    <w:p w14:paraId="39725524">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一、满足《中华人民共和国政府采购法》第二十二条规定：</w:t>
      </w:r>
    </w:p>
    <w:p w14:paraId="3C6D2EC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1、供应商应具有独立承担民事责任的能力的企业法人、事业法人、其他组织或自然人，出具合法有效的营业执照或事业单位法人证书等国家规定的相关证明，自然人参与的提供其身份证明； </w:t>
      </w:r>
    </w:p>
    <w:p w14:paraId="39DD4D9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财务状况报告：提供经审计的2024年度的财务报告（成立时间至提交投标文件截止时间不足一年的可提供成立后任意时段的资产负债表）或提交投标文件截止时间前六个月内其基本账户开户银行出具的资信证明及基本存款账户信息或信用担保机构出具的投标担保函；其他组织和自然人提供银行出具的资信证明或财务报表；</w:t>
      </w:r>
    </w:p>
    <w:p w14:paraId="057BEB2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3、税收缴纳证明：提供供应商2024年10月份至今已缴纳任意一个月完税凭证或税务机关开具的完税证明（任意税种）；依法免税的应提供税务机关开具的免税证明；                 </w:t>
      </w:r>
    </w:p>
    <w:p w14:paraId="3C227B4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4、社会保障资金缴纳证明：提供供应商2024年10月份至今已缴纳任意一个月的社会保障完税证明或社保机构开具的社会保险参保缴费情况证明；依法不需要缴纳社会保障资金的应提供相关文件证明；</w:t>
      </w:r>
      <w:r>
        <w:rPr>
          <w:rFonts w:hint="default" w:ascii="宋体" w:hAnsi="宋体" w:eastAsia="宋体" w:cs="宋体"/>
          <w:color w:val="auto"/>
          <w:sz w:val="24"/>
          <w:szCs w:val="24"/>
          <w:highlight w:val="none"/>
          <w:lang w:val="en-US" w:eastAsia="zh-CN"/>
        </w:rPr>
        <w:t xml:space="preserve"> </w:t>
      </w:r>
    </w:p>
    <w:p w14:paraId="1DE9F75A">
      <w:pPr>
        <w:keepNext w:val="0"/>
        <w:keepLines w:val="0"/>
        <w:pageBreakBefore w:val="0"/>
        <w:widowControl/>
        <w:kinsoku/>
        <w:wordWrap/>
        <w:overflowPunct/>
        <w:topLinePunct w:val="0"/>
        <w:autoSpaceDE/>
        <w:autoSpaceDN/>
        <w:bidi w:val="0"/>
        <w:adjustRightInd/>
        <w:snapToGrid/>
        <w:spacing w:line="500" w:lineRule="exact"/>
        <w:ind w:left="480" w:leftChars="200" w:firstLine="0" w:firstLineChar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5、参加政府采购活动前3年内在经营活动中没有重大违法记录的书面声明； 6、具有履行合同所必需的设备和专业技术能力的承诺函；</w:t>
      </w:r>
      <w:r>
        <w:rPr>
          <w:rFonts w:hint="default" w:ascii="宋体" w:hAnsi="宋体" w:eastAsia="宋体" w:cs="宋体"/>
          <w:color w:val="auto"/>
          <w:sz w:val="24"/>
          <w:szCs w:val="24"/>
          <w:highlight w:val="none"/>
          <w:lang w:val="en-US" w:eastAsia="zh-CN"/>
        </w:rPr>
        <w:t xml:space="preserve"> </w:t>
      </w:r>
    </w:p>
    <w:p w14:paraId="77F2AC19">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rPr>
        <w:t>、本项目的特定资格要求：</w:t>
      </w:r>
      <w:bookmarkStart w:id="0" w:name="_Toc5736"/>
      <w:bookmarkStart w:id="1" w:name="_Toc3731"/>
    </w:p>
    <w:p w14:paraId="7A33ECB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1、供应商未被列为“信用中国”网站（www.creditchina.gov.cn）中失信被执行人和重大税收违法案件当事人名单及中国政府采购网（www.ccgp.gov.cn）政府采购严重违法失信行为记录名单；</w:t>
      </w:r>
    </w:p>
    <w:p w14:paraId="20792C02">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r>
        <w:rPr>
          <w:rFonts w:hint="default" w:ascii="宋体" w:hAnsi="宋体" w:eastAsia="宋体" w:cs="宋体"/>
          <w:color w:val="auto"/>
          <w:sz w:val="24"/>
          <w:szCs w:val="24"/>
          <w:highlight w:val="none"/>
          <w:lang w:val="en-US" w:eastAsia="zh-CN"/>
        </w:rPr>
        <w:t xml:space="preserve">供应商须具有合法有效的CMA资质证书，且证书附表包含‘废气监测、水质监测、噪声监测’等本项目所需检测范围 </w:t>
      </w:r>
      <w:r>
        <w:rPr>
          <w:rFonts w:hint="eastAsia" w:ascii="宋体" w:hAnsi="宋体" w:eastAsia="宋体" w:cs="宋体"/>
          <w:color w:val="auto"/>
          <w:sz w:val="24"/>
          <w:szCs w:val="24"/>
          <w:highlight w:val="none"/>
          <w:lang w:val="en-US" w:eastAsia="zh-CN"/>
        </w:rPr>
        <w:t>。</w:t>
      </w:r>
    </w:p>
    <w:p w14:paraId="5425BEB6">
      <w:pPr>
        <w:widowControl/>
        <w:shd w:val="clear" w:color="auto" w:fill="FFFFFF"/>
        <w:spacing w:before="100" w:beforeAutospacing="1" w:after="100" w:afterAutospacing="1" w:line="360" w:lineRule="atLeast"/>
        <w:outlineLvl w:val="2"/>
        <w:rPr>
          <w:rFonts w:hint="eastAsia" w:ascii="宋体" w:hAnsi="宋体" w:eastAsia="Times New Roman" w:cs="宋体"/>
          <w:color w:val="auto"/>
          <w:sz w:val="24"/>
          <w:lang w:val="en-US" w:eastAsia="zh-CN"/>
        </w:rPr>
      </w:pPr>
    </w:p>
    <w:p w14:paraId="567EAB93">
      <w:pPr>
        <w:widowControl/>
        <w:shd w:val="clear" w:color="auto" w:fill="FFFFFF"/>
        <w:spacing w:before="100" w:beforeAutospacing="1" w:after="100" w:afterAutospacing="1" w:line="360" w:lineRule="atLeast"/>
        <w:outlineLvl w:val="2"/>
        <w:rPr>
          <w:rFonts w:hint="eastAsia" w:ascii="宋体" w:hAnsi="宋体" w:eastAsia="宋体" w:cs="宋体"/>
          <w:b/>
          <w:color w:val="auto"/>
          <w:szCs w:val="21"/>
          <w:highlight w:val="none"/>
        </w:rPr>
      </w:pPr>
      <w:r>
        <w:rPr>
          <w:rFonts w:hint="eastAsia" w:ascii="宋体" w:hAnsi="宋体" w:eastAsia="Times New Roman" w:cs="宋体"/>
          <w:color w:val="auto"/>
          <w:sz w:val="24"/>
          <w:lang w:val="en-US" w:eastAsia="zh-CN"/>
        </w:rPr>
        <w:t>格式1</w:t>
      </w:r>
      <w:bookmarkEnd w:id="0"/>
      <w:bookmarkEnd w:id="1"/>
    </w:p>
    <w:p w14:paraId="18D517AF">
      <w:pPr>
        <w:widowControl/>
        <w:shd w:val="clear" w:color="auto" w:fill="FFFFFF"/>
        <w:spacing w:before="100" w:beforeAutospacing="1" w:after="100" w:afterAutospacing="1" w:line="340" w:lineRule="exact"/>
        <w:jc w:val="center"/>
        <w:outlineLvl w:val="1"/>
        <w:rPr>
          <w:rFonts w:hint="eastAsia" w:ascii="宋体" w:hAnsi="宋体" w:eastAsia="宋体" w:cs="宋体"/>
          <w:b/>
          <w:bCs/>
          <w:color w:val="auto"/>
          <w:kern w:val="0"/>
          <w:sz w:val="28"/>
          <w:szCs w:val="28"/>
          <w:highlight w:val="none"/>
          <w:lang w:val="en-US" w:eastAsia="zh-CN"/>
        </w:rPr>
      </w:pPr>
      <w:bookmarkStart w:id="2" w:name="_GoBack"/>
      <w:bookmarkEnd w:id="2"/>
      <w:r>
        <w:rPr>
          <w:rFonts w:hint="eastAsia" w:ascii="宋体" w:hAnsi="宋体" w:eastAsia="宋体" w:cs="宋体"/>
          <w:b/>
          <w:bCs/>
          <w:color w:val="auto"/>
          <w:kern w:val="0"/>
          <w:sz w:val="28"/>
          <w:szCs w:val="28"/>
          <w:highlight w:val="none"/>
          <w:lang w:val="en-US" w:eastAsia="zh-CN"/>
        </w:rPr>
        <w:t>无重大违法记录声明</w:t>
      </w:r>
    </w:p>
    <w:p w14:paraId="6C21360A">
      <w:pPr>
        <w:pStyle w:val="4"/>
        <w:spacing w:after="0" w:line="400" w:lineRule="exact"/>
        <w:rPr>
          <w:rFonts w:hint="eastAsia" w:ascii="宋体" w:hAnsi="宋体" w:eastAsia="宋体" w:cs="宋体"/>
          <w:color w:val="auto"/>
          <w:highlight w:val="none"/>
          <w:lang w:val="en-US" w:eastAsia="zh-CN"/>
        </w:rPr>
      </w:pPr>
    </w:p>
    <w:p w14:paraId="302C2671">
      <w:pPr>
        <w:pStyle w:val="4"/>
        <w:keepNext w:val="0"/>
        <w:keepLines w:val="0"/>
        <w:pageBreakBefore w:val="0"/>
        <w:widowControl w:val="0"/>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（采购人）</w:t>
      </w:r>
      <w:r>
        <w:rPr>
          <w:rFonts w:hint="eastAsia" w:ascii="宋体" w:hAnsi="宋体" w:eastAsia="宋体" w:cs="宋体"/>
          <w:color w:val="auto"/>
          <w:sz w:val="24"/>
          <w:szCs w:val="24"/>
          <w:highlight w:val="none"/>
        </w:rPr>
        <w:t>：</w:t>
      </w:r>
    </w:p>
    <w:p w14:paraId="3F67E2D8">
      <w:pPr>
        <w:pStyle w:val="4"/>
        <w:keepNext w:val="0"/>
        <w:keepLines w:val="0"/>
        <w:pageBreakBefore w:val="0"/>
        <w:widowControl w:val="0"/>
        <w:tabs>
          <w:tab w:val="left" w:pos="7198"/>
        </w:tabs>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w:t>
      </w:r>
      <w:r>
        <w:rPr>
          <w:rFonts w:hint="eastAsia" w:ascii="宋体" w:hAnsi="宋体" w:eastAsia="宋体" w:cs="宋体"/>
          <w:color w:val="auto"/>
          <w:spacing w:val="4"/>
          <w:sz w:val="24"/>
          <w:szCs w:val="24"/>
          <w:highlight w:val="none"/>
          <w:u w:val="single"/>
        </w:rPr>
        <w:t>名</w:t>
      </w:r>
      <w:r>
        <w:rPr>
          <w:rFonts w:hint="eastAsia" w:ascii="宋体" w:hAnsi="宋体" w:eastAsia="宋体" w:cs="宋体"/>
          <w:color w:val="auto"/>
          <w:sz w:val="24"/>
          <w:szCs w:val="24"/>
          <w:highlight w:val="none"/>
          <w:u w:val="single"/>
        </w:rPr>
        <w:t>称》</w:t>
      </w:r>
      <w:r>
        <w:rPr>
          <w:rFonts w:hint="eastAsia" w:ascii="宋体" w:hAnsi="宋体" w:eastAsia="宋体" w:cs="宋体"/>
          <w:color w:val="auto"/>
          <w:sz w:val="24"/>
          <w:szCs w:val="24"/>
          <w:highlight w:val="none"/>
        </w:rPr>
        <w:t>（项目编号</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pacing w:val="4"/>
          <w:sz w:val="24"/>
          <w:szCs w:val="24"/>
          <w:highlight w:val="none"/>
        </w:rPr>
        <w:t>投</w:t>
      </w:r>
      <w:r>
        <w:rPr>
          <w:rFonts w:hint="eastAsia" w:ascii="宋体" w:hAnsi="宋体" w:eastAsia="宋体" w:cs="宋体"/>
          <w:color w:val="auto"/>
          <w:sz w:val="24"/>
          <w:szCs w:val="24"/>
          <w:highlight w:val="none"/>
        </w:rPr>
        <w:t>标供应商</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z w:val="24"/>
          <w:szCs w:val="24"/>
          <w:highlight w:val="none"/>
        </w:rPr>
        <w:t>在此郑重声明：</w:t>
      </w:r>
    </w:p>
    <w:p w14:paraId="1AE02039">
      <w:pPr>
        <w:pStyle w:val="4"/>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1、在参加本次政府采购活动前 3 年内的经营活动中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（填“没有”或“有”）重大违法记录。供应</w:t>
      </w:r>
      <w:r>
        <w:rPr>
          <w:rFonts w:hint="eastAsia" w:ascii="宋体" w:hAnsi="宋体" w:eastAsia="宋体" w:cs="宋体"/>
          <w:b/>
          <w:color w:val="auto"/>
          <w:sz w:val="24"/>
          <w:szCs w:val="24"/>
          <w:highlight w:val="none"/>
        </w:rPr>
        <w:t>商在参加政府采购活动前 3 年内因违法经营被禁止在一定期限内参加政府采购活动，期限届满的，可以参加政府采购活动，但应提供期限届满的证明材料。</w:t>
      </w:r>
    </w:p>
    <w:p w14:paraId="7C3635DF">
      <w:pPr>
        <w:pStyle w:val="4"/>
        <w:keepNext w:val="0"/>
        <w:keepLines w:val="0"/>
        <w:pageBreakBefore w:val="0"/>
        <w:widowControl w:val="0"/>
        <w:tabs>
          <w:tab w:val="left" w:pos="2815"/>
        </w:tabs>
        <w:kinsoku/>
        <w:wordWrap/>
        <w:overflowPunct/>
        <w:topLinePunct w:val="0"/>
        <w:autoSpaceDE w:val="0"/>
        <w:autoSpaceDN w:val="0"/>
        <w:bidi w:val="0"/>
        <w:adjustRightInd w:val="0"/>
        <w:snapToGrid/>
        <w:spacing w:after="0" w:line="360" w:lineRule="auto"/>
        <w:ind w:firstLine="480" w:firstLineChars="200"/>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（填“未被列入”或</w:t>
      </w:r>
      <w:r>
        <w:rPr>
          <w:rFonts w:hint="eastAsia" w:ascii="宋体" w:hAnsi="宋体" w:eastAsia="宋体" w:cs="宋体"/>
          <w:color w:val="auto"/>
          <w:spacing w:val="4"/>
          <w:sz w:val="24"/>
          <w:szCs w:val="24"/>
          <w:highlight w:val="none"/>
        </w:rPr>
        <w:t>“</w:t>
      </w:r>
      <w:r>
        <w:rPr>
          <w:rFonts w:hint="eastAsia" w:ascii="宋体" w:hAnsi="宋体" w:eastAsia="宋体" w:cs="宋体"/>
          <w:color w:val="auto"/>
          <w:sz w:val="24"/>
          <w:szCs w:val="24"/>
          <w:highlight w:val="none"/>
        </w:rPr>
        <w:t>被列入”）失信</w:t>
      </w:r>
      <w:r>
        <w:rPr>
          <w:rFonts w:hint="eastAsia" w:ascii="宋体" w:hAnsi="宋体" w:eastAsia="宋体" w:cs="宋体"/>
          <w:color w:val="auto"/>
          <w:spacing w:val="4"/>
          <w:sz w:val="24"/>
          <w:szCs w:val="24"/>
          <w:highlight w:val="none"/>
        </w:rPr>
        <w:t>被</w:t>
      </w:r>
      <w:r>
        <w:rPr>
          <w:rFonts w:hint="eastAsia" w:ascii="宋体" w:hAnsi="宋体" w:eastAsia="宋体" w:cs="宋体"/>
          <w:color w:val="auto"/>
          <w:sz w:val="24"/>
          <w:szCs w:val="24"/>
          <w:highlight w:val="none"/>
        </w:rPr>
        <w:t>执行人名单。</w:t>
      </w:r>
    </w:p>
    <w:p w14:paraId="3EF9C97F">
      <w:pPr>
        <w:pStyle w:val="4"/>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3</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w:t>
      </w:r>
      <w:r>
        <w:rPr>
          <w:rFonts w:hint="eastAsia" w:ascii="宋体" w:hAnsi="宋体" w:eastAsia="宋体" w:cs="宋体"/>
          <w:color w:val="auto"/>
          <w:spacing w:val="8"/>
          <w:sz w:val="24"/>
          <w:szCs w:val="24"/>
          <w:highlight w:val="none"/>
        </w:rPr>
        <w:t>列</w:t>
      </w:r>
      <w:r>
        <w:rPr>
          <w:rFonts w:hint="eastAsia" w:ascii="宋体" w:hAnsi="宋体" w:eastAsia="宋体" w:cs="宋体"/>
          <w:color w:val="auto"/>
          <w:spacing w:val="7"/>
          <w:sz w:val="24"/>
          <w:szCs w:val="24"/>
          <w:highlight w:val="none"/>
        </w:rPr>
        <w:t>入”）重</w:t>
      </w:r>
      <w:r>
        <w:rPr>
          <w:rFonts w:hint="eastAsia" w:ascii="宋体" w:hAnsi="宋体" w:eastAsia="宋体" w:cs="宋体"/>
          <w:color w:val="auto"/>
          <w:spacing w:val="9"/>
          <w:sz w:val="24"/>
          <w:szCs w:val="24"/>
          <w:highlight w:val="none"/>
        </w:rPr>
        <w:t>大</w:t>
      </w:r>
      <w:r>
        <w:rPr>
          <w:rFonts w:hint="eastAsia" w:ascii="宋体" w:hAnsi="宋体" w:eastAsia="宋体" w:cs="宋体"/>
          <w:color w:val="auto"/>
          <w:spacing w:val="7"/>
          <w:sz w:val="24"/>
          <w:szCs w:val="24"/>
          <w:highlight w:val="none"/>
        </w:rPr>
        <w:t>税收违法案</w:t>
      </w:r>
      <w:r>
        <w:rPr>
          <w:rFonts w:hint="eastAsia" w:ascii="宋体" w:hAnsi="宋体" w:eastAsia="宋体" w:cs="宋体"/>
          <w:color w:val="auto"/>
          <w:spacing w:val="-15"/>
          <w:sz w:val="24"/>
          <w:szCs w:val="24"/>
          <w:highlight w:val="none"/>
        </w:rPr>
        <w:t>件</w:t>
      </w:r>
      <w:r>
        <w:rPr>
          <w:rFonts w:hint="eastAsia" w:ascii="宋体" w:hAnsi="宋体" w:eastAsia="宋体" w:cs="宋体"/>
          <w:color w:val="auto"/>
          <w:sz w:val="24"/>
          <w:szCs w:val="24"/>
          <w:highlight w:val="none"/>
        </w:rPr>
        <w:t>当事人名单。</w:t>
      </w:r>
    </w:p>
    <w:p w14:paraId="58EF6AE7">
      <w:pPr>
        <w:pStyle w:val="4"/>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4</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“被列入”）政</w:t>
      </w:r>
      <w:r>
        <w:rPr>
          <w:rFonts w:hint="eastAsia" w:ascii="宋体" w:hAnsi="宋体" w:eastAsia="宋体" w:cs="宋体"/>
          <w:color w:val="auto"/>
          <w:spacing w:val="9"/>
          <w:sz w:val="24"/>
          <w:szCs w:val="24"/>
          <w:highlight w:val="none"/>
        </w:rPr>
        <w:t>府</w:t>
      </w:r>
      <w:r>
        <w:rPr>
          <w:rFonts w:hint="eastAsia" w:ascii="宋体" w:hAnsi="宋体" w:eastAsia="宋体" w:cs="宋体"/>
          <w:color w:val="auto"/>
          <w:spacing w:val="7"/>
          <w:sz w:val="24"/>
          <w:szCs w:val="24"/>
          <w:highlight w:val="none"/>
        </w:rPr>
        <w:t>采购严重违</w:t>
      </w:r>
      <w:r>
        <w:rPr>
          <w:rFonts w:hint="eastAsia" w:ascii="宋体" w:hAnsi="宋体" w:eastAsia="宋体" w:cs="宋体"/>
          <w:color w:val="auto"/>
          <w:spacing w:val="-6"/>
          <w:sz w:val="24"/>
          <w:szCs w:val="24"/>
          <w:highlight w:val="none"/>
        </w:rPr>
        <w:t>法</w:t>
      </w:r>
      <w:r>
        <w:rPr>
          <w:rFonts w:hint="eastAsia" w:ascii="宋体" w:hAnsi="宋体" w:eastAsia="宋体" w:cs="宋体"/>
          <w:color w:val="auto"/>
          <w:sz w:val="24"/>
          <w:szCs w:val="24"/>
          <w:highlight w:val="none"/>
        </w:rPr>
        <w:t>失信行为记录名</w:t>
      </w:r>
      <w:r>
        <w:rPr>
          <w:rFonts w:hint="eastAsia" w:ascii="宋体" w:hAnsi="宋体" w:eastAsia="宋体" w:cs="宋体"/>
          <w:color w:val="auto"/>
          <w:spacing w:val="4"/>
          <w:sz w:val="24"/>
          <w:szCs w:val="24"/>
          <w:highlight w:val="none"/>
        </w:rPr>
        <w:t>单</w:t>
      </w:r>
      <w:r>
        <w:rPr>
          <w:rFonts w:hint="eastAsia" w:ascii="宋体" w:hAnsi="宋体" w:eastAsia="宋体" w:cs="宋体"/>
          <w:color w:val="auto"/>
          <w:sz w:val="24"/>
          <w:szCs w:val="24"/>
          <w:highlight w:val="none"/>
        </w:rPr>
        <w:t>。</w:t>
      </w:r>
    </w:p>
    <w:p w14:paraId="1698035B">
      <w:pPr>
        <w:pStyle w:val="4"/>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0CE2D481">
      <w:pPr>
        <w:pStyle w:val="4"/>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025F2B94">
      <w:pPr>
        <w:pStyle w:val="4"/>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4560" w:firstLineChars="1900"/>
        <w:textAlignment w:val="auto"/>
        <w:rPr>
          <w:rFonts w:hint="eastAsia" w:ascii="宋体" w:hAnsi="宋体" w:eastAsia="宋体" w:cs="宋体"/>
          <w:color w:val="auto"/>
          <w:sz w:val="24"/>
          <w:szCs w:val="24"/>
          <w:highlight w:val="none"/>
        </w:rPr>
      </w:pPr>
    </w:p>
    <w:p w14:paraId="6FBF25E4">
      <w:pPr>
        <w:pStyle w:val="4"/>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3360" w:firstLineChars="14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rPr>
        <w:tab/>
      </w:r>
    </w:p>
    <w:p w14:paraId="463E7CA4">
      <w:pPr>
        <w:pStyle w:val="4"/>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4560" w:firstLineChars="1900"/>
        <w:textAlignment w:val="auto"/>
        <w:rPr>
          <w:rFonts w:hint="eastAsia" w:ascii="宋体" w:hAnsi="宋体" w:eastAsia="宋体" w:cs="宋体"/>
          <w:color w:val="auto"/>
          <w:sz w:val="24"/>
          <w:szCs w:val="24"/>
          <w:highlight w:val="none"/>
        </w:rPr>
      </w:pPr>
    </w:p>
    <w:p w14:paraId="33890C31">
      <w:pPr>
        <w:pStyle w:val="4"/>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3360" w:firstLineChars="1400"/>
        <w:textAlignment w:val="auto"/>
        <w:rPr>
          <w:rFonts w:hint="eastAsia" w:ascii="宋体" w:hAnsi="宋体" w:eastAsia="宋体" w:cs="宋体"/>
          <w:color w:val="auto"/>
          <w:spacing w:val="-11"/>
          <w:sz w:val="24"/>
          <w:szCs w:val="24"/>
          <w:highlight w:val="none"/>
          <w:lang w:val="en-US" w:eastAsia="zh-CN"/>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u w:val="single"/>
          <w:lang w:val="en-US" w:eastAsia="zh-CN"/>
        </w:rPr>
        <w:t xml:space="preserve">  </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rPr>
        <w:t>（签字</w:t>
      </w:r>
      <w:r>
        <w:rPr>
          <w:rFonts w:hint="eastAsia" w:ascii="宋体" w:hAnsi="宋体" w:eastAsia="宋体" w:cs="宋体"/>
          <w:color w:val="auto"/>
          <w:spacing w:val="3"/>
          <w:sz w:val="24"/>
          <w:szCs w:val="24"/>
          <w:highlight w:val="none"/>
          <w:lang w:eastAsia="zh-CN"/>
        </w:rPr>
        <w:t>或</w:t>
      </w:r>
      <w:r>
        <w:rPr>
          <w:rFonts w:hint="eastAsia" w:ascii="宋体" w:hAnsi="宋体" w:eastAsia="宋体" w:cs="宋体"/>
          <w:color w:val="auto"/>
          <w:sz w:val="24"/>
          <w:szCs w:val="24"/>
          <w:highlight w:val="none"/>
        </w:rPr>
        <w:t>盖</w:t>
      </w:r>
      <w:r>
        <w:rPr>
          <w:rFonts w:hint="eastAsia" w:ascii="宋体" w:hAnsi="宋体" w:eastAsia="宋体" w:cs="宋体"/>
          <w:color w:val="auto"/>
          <w:spacing w:val="3"/>
          <w:sz w:val="24"/>
          <w:szCs w:val="24"/>
          <w:highlight w:val="none"/>
        </w:rPr>
        <w:t>章</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11"/>
          <w:sz w:val="24"/>
          <w:szCs w:val="24"/>
          <w:highlight w:val="none"/>
          <w:lang w:val="en-US" w:eastAsia="zh-CN"/>
        </w:rPr>
        <w:t xml:space="preserve">         </w:t>
      </w:r>
    </w:p>
    <w:p w14:paraId="268070DF">
      <w:pPr>
        <w:keepNext w:val="0"/>
        <w:keepLines w:val="0"/>
        <w:pageBreakBefore w:val="0"/>
        <w:widowControl/>
        <w:shd w:val="clear" w:color="auto" w:fill="FFFFFF"/>
        <w:kinsoku/>
        <w:wordWrap/>
        <w:overflowPunct/>
        <w:topLinePunct w:val="0"/>
        <w:bidi w:val="0"/>
        <w:snapToGrid/>
        <w:spacing w:before="100" w:beforeAutospacing="1" w:after="100" w:afterAutospacing="1" w:line="360" w:lineRule="auto"/>
        <w:ind w:firstLine="3360" w:firstLineChars="14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日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52327ACA">
      <w:pPr>
        <w:widowControl/>
        <w:shd w:val="clear" w:color="auto" w:fill="FFFFFF"/>
        <w:spacing w:before="100" w:beforeAutospacing="1" w:after="100" w:afterAutospacing="1" w:line="360" w:lineRule="atLeast"/>
        <w:rPr>
          <w:rFonts w:hint="eastAsia" w:ascii="宋体" w:hAnsi="宋体" w:eastAsia="宋体" w:cs="宋体"/>
          <w:color w:val="auto"/>
          <w:sz w:val="24"/>
          <w:szCs w:val="24"/>
          <w:highlight w:val="none"/>
        </w:rPr>
      </w:pPr>
    </w:p>
    <w:p w14:paraId="7D47E4B8">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14:paraId="1229C0CF">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14:paraId="11B4A79A">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zOGJlZTQxYzY3ZWY4ODg1YmNmNTNiZDdlZGNlMDcifQ=="/>
  </w:docVars>
  <w:rsids>
    <w:rsidRoot w:val="00000000"/>
    <w:rsid w:val="07337BB0"/>
    <w:rsid w:val="09D365F8"/>
    <w:rsid w:val="0A8B3CFE"/>
    <w:rsid w:val="1DBC6B98"/>
    <w:rsid w:val="24D45928"/>
    <w:rsid w:val="3C0F14B4"/>
    <w:rsid w:val="3CD96115"/>
    <w:rsid w:val="3D6459C5"/>
    <w:rsid w:val="3EF83117"/>
    <w:rsid w:val="4258198D"/>
    <w:rsid w:val="460A25C4"/>
    <w:rsid w:val="69216AF4"/>
    <w:rsid w:val="698A3CE2"/>
    <w:rsid w:val="6CA7296E"/>
    <w:rsid w:val="72DF0419"/>
    <w:rsid w:val="741E1773"/>
    <w:rsid w:val="77254BB0"/>
    <w:rsid w:val="78DD0CBF"/>
    <w:rsid w:val="7D647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default" w:ascii="Times New Roman" w:hAnsi="Times New Roman" w:eastAsia="Times New Roman" w:cs="Times New Roman"/>
      <w:kern w:val="0"/>
      <w:sz w:val="24"/>
      <w:szCs w:val="24"/>
      <w:lang w:val="en-US" w:eastAsia="zh-CN" w:bidi="ar"/>
    </w:rPr>
  </w:style>
  <w:style w:type="paragraph" w:styleId="3">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2">
    <w:name w:val="heading 4"/>
    <w:basedOn w:val="1"/>
    <w:next w:val="1"/>
    <w:qFormat/>
    <w:uiPriority w:val="0"/>
    <w:pPr>
      <w:keepNext/>
      <w:keepLines/>
      <w:tabs>
        <w:tab w:val="left" w:pos="864"/>
      </w:tabs>
      <w:spacing w:before="120" w:line="360" w:lineRule="auto"/>
      <w:ind w:left="864" w:hanging="864"/>
      <w:outlineLvl w:val="3"/>
    </w:pPr>
    <w:rPr>
      <w:rFonts w:ascii="Wingdings" w:hAnsi="Wingdings" w:cs="Times New Roman"/>
      <w:bCs/>
      <w:kern w:val="0"/>
      <w:sz w:val="20"/>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rFonts w:ascii="Tahoma" w:hAnsi="Tahoma"/>
    </w:rPr>
  </w:style>
  <w:style w:type="paragraph" w:styleId="5">
    <w:name w:val="Body Text 2"/>
    <w:basedOn w:val="1"/>
    <w:qFormat/>
    <w:uiPriority w:val="0"/>
    <w:pPr>
      <w:spacing w:line="440" w:lineRule="exact"/>
    </w:pPr>
    <w:rPr>
      <w:rFonts w:ascii="宋体" w:hAnsi="宋体"/>
      <w:color w:val="000000"/>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9">
    <w:name w:val="HTML Preformatted"/>
    <w:basedOn w:val="1"/>
    <w:qFormat/>
    <w:uiPriority w:val="0"/>
    <w:rPr>
      <w:rFonts w:ascii="Courier New" w:hAnsi="Courier New"/>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1006</Words>
  <Characters>1050</Characters>
  <Lines>0</Lines>
  <Paragraphs>0</Paragraphs>
  <TotalTime>16</TotalTime>
  <ScaleCrop>false</ScaleCrop>
  <LinksUpToDate>false</LinksUpToDate>
  <CharactersWithSpaces>1156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2024-06-07T03:21:00Z</dcterms:created>
  <dc:creator>47393</dc:creator>
  <cp:lastModifiedBy>快乐猫</cp:lastModifiedBy>
  <dcterms:modified xsi:type="dcterms:W3CDTF">2025-10-08T05:34:58Z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D326A9AF20844BE78A00C3D4ABE20A59_13</vt:lpwstr>
  </property>
  <property fmtid="{D5CDD505-2E9C-101B-9397-08002B2CF9AE}" pid="4" name="KSOTemplateDocerSaveRecord">
    <vt:lpwstr>eyJoZGlkIjoiM2NmYTlkNmQyOWE5NjNjOWY3Y2ZiMGFkYTc1MDQ4YzciLCJ1c2VySWQiOiIxNTE3ODQyNzU3In0=</vt:lpwstr>
  </property>
</Properties>
</file>