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3B71D">
      <w:pPr>
        <w:bidi w:val="0"/>
        <w:jc w:val="center"/>
        <w:rPr>
          <w:rFonts w:hint="default" w:ascii="Calibri" w:hAnsi="Calibri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来源渠道</w:t>
      </w:r>
    </w:p>
    <w:p w14:paraId="34411F22">
      <w:pPr>
        <w:bidi w:val="0"/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</w:p>
    <w:p w14:paraId="1F8E73A4">
      <w:pPr>
        <w:bidi w:val="0"/>
        <w:rPr>
          <w:rFonts w:hint="eastAsia"/>
          <w:b w:val="0"/>
          <w:bCs w:val="0"/>
          <w:sz w:val="24"/>
          <w:szCs w:val="24"/>
          <w:highlight w:val="none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  <w:highlight w:val="none"/>
        </w:rPr>
        <w:t>供应商自行编写，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来源渠道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highlight w:val="none"/>
        </w:rPr>
        <w:t>。</w:t>
      </w:r>
    </w:p>
    <w:p w14:paraId="35C48E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665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2025-09-28T06:22:28Z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