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版本号：ZRHZB2025-1-10220250929001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西安市第一、第二污水处理厂二期除臭加盖运营维护项目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ZRHZB2025-1-102</w:t>
      </w:r>
      <w:r>
        <w:br/>
      </w:r>
      <w:r>
        <w:br/>
      </w:r>
      <w:r>
        <w:br/>
      </w:r>
    </w:p>
    <w:p>
      <w:pPr>
        <w:pStyle w:val="null3"/>
        <w:jc w:val="center"/>
        <w:outlineLvl w:val="2"/>
      </w:pPr>
      <w:r>
        <w:rPr>
          <w:rFonts w:ascii="仿宋_GB2312" w:hAnsi="仿宋_GB2312" w:cs="仿宋_GB2312" w:eastAsia="仿宋_GB2312"/>
          <w:sz w:val="28"/>
          <w:b/>
        </w:rPr>
        <w:t>西安市污水处理管理中心</w:t>
      </w:r>
    </w:p>
    <w:p>
      <w:pPr>
        <w:pStyle w:val="null3"/>
        <w:jc w:val="center"/>
        <w:outlineLvl w:val="2"/>
      </w:pPr>
      <w:r>
        <w:rPr>
          <w:rFonts w:ascii="仿宋_GB2312" w:hAnsi="仿宋_GB2312" w:cs="仿宋_GB2312" w:eastAsia="仿宋_GB2312"/>
          <w:sz w:val="28"/>
          <w:b/>
        </w:rPr>
        <w:t>陕西中睿弘项目管理有限公司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陕西中睿弘项目管理有限公司</w:t>
      </w:r>
      <w:r>
        <w:rPr>
          <w:rFonts w:ascii="仿宋_GB2312" w:hAnsi="仿宋_GB2312" w:cs="仿宋_GB2312" w:eastAsia="仿宋_GB2312"/>
        </w:rPr>
        <w:t>（以下简称“代理机构”）受</w:t>
      </w:r>
      <w:r>
        <w:rPr>
          <w:rFonts w:ascii="仿宋_GB2312" w:hAnsi="仿宋_GB2312" w:cs="仿宋_GB2312" w:eastAsia="仿宋_GB2312"/>
        </w:rPr>
        <w:t>西安市污水处理管理中心</w:t>
      </w:r>
      <w:r>
        <w:rPr>
          <w:rFonts w:ascii="仿宋_GB2312" w:hAnsi="仿宋_GB2312" w:cs="仿宋_GB2312" w:eastAsia="仿宋_GB2312"/>
        </w:rPr>
        <w:t>委托，拟对</w:t>
      </w:r>
      <w:r>
        <w:rPr>
          <w:rFonts w:ascii="仿宋_GB2312" w:hAnsi="仿宋_GB2312" w:cs="仿宋_GB2312" w:eastAsia="仿宋_GB2312"/>
        </w:rPr>
        <w:t>西安市第一、第二污水处理厂二期除臭加盖运营维护项目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ZRHZB2025-1-102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西安市第一、第二污水处理厂二期除臭加盖运营维护项目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西安市第一、第二污水处理厂二期除臭加盖运营维护项目，具体详见招标文件及内容。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西安市污水处理管理中心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029-86785727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陕西中睿弘项目管理有限公司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西安市高新区书香名邸B座11楼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029-88447628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采购代理机构按照《国家发展改革委关于进一步放开建设项目专业服务价格的通知》发改价格〔2015〕299号的要求，参照原计价格〔2002〕1980号文、发改价格〔2011〕534号文件的计费标准，以中标(成交)价为基数计算，按照标准收取。 代理费缴纳账户： 银行户名：陕西中睿弘项目管理有限公司 开户银行：招商银行股份有限公司西安城南支行 账 号：129915026310801 联系人：张会计 联系电话：029-89185132 邮箱：790863106@qq.com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西安市污水处理管理中心</w:t>
      </w:r>
      <w:r>
        <w:rPr>
          <w:rFonts w:ascii="仿宋_GB2312" w:hAnsi="仿宋_GB2312" w:cs="仿宋_GB2312" w:eastAsia="仿宋_GB2312"/>
        </w:rPr>
        <w:t>和</w:t>
      </w:r>
      <w:r>
        <w:rPr>
          <w:rFonts w:ascii="仿宋_GB2312" w:hAnsi="仿宋_GB2312" w:cs="仿宋_GB2312" w:eastAsia="仿宋_GB2312"/>
        </w:rPr>
        <w:t>陕西中睿弘项目管理有限公司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西安市污水处理管理中心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陕西中睿弘项目管理有限公司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西安市污水处理管理中心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陕西中睿弘项目管理有限公司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陕西中睿弘项目管理有限公司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陕西中睿弘项目管理有限公司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陕西中睿弘项目管理有限公司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联系人：贺工</w:t>
      </w:r>
    </w:p>
    <w:p>
      <w:pPr>
        <w:pStyle w:val="null3"/>
      </w:pPr>
      <w:r>
        <w:rPr>
          <w:rFonts w:ascii="仿宋_GB2312" w:hAnsi="仿宋_GB2312" w:cs="仿宋_GB2312" w:eastAsia="仿宋_GB2312"/>
        </w:rPr>
        <w:t>联系电话：029-88447628</w:t>
      </w:r>
    </w:p>
    <w:p>
      <w:pPr>
        <w:pStyle w:val="null3"/>
      </w:pPr>
      <w:r>
        <w:rPr>
          <w:rFonts w:ascii="仿宋_GB2312" w:hAnsi="仿宋_GB2312" w:cs="仿宋_GB2312" w:eastAsia="仿宋_GB2312"/>
        </w:rPr>
        <w:t>地址：西安市高新区书香名邸B座11楼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西安市第一、第二污水处理厂二期除臭加盖运营维护项目，具体详见招标文件及内容。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3,250,000.00</w:t>
      </w:r>
    </w:p>
    <w:p>
      <w:pPr>
        <w:pStyle w:val="null3"/>
      </w:pPr>
      <w:r>
        <w:rPr>
          <w:rFonts w:ascii="仿宋_GB2312" w:hAnsi="仿宋_GB2312" w:cs="仿宋_GB2312" w:eastAsia="仿宋_GB2312"/>
        </w:rPr>
        <w:t>采购包最高限价（元）: 3,250,000.00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对运行除臭加盖项目进行运维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标的名称：对运行除臭加盖项目进行运维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一、项目名称</w:t>
            </w:r>
          </w:p>
          <w:p>
            <w:pPr>
              <w:pStyle w:val="null3"/>
            </w:pPr>
            <w:r>
              <w:rPr>
                <w:rFonts w:ascii="仿宋_GB2312" w:hAnsi="仿宋_GB2312" w:cs="仿宋_GB2312" w:eastAsia="仿宋_GB2312"/>
              </w:rPr>
              <w:t>西安市第一、第二污水处理厂二期除臭加盖运营维护项目</w:t>
            </w:r>
          </w:p>
          <w:p>
            <w:pPr>
              <w:pStyle w:val="null3"/>
            </w:pPr>
            <w:r>
              <w:rPr>
                <w:rFonts w:ascii="仿宋_GB2312" w:hAnsi="仿宋_GB2312" w:cs="仿宋_GB2312" w:eastAsia="仿宋_GB2312"/>
              </w:rPr>
              <w:t>二、服务期</w:t>
            </w:r>
          </w:p>
          <w:p>
            <w:pPr>
              <w:pStyle w:val="null3"/>
            </w:pPr>
            <w:r>
              <w:rPr>
                <w:rFonts w:ascii="仿宋_GB2312" w:hAnsi="仿宋_GB2312" w:cs="仿宋_GB2312" w:eastAsia="仿宋_GB2312"/>
              </w:rPr>
              <w:t>2025年11月1日至2026年6月30日</w:t>
            </w:r>
          </w:p>
          <w:p>
            <w:pPr>
              <w:pStyle w:val="null3"/>
            </w:pPr>
            <w:r>
              <w:rPr>
                <w:rFonts w:ascii="仿宋_GB2312" w:hAnsi="仿宋_GB2312" w:cs="仿宋_GB2312" w:eastAsia="仿宋_GB2312"/>
              </w:rPr>
              <w:t>三、项目概况</w:t>
            </w:r>
          </w:p>
          <w:p>
            <w:pPr>
              <w:pStyle w:val="null3"/>
            </w:pPr>
            <w:r>
              <w:rPr>
                <w:rFonts w:ascii="仿宋_GB2312" w:hAnsi="仿宋_GB2312" w:cs="仿宋_GB2312" w:eastAsia="仿宋_GB2312"/>
              </w:rPr>
              <w:t>西安市第一、第二污水处理厂二期除臭加盖运营维护项目位于第一污水处理厂二期、第二污水处理厂二期污水处理厂内。作为第一污水处理厂、第二污水处理厂二期的续建工程，由市污水处理管理中心作为项目实施单位，采取委托代建的方式，已于2015年完成建设并投入运行。</w:t>
            </w:r>
          </w:p>
          <w:p>
            <w:pPr>
              <w:pStyle w:val="null3"/>
            </w:pPr>
            <w:r>
              <w:rPr>
                <w:rFonts w:ascii="仿宋_GB2312" w:hAnsi="仿宋_GB2312" w:cs="仿宋_GB2312" w:eastAsia="仿宋_GB2312"/>
              </w:rPr>
              <w:t>1、建设规模：第一污水处理厂二期除臭系统臭气处理量为6.3万m³/h，第二污水处理厂二期除臭系统臭气处理量为12.9万m³/h。该项目无专用供电电源点及水源，第一污水处理厂二期电容量216kW,第二污水处理厂二期电容量436kW。</w:t>
            </w:r>
          </w:p>
          <w:p>
            <w:pPr>
              <w:pStyle w:val="null3"/>
            </w:pPr>
            <w:r>
              <w:rPr>
                <w:rFonts w:ascii="仿宋_GB2312" w:hAnsi="仿宋_GB2312" w:cs="仿宋_GB2312" w:eastAsia="仿宋_GB2312"/>
              </w:rPr>
              <w:t>2、工艺方案：粗格栅密封采用龙钢骨架+耐力板密封，初沉池采用反吊膜加盖，生物反应池、接触消毒池采用玻璃钢加盖，污泥脱水间泥棚采用填充墙密封。除臭系统采用填充式生物除臭法，生物除臭采用生物媒填料作为微生物的载体的臭气处理工艺。</w:t>
            </w:r>
          </w:p>
          <w:p>
            <w:pPr>
              <w:pStyle w:val="null3"/>
            </w:pPr>
            <w:r>
              <w:rPr>
                <w:rFonts w:ascii="仿宋_GB2312" w:hAnsi="仿宋_GB2312" w:cs="仿宋_GB2312" w:eastAsia="仿宋_GB2312"/>
              </w:rPr>
              <w:t>3、服务范围：</w:t>
            </w:r>
          </w:p>
          <w:p>
            <w:pPr>
              <w:pStyle w:val="null3"/>
            </w:pPr>
            <w:r>
              <w:rPr>
                <w:rFonts w:ascii="仿宋_GB2312" w:hAnsi="仿宋_GB2312" w:cs="仿宋_GB2312" w:eastAsia="仿宋_GB2312"/>
              </w:rPr>
              <w:t>第一污水处理厂二期：细格栅及曝气沉砂池的出渣口、初沉池、生物反应池、污泥浓缩池、泥棚的臭气处理，管线维护及除臭塔内清扫维护工作。</w:t>
            </w:r>
          </w:p>
          <w:p>
            <w:pPr>
              <w:pStyle w:val="null3"/>
            </w:pPr>
            <w:r>
              <w:rPr>
                <w:rFonts w:ascii="仿宋_GB2312" w:hAnsi="仿宋_GB2312" w:cs="仿宋_GB2312" w:eastAsia="仿宋_GB2312"/>
              </w:rPr>
              <w:t>第二污水处理厂二期：粗格栅、细格栅及曝气沉砂池出渣口、初沉池、生物反应池、污泥浓缩池、泥棚的臭气处理，管线维护及除臭塔内清扫维护工作。</w:t>
            </w:r>
          </w:p>
          <w:p>
            <w:pPr>
              <w:pStyle w:val="null3"/>
            </w:pPr>
            <w:r>
              <w:rPr>
                <w:rFonts w:ascii="仿宋_GB2312" w:hAnsi="仿宋_GB2312" w:cs="仿宋_GB2312" w:eastAsia="仿宋_GB2312"/>
              </w:rPr>
              <w:t>三、采购主要内容</w:t>
            </w:r>
          </w:p>
          <w:p>
            <w:pPr>
              <w:pStyle w:val="null3"/>
            </w:pPr>
            <w:r>
              <w:rPr>
                <w:rFonts w:ascii="仿宋_GB2312" w:hAnsi="仿宋_GB2312" w:cs="仿宋_GB2312" w:eastAsia="仿宋_GB2312"/>
              </w:rPr>
              <w:t>（一）日常运维</w:t>
            </w:r>
          </w:p>
          <w:p>
            <w:pPr>
              <w:pStyle w:val="null3"/>
            </w:pPr>
            <w:r>
              <w:rPr>
                <w:rFonts w:ascii="仿宋_GB2312" w:hAnsi="仿宋_GB2312" w:cs="仿宋_GB2312" w:eastAsia="仿宋_GB2312"/>
              </w:rPr>
              <w:t>1、投标人须安排专人负责除臭加盖项目的日常巡检、运行维护，保证设备设施连续稳定运行。</w:t>
            </w:r>
          </w:p>
          <w:p>
            <w:pPr>
              <w:pStyle w:val="null3"/>
            </w:pPr>
            <w:r>
              <w:rPr>
                <w:rFonts w:ascii="仿宋_GB2312" w:hAnsi="仿宋_GB2312" w:cs="仿宋_GB2312" w:eastAsia="仿宋_GB2312"/>
              </w:rPr>
              <w:t>2、投标人应定时巡视除臭系统设备设施，如实填写除臭系统运行记录表。</w:t>
            </w:r>
          </w:p>
          <w:p>
            <w:pPr>
              <w:pStyle w:val="null3"/>
            </w:pPr>
            <w:r>
              <w:rPr>
                <w:rFonts w:ascii="仿宋_GB2312" w:hAnsi="仿宋_GB2312" w:cs="仿宋_GB2312" w:eastAsia="仿宋_GB2312"/>
              </w:rPr>
              <w:t>3、投标人依据设备厂家维护手册等资料定期开展除臭系统设备设施的维护保养，如发现设备故障，应第一时间查找故障原因，进行维修，对故障配件进行更换。</w:t>
            </w:r>
          </w:p>
          <w:p>
            <w:pPr>
              <w:pStyle w:val="null3"/>
            </w:pPr>
            <w:r>
              <w:rPr>
                <w:rFonts w:ascii="仿宋_GB2312" w:hAnsi="仿宋_GB2312" w:cs="仿宋_GB2312" w:eastAsia="仿宋_GB2312"/>
              </w:rPr>
              <w:t>4、投标人应定期清洁除臭盖板，保证除臭盖板外观整洁。</w:t>
            </w:r>
          </w:p>
          <w:p>
            <w:pPr>
              <w:pStyle w:val="null3"/>
            </w:pPr>
            <w:r>
              <w:rPr>
                <w:rFonts w:ascii="仿宋_GB2312" w:hAnsi="仿宋_GB2312" w:cs="仿宋_GB2312" w:eastAsia="仿宋_GB2312"/>
              </w:rPr>
              <w:t>5、投标人定期向中心提交运行维护台账等相关资料。</w:t>
            </w:r>
          </w:p>
          <w:p>
            <w:pPr>
              <w:pStyle w:val="null3"/>
            </w:pPr>
            <w:r>
              <w:rPr>
                <w:rFonts w:ascii="仿宋_GB2312" w:hAnsi="仿宋_GB2312" w:cs="仿宋_GB2312" w:eastAsia="仿宋_GB2312"/>
              </w:rPr>
              <w:t>6、投标人应定期对除臭加盖设备做基础维护，如刷漆、防腐等。</w:t>
            </w:r>
          </w:p>
          <w:p>
            <w:pPr>
              <w:pStyle w:val="null3"/>
            </w:pPr>
            <w:r>
              <w:rPr>
                <w:rFonts w:ascii="仿宋_GB2312" w:hAnsi="仿宋_GB2312" w:cs="仿宋_GB2312" w:eastAsia="仿宋_GB2312"/>
              </w:rPr>
              <w:t>7、投标人应每季度委托有资质的第三方化验检测机构，对除臭系统排放的硫化氢、氨气、臭气浓度进行检测，并出具检测报告。</w:t>
            </w:r>
          </w:p>
          <w:p>
            <w:pPr>
              <w:pStyle w:val="null3"/>
            </w:pPr>
            <w:r>
              <w:rPr>
                <w:rFonts w:ascii="仿宋_GB2312" w:hAnsi="仿宋_GB2312" w:cs="仿宋_GB2312" w:eastAsia="仿宋_GB2312"/>
              </w:rPr>
              <w:t>8、投标人应保证除臭设备设施的安全运行。</w:t>
            </w:r>
          </w:p>
          <w:p>
            <w:pPr>
              <w:pStyle w:val="null3"/>
            </w:pPr>
            <w:r>
              <w:rPr>
                <w:rFonts w:ascii="仿宋_GB2312" w:hAnsi="仿宋_GB2312" w:cs="仿宋_GB2312" w:eastAsia="仿宋_GB2312"/>
              </w:rPr>
              <w:t>9、该项目无专用供电电源点及水源，投标人须按照商业模式与西安市第一污水处理厂二期、第二污水处理厂二期运营单位洽谈解决本项目运行所需的水、电事项。</w:t>
            </w:r>
          </w:p>
          <w:p>
            <w:pPr>
              <w:pStyle w:val="null3"/>
            </w:pPr>
            <w:r>
              <w:rPr>
                <w:rFonts w:ascii="仿宋_GB2312" w:hAnsi="仿宋_GB2312" w:cs="仿宋_GB2312" w:eastAsia="仿宋_GB2312"/>
              </w:rPr>
              <w:t>10、在设备报废年限内，投标人应保障设备进行基础的养护，以维持其正常运转，因使用不当或者未按要求使用产生的损坏（非设备质量原因），投标人自行出资维修。</w:t>
            </w:r>
          </w:p>
          <w:p>
            <w:pPr>
              <w:pStyle w:val="null3"/>
            </w:pPr>
            <w:r>
              <w:rPr>
                <w:rFonts w:ascii="仿宋_GB2312" w:hAnsi="仿宋_GB2312" w:cs="仿宋_GB2312" w:eastAsia="仿宋_GB2312"/>
              </w:rPr>
              <w:t>（二）专业人员要求</w:t>
            </w:r>
          </w:p>
          <w:p>
            <w:pPr>
              <w:pStyle w:val="null3"/>
            </w:pPr>
            <w:r>
              <w:rPr>
                <w:rFonts w:ascii="仿宋_GB2312" w:hAnsi="仿宋_GB2312" w:cs="仿宋_GB2312" w:eastAsia="仿宋_GB2312"/>
              </w:rPr>
              <w:t>1、投标人应提供专职服务于本项目的管理、维修及运行人员。</w:t>
            </w:r>
          </w:p>
          <w:p>
            <w:pPr>
              <w:pStyle w:val="null3"/>
            </w:pPr>
            <w:r>
              <w:rPr>
                <w:rFonts w:ascii="仿宋_GB2312" w:hAnsi="仿宋_GB2312" w:cs="仿宋_GB2312" w:eastAsia="仿宋_GB2312"/>
              </w:rPr>
              <w:t>2、投标人指派的技术人员应具有较强的环保（水处理或废气处理或臭气处理）专业技术知识，熟悉生物除臭的工艺流程及基本原理，了解臭气指标检测和生物除臭系统内的微生物检测，能够通各项检测结果判断并作出相应的工艺调整。</w:t>
            </w:r>
          </w:p>
          <w:p>
            <w:pPr>
              <w:pStyle w:val="null3"/>
            </w:pPr>
            <w:r>
              <w:rPr>
                <w:rFonts w:ascii="仿宋_GB2312" w:hAnsi="仿宋_GB2312" w:cs="仿宋_GB2312" w:eastAsia="仿宋_GB2312"/>
              </w:rPr>
              <w:t>3、投标人指派的维修人员应具备对电气线路、风机的设备维修、维护工作经验及技术能力，且应通过特种作业理论、实操考核并取得低压电工操作证。</w:t>
            </w:r>
          </w:p>
          <w:p>
            <w:pPr>
              <w:pStyle w:val="null3"/>
            </w:pPr>
            <w:r>
              <w:rPr>
                <w:rFonts w:ascii="仿宋_GB2312" w:hAnsi="仿宋_GB2312" w:cs="仿宋_GB2312" w:eastAsia="仿宋_GB2312"/>
              </w:rPr>
              <w:t>四、质量标准和要求</w:t>
            </w:r>
          </w:p>
          <w:p>
            <w:pPr>
              <w:pStyle w:val="null3"/>
            </w:pPr>
            <w:r>
              <w:rPr>
                <w:rFonts w:ascii="仿宋_GB2312" w:hAnsi="仿宋_GB2312" w:cs="仿宋_GB2312" w:eastAsia="仿宋_GB2312"/>
              </w:rPr>
              <w:t>1、投标人须安排专人负责除臭加盖项目的日常巡检、运行维护，保证设备设施连续稳定运行，经处理后排放的臭气达到《恶臭污染物排放标准》（GB14554-93）及《大气污染物综合排放标准》（GB16297-1996）规定的二级排放标准的要求。具体内容如下：</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项号</w:t>
                  </w:r>
                </w:p>
              </w:tc>
              <w:tc>
                <w:tcPr>
                  <w:tcW w:type="dxa" w:w="638"/>
                </w:tcPr>
                <w:p>
                  <w:pPr>
                    <w:pStyle w:val="null3"/>
                  </w:pPr>
                  <w:r>
                    <w:rPr>
                      <w:rFonts w:ascii="仿宋_GB2312" w:hAnsi="仿宋_GB2312" w:cs="仿宋_GB2312" w:eastAsia="仿宋_GB2312"/>
                    </w:rPr>
                    <w:t>参数</w:t>
                  </w:r>
                </w:p>
              </w:tc>
              <w:tc>
                <w:tcPr>
                  <w:tcW w:type="dxa" w:w="638"/>
                </w:tcPr>
                <w:p>
                  <w:pPr>
                    <w:pStyle w:val="null3"/>
                  </w:pPr>
                  <w:r>
                    <w:rPr>
                      <w:rFonts w:ascii="仿宋_GB2312" w:hAnsi="仿宋_GB2312" w:cs="仿宋_GB2312" w:eastAsia="仿宋_GB2312"/>
                    </w:rPr>
                    <w:t>单位</w:t>
                  </w:r>
                </w:p>
              </w:tc>
              <w:tc>
                <w:tcPr>
                  <w:tcW w:type="dxa" w:w="638"/>
                </w:tcPr>
                <w:p>
                  <w:pPr>
                    <w:pStyle w:val="null3"/>
                  </w:pPr>
                  <w:r>
                    <w:rPr>
                      <w:rFonts w:ascii="仿宋_GB2312" w:hAnsi="仿宋_GB2312" w:cs="仿宋_GB2312" w:eastAsia="仿宋_GB2312"/>
                    </w:rPr>
                    <w:t>平均浓度限值</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氨</w:t>
                  </w:r>
                </w:p>
              </w:tc>
              <w:tc>
                <w:tcPr>
                  <w:tcW w:type="dxa" w:w="638"/>
                </w:tcPr>
                <w:p>
                  <w:pPr>
                    <w:pStyle w:val="null3"/>
                  </w:pPr>
                  <w:r>
                    <w:rPr>
                      <w:rFonts w:ascii="仿宋_GB2312" w:hAnsi="仿宋_GB2312" w:cs="仿宋_GB2312" w:eastAsia="仿宋_GB2312"/>
                    </w:rPr>
                    <w:t>mg/m³</w:t>
                  </w:r>
                </w:p>
              </w:tc>
              <w:tc>
                <w:tcPr>
                  <w:tcW w:type="dxa" w:w="638"/>
                </w:tcPr>
                <w:p>
                  <w:pPr>
                    <w:pStyle w:val="null3"/>
                  </w:pPr>
                  <w:r>
                    <w:rPr>
                      <w:rFonts w:ascii="仿宋_GB2312" w:hAnsi="仿宋_GB2312" w:cs="仿宋_GB2312" w:eastAsia="仿宋_GB2312"/>
                    </w:rPr>
                    <w:t>1.5</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硫化氢</w:t>
                  </w:r>
                </w:p>
              </w:tc>
              <w:tc>
                <w:tcPr>
                  <w:tcW w:type="dxa" w:w="638"/>
                </w:tcPr>
                <w:p>
                  <w:pPr>
                    <w:pStyle w:val="null3"/>
                  </w:pPr>
                  <w:r>
                    <w:rPr>
                      <w:rFonts w:ascii="仿宋_GB2312" w:hAnsi="仿宋_GB2312" w:cs="仿宋_GB2312" w:eastAsia="仿宋_GB2312"/>
                    </w:rPr>
                    <w:t>mg/ m³</w:t>
                  </w:r>
                </w:p>
              </w:tc>
              <w:tc>
                <w:tcPr>
                  <w:tcW w:type="dxa" w:w="638"/>
                </w:tcPr>
                <w:p>
                  <w:pPr>
                    <w:pStyle w:val="null3"/>
                  </w:pPr>
                  <w:r>
                    <w:rPr>
                      <w:rFonts w:ascii="仿宋_GB2312" w:hAnsi="仿宋_GB2312" w:cs="仿宋_GB2312" w:eastAsia="仿宋_GB2312"/>
                    </w:rPr>
                    <w:t>0.06</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臭气浓度</w:t>
                  </w:r>
                </w:p>
              </w:tc>
              <w:tc>
                <w:tcPr>
                  <w:tcW w:type="dxa" w:w="638"/>
                </w:tcPr>
                <w:p>
                  <w:pPr>
                    <w:pStyle w:val="null3"/>
                  </w:pPr>
                  <w:r>
                    <w:rPr>
                      <w:rFonts w:ascii="仿宋_GB2312" w:hAnsi="仿宋_GB2312" w:cs="仿宋_GB2312" w:eastAsia="仿宋_GB2312"/>
                    </w:rPr>
                    <w:t>无量纲</w:t>
                  </w:r>
                </w:p>
              </w:tc>
              <w:tc>
                <w:tcPr>
                  <w:tcW w:type="dxa" w:w="638"/>
                </w:tcPr>
                <w:p>
                  <w:pPr>
                    <w:pStyle w:val="null3"/>
                  </w:pPr>
                  <w:r>
                    <w:rPr>
                      <w:rFonts w:ascii="仿宋_GB2312" w:hAnsi="仿宋_GB2312" w:cs="仿宋_GB2312" w:eastAsia="仿宋_GB2312"/>
                    </w:rPr>
                    <w:t>20</w:t>
                  </w:r>
                </w:p>
              </w:tc>
            </w:tr>
          </w:tbl>
          <w:p>
            <w:pPr>
              <w:pStyle w:val="null3"/>
            </w:pPr>
            <w:r>
              <w:rPr>
                <w:rFonts w:ascii="仿宋_GB2312" w:hAnsi="仿宋_GB2312" w:cs="仿宋_GB2312" w:eastAsia="仿宋_GB2312"/>
              </w:rPr>
              <w:t>2、委托运营期间运营公司每季度检测一次臭气排放，并上报市污水中心存档。</w:t>
            </w:r>
          </w:p>
          <w:p>
            <w:pPr>
              <w:pStyle w:val="null3"/>
            </w:pPr>
            <w:r>
              <w:rPr>
                <w:rFonts w:ascii="仿宋_GB2312" w:hAnsi="仿宋_GB2312" w:cs="仿宋_GB2312" w:eastAsia="仿宋_GB2312"/>
              </w:rPr>
              <w:t>3、运营公司不得以项目的建设质量问题为由，拒绝执行本条款项下的责任，或减轻本条款项下运营公司的责任。</w:t>
            </w:r>
          </w:p>
          <w:p>
            <w:pPr>
              <w:pStyle w:val="null3"/>
            </w:pPr>
            <w:r>
              <w:rPr>
                <w:rFonts w:ascii="仿宋_GB2312" w:hAnsi="仿宋_GB2312" w:cs="仿宋_GB2312" w:eastAsia="仿宋_GB2312"/>
              </w:rPr>
              <w:t>五、考核及评估</w:t>
            </w:r>
          </w:p>
          <w:p>
            <w:pPr>
              <w:pStyle w:val="null3"/>
            </w:pPr>
            <w:r>
              <w:rPr>
                <w:rFonts w:ascii="仿宋_GB2312" w:hAnsi="仿宋_GB2312" w:cs="仿宋_GB2312" w:eastAsia="仿宋_GB2312"/>
              </w:rPr>
              <w:t>1、采购人有权指定代表在任何时候进入项目，以监督检查项目设施的运营和维护，并对运营公司的检测程序、结果、设备和仪器进行检查和检测。</w:t>
            </w:r>
          </w:p>
          <w:p>
            <w:pPr>
              <w:pStyle w:val="null3"/>
            </w:pPr>
            <w:r>
              <w:rPr>
                <w:rFonts w:ascii="仿宋_GB2312" w:hAnsi="仿宋_GB2312" w:cs="仿宋_GB2312" w:eastAsia="仿宋_GB2312"/>
              </w:rPr>
              <w:t>2、采购人有权随时亲自或委托一家具有相应资格的检测机构对经运营公司处理过的排放臭气进行检测，以核实运营公司提供的结果。采购人或其委托机构检测时须有运营公司人员在场。经通知后，运营公司人员拒不到场的，不影响抽查结果的有效性。</w:t>
            </w:r>
          </w:p>
          <w:p>
            <w:pPr>
              <w:pStyle w:val="null3"/>
            </w:pPr>
            <w:r>
              <w:rPr>
                <w:rFonts w:ascii="仿宋_GB2312" w:hAnsi="仿宋_GB2312" w:cs="仿宋_GB2312" w:eastAsia="仿宋_GB2312"/>
              </w:rPr>
              <w:t>3、采购人核实或抽查的结果与运营公司自检结果不一致时，以采购人检测结果为准。如果运营公司对此有异议，以双方共同委托经双方认可的有资质的独立第三方专业检测机构的计量结果为准。</w:t>
            </w:r>
          </w:p>
          <w:p>
            <w:pPr>
              <w:pStyle w:val="null3"/>
            </w:pPr>
            <w:r>
              <w:rPr>
                <w:rFonts w:ascii="仿宋_GB2312" w:hAnsi="仿宋_GB2312" w:cs="仿宋_GB2312" w:eastAsia="仿宋_GB2312"/>
              </w:rPr>
              <w:t>4、对核实和抽查结果表明运营公司违反了本委托运营协议中规定的运营公司义务的，采购人有权要求运营公司进行整改并根据实际情况扣除相应运行维护费。</w:t>
            </w:r>
          </w:p>
          <w:p>
            <w:pPr>
              <w:pStyle w:val="null3"/>
            </w:pPr>
            <w:r>
              <w:rPr>
                <w:rFonts w:ascii="仿宋_GB2312" w:hAnsi="仿宋_GB2312" w:cs="仿宋_GB2312" w:eastAsia="仿宋_GB2312"/>
              </w:rPr>
              <w:t>六、运行维护费用</w:t>
            </w:r>
          </w:p>
          <w:p>
            <w:pPr>
              <w:pStyle w:val="null3"/>
            </w:pPr>
            <w:r>
              <w:rPr>
                <w:rFonts w:ascii="仿宋_GB2312" w:hAnsi="仿宋_GB2312" w:cs="仿宋_GB2312" w:eastAsia="仿宋_GB2312"/>
              </w:rPr>
              <w:t>1、费用包含提供西安市第一、第二污水处理厂二期除臭加盖运营维护项目服务涉及的电费、水费、检测费、劳务费、清洁维护费、日常零星维修费、税金及附加等，不包含填料更换费及大修费用。</w:t>
            </w:r>
          </w:p>
          <w:p>
            <w:pPr>
              <w:pStyle w:val="null3"/>
            </w:pPr>
            <w:r>
              <w:rPr>
                <w:rFonts w:ascii="仿宋_GB2312" w:hAnsi="仿宋_GB2312" w:cs="仿宋_GB2312" w:eastAsia="仿宋_GB2312"/>
              </w:rPr>
              <w:t>2、投标人指定专人与水厂运营单位定时共同抄取用电、用水读数，数据以读取数据为准，作为结算依据。投标人需于次月向水厂单位支付上月电费、水费。电费依据当月实际电价乘以（电量+税费+线损费用）据实结算，水费依据当月实际水费乘以（处理水价＋抽取回用水增加的电费成本+税费）。如运维过程中需要使用消防水，则按照自来水费计费。</w:t>
            </w:r>
          </w:p>
          <w:p>
            <w:pPr>
              <w:pStyle w:val="null3"/>
            </w:pPr>
            <w:r>
              <w:rPr>
                <w:rFonts w:ascii="仿宋_GB2312" w:hAnsi="仿宋_GB2312" w:cs="仿宋_GB2312" w:eastAsia="仿宋_GB2312"/>
              </w:rPr>
              <w:t>3、如发生填料更换费及大修费用未包括在日常运行维护费中，须提前30个工作日上报西安市污水处理管理中心。</w:t>
            </w:r>
          </w:p>
          <w:p>
            <w:pPr>
              <w:pStyle w:val="null3"/>
            </w:pPr>
            <w:r>
              <w:rPr>
                <w:rFonts w:ascii="仿宋_GB2312" w:hAnsi="仿宋_GB2312" w:cs="仿宋_GB2312" w:eastAsia="仿宋_GB2312"/>
              </w:rPr>
              <w:t>4、本需求第三条日常运维工作中包含的10条内容所产生的一切费用由投标人自行承担。</w:t>
            </w:r>
          </w:p>
          <w:p>
            <w:pPr>
              <w:pStyle w:val="null3"/>
            </w:pPr>
            <w:r>
              <w:rPr>
                <w:rFonts w:ascii="仿宋_GB2312" w:hAnsi="仿宋_GB2312" w:cs="仿宋_GB2312" w:eastAsia="仿宋_GB2312"/>
              </w:rPr>
              <w:t>七、项目安全管理及现场管理</w:t>
            </w:r>
          </w:p>
          <w:p>
            <w:pPr>
              <w:pStyle w:val="null3"/>
            </w:pPr>
            <w:r>
              <w:rPr>
                <w:rFonts w:ascii="仿宋_GB2312" w:hAnsi="仿宋_GB2312" w:cs="仿宋_GB2312" w:eastAsia="仿宋_GB2312"/>
              </w:rPr>
              <w:t>1、安全、环保权责划分</w:t>
            </w:r>
          </w:p>
          <w:p>
            <w:pPr>
              <w:pStyle w:val="null3"/>
            </w:pPr>
            <w:r>
              <w:rPr>
                <w:rFonts w:ascii="仿宋_GB2312" w:hAnsi="仿宋_GB2312" w:cs="仿宋_GB2312" w:eastAsia="仿宋_GB2312"/>
              </w:rPr>
              <w:t>（1）投标人应落实除臭系统安全生产主体责任，须按照属地环保、应急管理及街道等主管部门要求完成项目报备。</w:t>
            </w:r>
          </w:p>
          <w:p>
            <w:pPr>
              <w:pStyle w:val="null3"/>
            </w:pPr>
            <w:r>
              <w:rPr>
                <w:rFonts w:ascii="仿宋_GB2312" w:hAnsi="仿宋_GB2312" w:cs="仿宋_GB2312" w:eastAsia="仿宋_GB2312"/>
              </w:rPr>
              <w:t>（2）如发生安全或环保事件，投标人应按照应急预案程序第一时间向相关部门报告，并根据情况同步告知市污水中心。</w:t>
            </w:r>
          </w:p>
          <w:p>
            <w:pPr>
              <w:pStyle w:val="null3"/>
            </w:pPr>
            <w:r>
              <w:rPr>
                <w:rFonts w:ascii="仿宋_GB2312" w:hAnsi="仿宋_GB2312" w:cs="仿宋_GB2312" w:eastAsia="仿宋_GB2312"/>
              </w:rPr>
              <w:t>（3）投标人应严格遵守污水厂排污许可证中的各项管理要求，确保臭气达标排放。</w:t>
            </w:r>
          </w:p>
          <w:p>
            <w:pPr>
              <w:pStyle w:val="null3"/>
            </w:pPr>
            <w:r>
              <w:rPr>
                <w:rFonts w:ascii="仿宋_GB2312" w:hAnsi="仿宋_GB2312" w:cs="仿宋_GB2312" w:eastAsia="仿宋_GB2312"/>
              </w:rPr>
              <w:t>2、人员安全方面</w:t>
            </w:r>
          </w:p>
          <w:p>
            <w:pPr>
              <w:pStyle w:val="null3"/>
            </w:pPr>
            <w:r>
              <w:rPr>
                <w:rFonts w:ascii="仿宋_GB2312" w:hAnsi="仿宋_GB2312" w:cs="仿宋_GB2312" w:eastAsia="仿宋_GB2312"/>
              </w:rPr>
              <w:t>（1）运维人员要求着装统一且有明显标识，且遵守厂区规章制度。</w:t>
            </w:r>
          </w:p>
          <w:p>
            <w:pPr>
              <w:pStyle w:val="null3"/>
            </w:pPr>
            <w:r>
              <w:rPr>
                <w:rFonts w:ascii="仿宋_GB2312" w:hAnsi="仿宋_GB2312" w:cs="仿宋_GB2312" w:eastAsia="仿宋_GB2312"/>
              </w:rPr>
              <w:t>（2）投标人委派运维人员入场前，须完成运维人员安全教育培训并考核合格后，经工作场地管理单位安全教育培训后办理工作证上岗，在工作期间应接受设施所在单位统一管理协调，遵守相关制度，并与其签署安全生产管理协议，全面落实安全生产主体责任。</w:t>
            </w:r>
          </w:p>
          <w:p>
            <w:pPr>
              <w:pStyle w:val="null3"/>
            </w:pPr>
            <w:r>
              <w:rPr>
                <w:rFonts w:ascii="仿宋_GB2312" w:hAnsi="仿宋_GB2312" w:cs="仿宋_GB2312" w:eastAsia="仿宋_GB2312"/>
              </w:rPr>
              <w:t>3、现场安全方面</w:t>
            </w:r>
          </w:p>
          <w:p>
            <w:pPr>
              <w:pStyle w:val="null3"/>
            </w:pPr>
            <w:r>
              <w:rPr>
                <w:rFonts w:ascii="仿宋_GB2312" w:hAnsi="仿宋_GB2312" w:cs="仿宋_GB2312" w:eastAsia="仿宋_GB2312"/>
              </w:rPr>
              <w:t>（1）投标人须为除臭加盖系统树立公示牌，公示内容应包含中标单位名称、风险识别、责任人等信息。</w:t>
            </w:r>
          </w:p>
          <w:p>
            <w:pPr>
              <w:pStyle w:val="null3"/>
            </w:pPr>
            <w:r>
              <w:rPr>
                <w:rFonts w:ascii="仿宋_GB2312" w:hAnsi="仿宋_GB2312" w:cs="仿宋_GB2312" w:eastAsia="仿宋_GB2312"/>
              </w:rPr>
              <w:t>（2）运维单位如发现安全隐患，应及时消除。</w:t>
            </w:r>
          </w:p>
          <w:p>
            <w:pPr>
              <w:pStyle w:val="null3"/>
            </w:pPr>
            <w:r>
              <w:rPr>
                <w:rFonts w:ascii="仿宋_GB2312" w:hAnsi="仿宋_GB2312" w:cs="仿宋_GB2312" w:eastAsia="仿宋_GB2312"/>
              </w:rPr>
              <w:t>八、其他服务内容</w:t>
            </w:r>
          </w:p>
          <w:p>
            <w:pPr>
              <w:pStyle w:val="null3"/>
            </w:pPr>
            <w:r>
              <w:rPr>
                <w:rFonts w:ascii="仿宋_GB2312" w:hAnsi="仿宋_GB2312" w:cs="仿宋_GB2312" w:eastAsia="仿宋_GB2312"/>
              </w:rPr>
              <w:t>1、投标人应确保经处理后臭气达标排放，如遇周边居民投诉，应与市污水中心、水厂运营单位配合共同处理投诉回复，各自开展检测。</w:t>
            </w:r>
          </w:p>
          <w:p>
            <w:pPr>
              <w:pStyle w:val="null3"/>
            </w:pPr>
            <w:r>
              <w:rPr>
                <w:rFonts w:ascii="仿宋_GB2312" w:hAnsi="仿宋_GB2312" w:cs="仿宋_GB2312" w:eastAsia="仿宋_GB2312"/>
              </w:rPr>
              <w:t>2、因除臭系统发生设备故障、滤料失活、工艺问题等给市污水中心、水厂运营单位造成的损失由投标人承担。</w:t>
            </w:r>
          </w:p>
          <w:p>
            <w:pPr>
              <w:pStyle w:val="null3"/>
            </w:pPr>
            <w:r>
              <w:rPr>
                <w:rFonts w:ascii="仿宋_GB2312" w:hAnsi="仿宋_GB2312" w:cs="仿宋_GB2312" w:eastAsia="仿宋_GB2312"/>
              </w:rPr>
              <w:t>3、投标人需自行解决办公、食宿问题，所产生的生活、生产垃圾应日产日清。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1、项目完工后，中标人向采购人提交验收申请。 2、采购人收到验收申请后组织验收，验收时中标人应无条件予以配合并提供验收所需的全部资料，若中标人不配合或者未按合同要求提供服务的，采购人将拒绝验收。 3、验收依据 1、招标文件、投标文件、澄清表（函）； 2、采购合同及附件文件；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2026年项目验收合格后结合合同履约情况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1、按《中华人民共和国民法典》中的相关条款的约定执行。 2、未按采购合同、投标文件要求提供产品、服务，或供应的产品、服务质量不能满足采购人技术要求，经书面告知在合理期限内整改但仍不予调整的，采购人有权终止合同，甚至对投标人违约行为进行追究。 3、任何一方有其他违反采购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本项目政府采购工作，投标人须在陕西省政府采购电子化交易平台上传电子版响应文件并完成签章、加密，同时，线下递交纸质版响应文件正本一份、副本一份。若电子版响应文件与纸质版响应文件不一致的，以陕西省政府采购电子化交易平台上传的电子版响应文件为准。纸质版响应文件递交截止时间同开标截止时间，递交地点为西安市高新区书香名邸B座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自投标之日起不少于90个日历日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售后服务方案.docx 投标人认为有必要说明的其他资料.docx 服务保障措施.docx 中小企业声明函 运维服务方案.docx 项目实施方案.docx 服务偏离表.docx 资格证明文件.docx 项目团队配备.docx 分项报价表.docx 应急预案.docx 投标函 残疾人福利性单位声明函 投标人承诺函.docx 标的清单 投标文件封面 安全管理方案.docx 商务偏离表.docx 监狱企业的证明文件 项目理解及重难点分析.docx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投标文件商务条款</w:t>
            </w:r>
          </w:p>
        </w:tc>
        <w:tc>
          <w:tcPr>
            <w:tcW w:type="dxa" w:w="3322"/>
          </w:tcPr>
          <w:p>
            <w:pPr>
              <w:pStyle w:val="null3"/>
            </w:pPr>
            <w:r>
              <w:rPr>
                <w:rFonts w:ascii="仿宋_GB2312" w:hAnsi="仿宋_GB2312" w:cs="仿宋_GB2312" w:eastAsia="仿宋_GB2312"/>
              </w:rPr>
              <w:t>符合招标文件商务条款，无重大保留或偏差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无不符合法律法规或招标文件规定的响应无效条款</w:t>
            </w:r>
          </w:p>
        </w:tc>
        <w:tc>
          <w:tcPr>
            <w:tcW w:type="dxa" w:w="1661"/>
          </w:tcPr>
          <w:p>
            <w:pPr>
              <w:pStyle w:val="null3"/>
            </w:pPr>
            <w:r>
              <w:rPr>
                <w:rFonts w:ascii="仿宋_GB2312" w:hAnsi="仿宋_GB2312" w:cs="仿宋_GB2312" w:eastAsia="仿宋_GB2312"/>
              </w:rPr>
              <w:t>报价一览表.docx 售后服务方案.docx 投标人认为有必要说明的其他资料.docx 服务保障措施.docx 中小企业声明函 运维服务方案.docx 项目实施方案.docx 服务偏离表.docx 资格证明文件.docx 项目团队配备.docx 分项报价表.docx 应急预案.docx 投标函 残疾人福利性单位声明函 投标人承诺函.docx 标的清单 投标文件封面 安全管理方案.docx 商务偏离表.docx 监狱企业的证明文件 项目理解及重难点分析.docx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一、评审内容 针对本项目提供项目理解及重难点分析，包括但不限于①项目背景、内容及意义的理解；②项目重点难点分析及应对措施。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三、赋分依据（满分6分） ①项目背景、内容及意义的理解：每完全满足一个评审标准得1分，满分3分。 ②项目重点难点分析及应对措施：每完全满足一个评审标准得1分，满分3分。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项目理解及重难点分析.docx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一、评审内容 针对本项目提供运维服务方案，包括但不限于①运维管理及日常巡检方案；②设备设施维修；③设备保养方案；④设施设备定期清洁方案；⑤除臭加盖项目设备备品备件；⑥ 臭气指标检测和生物除臭系统内的微生物检测方式及方法；⑦拟投入的检测设备和仪器； 二、评审标准 1、完整性：方案须全面，对评审内容中的各项要求有详细描述； 2、可实施性：切合本项目实际情况，实施步骤清晰、合理； 3、针对性：方案能够紧扣项目实际情况，内容科学合理。 三、赋分依据（满分21分） ①运维管理及日常巡检方案：每完全满足一个评审标准得1分，满分3分。 ②设备设施维修：每完全满足一个评审标准得1分，满分3分。 ③设备保养方案：每完全满足一个评审标准得1分，满分3分。 ④设施设备定期清洁方案：每完全满足一个评审标准得1分，满分3分。 ⑤除臭加盖项目设备备品备件：每完全满足一个评审标准得1分，满分3分。 ⑥臭气指标检测和生物除臭系统内的微生物检测方式及方法：每完全满足一个评审标准得1分，满分3分。 ⑦拟投入的检测设备和仪器：每完全满足一个评审标准得1分，满分3分。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针对本项目提供项目实施方案，包括但不限于①项目实施计划和方案；②服务期内各项工作的进度安排及保障措施；③针对各类突发状况的不同应急措施；④后期验收方案。 二、评审标准 1、完整性：方案须全面，对评审内容中的各项要求有详细描述； 2、可实施性：切合本项目实际情况，实施步骤清晰、合理； 3、针对性：方案能够紧扣项目实际情况，内容科学合理。 三、赋分依据（满分12分） ①项目实施计划和方案：每完全满足一个评审标准得1分，满分3分。 ②服务期内各项工作的进度安排及保障措施：每完全满足一个评审标准得1分，满分3分。 ③针对各类突发状况的不同应急措施：每完全满足一个评审标准得1分，满分3分。 ④后期验收方案：每完全满足一个评审标准得1分，满分3分。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针对本项目提供服务保障措施，包括但不限于①对臭气处理工艺、臭气达标排放的技术要点、技术保证措施；②服务质量保障措施；③项目设备设施安全运行保证措施；④检测数据质量保障措施。 二、评审标准 1、完整性：方案须全面，对评审内容中的各项要求有详细描述； 2、可实施性：切合本项目实际情况，实施步骤清晰、合理； 3、针对性：方案能够紧扣项目实际情况，内容科学合理。 三、赋分依据（满分12分） ①对臭气处理工艺、臭气达标排放的技术要点、技术保证措施：每完全满足一个评审标准得1分，满分3分。 ②服务质量保障措施：每完全满足一个评审标准得1分，满分3分。 ③项目设备设施安全运行保证措施：每完全满足一个评审标准得1分，满分3分。 ④检测数据质量保障措施：每完全满足一个评审标准得1分，满分3分。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服务保障措施.docx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一、评审内容 针对本项目提供安全管理方案，包括但不限于①人员安全管理方案；②现场安全管理方案。 二、评审标准 1、完整性：方案须全面，对评审内容中的各项要求有详细描述； 2、可实施性：切合本项目实际情况，实施步骤清晰、合理； 3、针对性：方案能够紧扣项目实际情况，内容科学合理。 三、赋分依据（满分6分） ①人员安全管理方案：每完全满足一个评审标准得1分，满分3分。 ②现场安全管理方案：每完全满足一个评审标准得1分，满分3分。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安全管理方案.docx</w:t>
            </w:r>
          </w:p>
        </w:tc>
      </w:tr>
      <w:tr>
        <w:tc>
          <w:tcPr>
            <w:tcW w:type="dxa" w:w="831"/>
            <w:vMerge/>
          </w:tcPr>
          <w:p/>
        </w:tc>
        <w:tc>
          <w:tcPr>
            <w:tcW w:type="dxa" w:w="1661"/>
          </w:tcPr>
          <w:p>
            <w:pPr>
              <w:pStyle w:val="null3"/>
            </w:pPr>
            <w:r>
              <w:rPr>
                <w:rFonts w:ascii="仿宋_GB2312" w:hAnsi="仿宋_GB2312" w:cs="仿宋_GB2312" w:eastAsia="仿宋_GB2312"/>
              </w:rPr>
              <w:t>项目团队能力</w:t>
            </w:r>
          </w:p>
        </w:tc>
        <w:tc>
          <w:tcPr>
            <w:tcW w:type="dxa" w:w="2492"/>
          </w:tcPr>
          <w:p>
            <w:pPr>
              <w:pStyle w:val="null3"/>
            </w:pPr>
            <w:r>
              <w:rPr>
                <w:rFonts w:ascii="仿宋_GB2312" w:hAnsi="仿宋_GB2312" w:cs="仿宋_GB2312" w:eastAsia="仿宋_GB2312"/>
              </w:rPr>
              <w:t>1、项目团队人员每有1人持有特种设备安全管理和作业人员证得1分，本项最高的2分。 2、项目团队人员每有1人持有特种作业操作证（低压电工作业、高处作业、焊接与热切割作业等与项目实施相关专业），每提供1个计1分，本项最高的7分。 注：1.以上人员若一人具有多个资格证，可重复加分；2.投标人须提供证明上述人员为本单位人员的证明材料（近6个月社保缴纳证明），不提供不计分。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项目团队配备.docx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一、评审内容 针对本项目提供项目团队人员配备，包括但不限于：①项目服务团队架构及工作人员投入计划；②项目人员岗位划分、工作职责及项目人员管理制度。 二、评审标准 1、完整性：方案须全面，对评审内容中的各项要求有详细描述； 2、可实施性：切合本项目实际情况，实施步骤清晰、合理； 3、针对性：方案能够紧扣项目实际情况，内容科学合理。 三、赋分依据（满分6分） ①项目服务团队架构及工作人员投入计划：每完全满足一个评审标准得1分，满分3分； ②项目人员岗位划分、工作职责及项目人员管理制度：每完全满足一个评审标准得1分，满分3分。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项目团队配备.docx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针对本项目提供应急预案，包括但不限于①紧急情况及突发事件处理方案；②应急服务人员及服务保障。 二、评审标准 1、完整性：方案须全面，对评审内容中的各项要求有详细描述； 2、可实施性：切合本项目实际情况，实施步骤清晰、合理； 3、针对性：方案能够紧扣项目实际情况，内容科学合理。 三、赋分依据（满分6分） ①紧急情况及突发事件处理方案：每完全满足一个评审标准得1分，满分3分。 ②应急服务人员及服务有保障：每完全满足一个评审标准得1分，满分3分。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针对本项目提供售后服务方案，包括但不限于①售后响应时效及问题解决时效；②售后服务方案；③健全的售后服务机构、配备专职售后人员；④设备设施出现故障后的补救措施。 二、评审标准 1、完整性：方案须全面，对评审内容中的各项要求有详细描述； 2、可实施性：切合本项目实际情况，实施步骤清晰、合理； 3、针对性：方案能够紧扣项目实际情况，内容科学合理。 三、赋分依据（满分12分） ①售后响应时效及问题解决时效：每完全满足一个评审标准得1分，满分3分。 ②售后服务方案：每完全满足一个评审标准得1分，满分3分。 ③健全的售后服务机构、配备专职售后人员：每完全满足一个评审标准得1分，满分3分。 ④设备设施出现故障后的补救措施：每完全满足一个评审标准得1分，满分3分。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审基准价，其价格分为满分。其他投标人的价格分统一按照下列公式计算：投标报价得分=(评审基准价／投标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报价一览表.docx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详见附件：投标人承诺函.docx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详见附件：项目理解及重难点分析.docx</w:t>
      </w:r>
    </w:p>
    <w:p>
      <w:pPr>
        <w:pStyle w:val="null3"/>
        <w:ind w:firstLine="960"/>
      </w:pPr>
      <w:r>
        <w:rPr>
          <w:rFonts w:ascii="仿宋_GB2312" w:hAnsi="仿宋_GB2312" w:cs="仿宋_GB2312" w:eastAsia="仿宋_GB2312"/>
        </w:rPr>
        <w:t>详见附件：运维服务方案.docx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详见附件：服务保障措施.docx</w:t>
      </w:r>
    </w:p>
    <w:p>
      <w:pPr>
        <w:pStyle w:val="null3"/>
        <w:ind w:firstLine="960"/>
      </w:pPr>
      <w:r>
        <w:rPr>
          <w:rFonts w:ascii="仿宋_GB2312" w:hAnsi="仿宋_GB2312" w:cs="仿宋_GB2312" w:eastAsia="仿宋_GB2312"/>
        </w:rPr>
        <w:t>详见附件：安全管理方案.docx</w:t>
      </w:r>
    </w:p>
    <w:p>
      <w:pPr>
        <w:pStyle w:val="null3"/>
        <w:ind w:firstLine="960"/>
      </w:pPr>
      <w:r>
        <w:rPr>
          <w:rFonts w:ascii="仿宋_GB2312" w:hAnsi="仿宋_GB2312" w:cs="仿宋_GB2312" w:eastAsia="仿宋_GB2312"/>
        </w:rPr>
        <w:t>详见附件：项目团队配备.docx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