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2D19F">
      <w:pPr>
        <w:pStyle w:val="6"/>
        <w:keepNext w:val="0"/>
        <w:keepLines w:val="0"/>
        <w:pageBreakBefore w:val="0"/>
        <w:widowControl w:val="0"/>
        <w:tabs>
          <w:tab w:val="left" w:pos="1470"/>
        </w:tabs>
        <w:kinsoku/>
        <w:wordWrap/>
        <w:overflowPunct/>
        <w:topLinePunct w:val="0"/>
        <w:autoSpaceDE w:val="0"/>
        <w:autoSpaceDN w:val="0"/>
        <w:bidi w:val="0"/>
        <w:adjustRightInd w:val="0"/>
        <w:snapToGrid/>
        <w:ind w:left="0" w:right="0" w:firstLine="0"/>
        <w:jc w:val="center"/>
        <w:textAlignment w:val="baseline"/>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西安市第一、第二污水处理厂二期除臭加盖运营维护项目</w:t>
      </w:r>
    </w:p>
    <w:p w14:paraId="02C5F845">
      <w:pPr>
        <w:spacing w:before="156" w:after="156"/>
        <w:ind w:right="17" w:hanging="420"/>
        <w:jc w:val="center"/>
        <w:rPr>
          <w:rFonts w:hint="eastAsia" w:ascii="仿宋" w:hAnsi="仿宋" w:eastAsia="仿宋" w:cs="仿宋"/>
          <w:b/>
          <w:color w:val="auto"/>
          <w:kern w:val="0"/>
          <w:sz w:val="48"/>
          <w:szCs w:val="48"/>
          <w:highlight w:val="none"/>
        </w:rPr>
      </w:pPr>
    </w:p>
    <w:p w14:paraId="394F65B6">
      <w:pPr>
        <w:pStyle w:val="5"/>
        <w:rPr>
          <w:rFonts w:hint="eastAsia" w:ascii="仿宋" w:hAnsi="仿宋" w:eastAsia="仿宋" w:cs="仿宋"/>
          <w:b/>
          <w:color w:val="auto"/>
          <w:kern w:val="0"/>
          <w:sz w:val="48"/>
          <w:szCs w:val="48"/>
          <w:highlight w:val="none"/>
        </w:rPr>
      </w:pPr>
    </w:p>
    <w:p w14:paraId="5DE4D4CF">
      <w:pPr>
        <w:rPr>
          <w:rFonts w:hint="eastAsia" w:ascii="仿宋" w:hAnsi="仿宋" w:eastAsia="仿宋" w:cs="仿宋"/>
          <w:highlight w:val="none"/>
        </w:rPr>
      </w:pPr>
    </w:p>
    <w:p w14:paraId="59B60717">
      <w:pPr>
        <w:rPr>
          <w:rFonts w:hint="eastAsia" w:ascii="仿宋" w:hAnsi="仿宋" w:eastAsia="仿宋" w:cs="仿宋"/>
          <w:b w:val="0"/>
          <w:color w:val="000000"/>
          <w:kern w:val="2"/>
          <w:sz w:val="21"/>
          <w:szCs w:val="20"/>
          <w:highlight w:val="none"/>
        </w:rPr>
      </w:pPr>
    </w:p>
    <w:p w14:paraId="22C0B32B">
      <w:pPr>
        <w:spacing w:before="156" w:after="156"/>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委托运营协议</w:t>
      </w:r>
    </w:p>
    <w:p w14:paraId="282B1BDD">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55E8F338">
      <w:pPr>
        <w:spacing w:before="156" w:after="156"/>
        <w:rPr>
          <w:rFonts w:hint="eastAsia" w:ascii="仿宋" w:hAnsi="仿宋" w:eastAsia="仿宋" w:cs="仿宋"/>
          <w:b/>
          <w:color w:val="auto"/>
          <w:kern w:val="0"/>
          <w:sz w:val="48"/>
          <w:szCs w:val="48"/>
          <w:highlight w:val="none"/>
        </w:rPr>
      </w:pPr>
    </w:p>
    <w:p w14:paraId="684828E9">
      <w:pPr>
        <w:spacing w:before="156" w:after="156"/>
        <w:rPr>
          <w:rFonts w:hint="eastAsia" w:ascii="仿宋" w:hAnsi="仿宋" w:eastAsia="仿宋" w:cs="仿宋"/>
          <w:sz w:val="28"/>
          <w:szCs w:val="28"/>
          <w:highlight w:val="none"/>
        </w:rPr>
      </w:pPr>
    </w:p>
    <w:p w14:paraId="3CD1FC7C">
      <w:pPr>
        <w:spacing w:before="156" w:after="156" w:line="288" w:lineRule="auto"/>
        <w:jc w:val="left"/>
        <w:rPr>
          <w:rFonts w:hint="eastAsia" w:ascii="仿宋" w:hAnsi="仿宋" w:eastAsia="仿宋" w:cs="仿宋"/>
          <w:b/>
          <w:sz w:val="32"/>
          <w:szCs w:val="32"/>
          <w:highlight w:val="none"/>
        </w:rPr>
      </w:pPr>
    </w:p>
    <w:p w14:paraId="748D25DC">
      <w:pPr>
        <w:pStyle w:val="5"/>
        <w:rPr>
          <w:rFonts w:hint="eastAsia" w:ascii="仿宋" w:hAnsi="仿宋" w:eastAsia="仿宋" w:cs="仿宋"/>
          <w:b/>
          <w:sz w:val="32"/>
          <w:szCs w:val="32"/>
          <w:highlight w:val="none"/>
        </w:rPr>
      </w:pPr>
    </w:p>
    <w:p w14:paraId="6AB97561">
      <w:pPr>
        <w:rPr>
          <w:rFonts w:hint="eastAsia" w:ascii="仿宋" w:hAnsi="仿宋" w:eastAsia="仿宋" w:cs="仿宋"/>
          <w:b/>
          <w:sz w:val="32"/>
          <w:szCs w:val="32"/>
          <w:highlight w:val="none"/>
        </w:rPr>
      </w:pPr>
    </w:p>
    <w:p w14:paraId="4EE9F778">
      <w:pPr>
        <w:pStyle w:val="5"/>
        <w:rPr>
          <w:rFonts w:hint="eastAsia" w:ascii="仿宋" w:hAnsi="仿宋" w:eastAsia="仿宋" w:cs="仿宋"/>
          <w:b/>
          <w:sz w:val="32"/>
          <w:szCs w:val="32"/>
          <w:highlight w:val="none"/>
        </w:rPr>
      </w:pPr>
    </w:p>
    <w:p w14:paraId="3BB181D9">
      <w:pPr>
        <w:rPr>
          <w:rFonts w:hint="eastAsia" w:ascii="仿宋" w:hAnsi="仿宋" w:eastAsia="仿宋" w:cs="仿宋"/>
          <w:highlight w:val="none"/>
        </w:rPr>
      </w:pPr>
    </w:p>
    <w:p w14:paraId="114A2A87">
      <w:pPr>
        <w:pStyle w:val="5"/>
        <w:rPr>
          <w:rFonts w:hint="eastAsia" w:ascii="仿宋" w:hAnsi="仿宋" w:eastAsia="仿宋" w:cs="仿宋"/>
          <w:b/>
          <w:sz w:val="28"/>
          <w:szCs w:val="20"/>
          <w:highlight w:val="none"/>
        </w:rPr>
      </w:pPr>
    </w:p>
    <w:p w14:paraId="25A46F86">
      <w:pPr>
        <w:keepNext w:val="0"/>
        <w:keepLines w:val="0"/>
        <w:pageBreakBefore w:val="0"/>
        <w:kinsoku/>
        <w:wordWrap/>
        <w:overflowPunct/>
        <w:topLinePunct w:val="0"/>
        <w:bidi w:val="0"/>
        <w:snapToGrid/>
        <w:spacing w:line="360" w:lineRule="auto"/>
        <w:ind w:left="0" w:leftChars="0" w:firstLine="3360" w:firstLineChars="1400"/>
        <w:jc w:val="left"/>
        <w:textAlignment w:val="auto"/>
        <w:rPr>
          <w:rFonts w:hint="eastAsia" w:ascii="仿宋" w:hAnsi="仿宋" w:eastAsia="仿宋" w:cs="仿宋"/>
          <w:b/>
          <w:sz w:val="32"/>
          <w:szCs w:val="32"/>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b/>
          <w:sz w:val="32"/>
          <w:szCs w:val="32"/>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b/>
          <w:sz w:val="32"/>
          <w:szCs w:val="32"/>
          <w:highlight w:val="none"/>
        </w:rPr>
        <w:t>月</w:t>
      </w:r>
    </w:p>
    <w:p w14:paraId="4A95731B">
      <w:pPr>
        <w:keepNext w:val="0"/>
        <w:keepLines w:val="0"/>
        <w:pageBreakBefore w:val="0"/>
        <w:kinsoku/>
        <w:wordWrap/>
        <w:overflowPunct/>
        <w:topLinePunct w:val="0"/>
        <w:bidi w:val="0"/>
        <w:snapToGrid/>
        <w:spacing w:line="360" w:lineRule="auto"/>
        <w:ind w:firstLine="723" w:firstLineChars="200"/>
        <w:jc w:val="left"/>
        <w:textAlignment w:val="auto"/>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br w:type="page"/>
      </w:r>
    </w:p>
    <w:p w14:paraId="7D8DC642">
      <w:pPr>
        <w:keepNext w:val="0"/>
        <w:keepLines w:val="0"/>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本协议由以下各方于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月＿日</w:t>
      </w:r>
      <w:r>
        <w:rPr>
          <w:rFonts w:hint="eastAsia" w:ascii="仿宋" w:hAnsi="仿宋" w:eastAsia="仿宋" w:cs="仿宋"/>
          <w:sz w:val="24"/>
          <w:szCs w:val="24"/>
          <w:highlight w:val="none"/>
        </w:rPr>
        <w:t>签署：</w:t>
      </w:r>
    </w:p>
    <w:p w14:paraId="04D4F3B7">
      <w:pPr>
        <w:pStyle w:val="13"/>
        <w:keepNext w:val="0"/>
        <w:keepLines w:val="0"/>
        <w:pageBreakBefore w:val="0"/>
        <w:kinsoku/>
        <w:wordWrap/>
        <w:overflowPunct/>
        <w:topLinePunct w:val="0"/>
        <w:bidi w:val="0"/>
        <w:adjustRightInd w:val="0"/>
        <w:snapToGrid w:val="0"/>
        <w:spacing w:beforeLines="0" w:after="0" w:line="360" w:lineRule="auto"/>
        <w:ind w:left="0" w:leftChars="0"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rPr>
        <w:t>【甲方】西安市污水处理管理中心，系按照中华人民共和国法律正式组织和存在的西安市人民政府（下称“</w:t>
      </w:r>
      <w:r>
        <w:rPr>
          <w:rFonts w:hint="eastAsia" w:ascii="仿宋" w:hAnsi="仿宋" w:eastAsia="仿宋" w:cs="仿宋"/>
          <w:b/>
          <w:szCs w:val="24"/>
          <w:highlight w:val="none"/>
        </w:rPr>
        <w:t>西安市政府</w:t>
      </w:r>
      <w:r>
        <w:rPr>
          <w:rFonts w:hint="eastAsia" w:ascii="仿宋" w:hAnsi="仿宋" w:eastAsia="仿宋" w:cs="仿宋"/>
          <w:szCs w:val="24"/>
          <w:highlight w:val="none"/>
        </w:rPr>
        <w:t>”）的职能部门，（下称“</w:t>
      </w:r>
      <w:r>
        <w:rPr>
          <w:rFonts w:hint="eastAsia" w:ascii="仿宋" w:hAnsi="仿宋" w:eastAsia="仿宋" w:cs="仿宋"/>
          <w:b/>
          <w:szCs w:val="24"/>
          <w:highlight w:val="none"/>
        </w:rPr>
        <w:t>市污水中心</w:t>
      </w:r>
      <w:r>
        <w:rPr>
          <w:rFonts w:hint="eastAsia" w:ascii="仿宋" w:hAnsi="仿宋" w:eastAsia="仿宋" w:cs="仿宋"/>
          <w:szCs w:val="24"/>
          <w:highlight w:val="none"/>
        </w:rPr>
        <w:t>”），</w:t>
      </w:r>
    </w:p>
    <w:p w14:paraId="5B7E6644">
      <w:pPr>
        <w:pStyle w:val="13"/>
        <w:keepNext w:val="0"/>
        <w:keepLines w:val="0"/>
        <w:pageBreakBefore w:val="0"/>
        <w:kinsoku/>
        <w:wordWrap/>
        <w:overflowPunct/>
        <w:topLinePunct w:val="0"/>
        <w:bidi w:val="0"/>
        <w:adjustRightInd w:val="0"/>
        <w:snapToGrid w:val="0"/>
        <w:spacing w:beforeLines="0" w:after="0" w:line="360" w:lineRule="auto"/>
        <w:ind w:left="0" w:leftChars="0"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rPr>
        <w:t>和【乙方】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公司，系按照中华人民共和国法律正式设立、登记注册及运作的企业，(下称“运营公司”)。</w:t>
      </w:r>
    </w:p>
    <w:p w14:paraId="61F6A5E6">
      <w:pPr>
        <w:pStyle w:val="8"/>
        <w:keepNext w:val="0"/>
        <w:keepLines w:val="0"/>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仿宋" w:hAnsi="仿宋" w:eastAsia="仿宋" w:cs="仿宋"/>
          <w:szCs w:val="24"/>
          <w:highlight w:val="none"/>
        </w:rPr>
      </w:pPr>
      <w:r>
        <w:rPr>
          <w:rFonts w:hint="eastAsia" w:ascii="仿宋" w:hAnsi="仿宋" w:eastAsia="仿宋" w:cs="仿宋"/>
          <w:szCs w:val="24"/>
          <w:highlight w:val="none"/>
        </w:rPr>
        <w:t>鉴于：</w:t>
      </w:r>
    </w:p>
    <w:p w14:paraId="18BE9C79">
      <w:pPr>
        <w:keepNext w:val="0"/>
        <w:keepLines w:val="0"/>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仿宋" w:hAnsi="仿宋" w:eastAsia="仿宋" w:cs="仿宋"/>
          <w:b/>
          <w:snapToGrid w:val="0"/>
          <w:sz w:val="24"/>
          <w:szCs w:val="24"/>
          <w:highlight w:val="none"/>
        </w:rPr>
      </w:pPr>
      <w:r>
        <w:rPr>
          <w:rFonts w:hint="eastAsia" w:ascii="仿宋" w:hAnsi="仿宋" w:eastAsia="仿宋" w:cs="仿宋"/>
          <w:snapToGrid w:val="0"/>
          <w:sz w:val="24"/>
          <w:szCs w:val="24"/>
          <w:highlight w:val="none"/>
        </w:rPr>
        <w:t>202</w:t>
      </w:r>
      <w:r>
        <w:rPr>
          <w:rFonts w:hint="eastAsia" w:ascii="仿宋" w:hAnsi="仿宋" w:eastAsia="仿宋" w:cs="仿宋"/>
          <w:snapToGrid w:val="0"/>
          <w:sz w:val="24"/>
          <w:szCs w:val="24"/>
          <w:highlight w:val="none"/>
          <w:lang w:val="en-US" w:eastAsia="zh-CN"/>
        </w:rPr>
        <w:t>5</w:t>
      </w:r>
      <w:r>
        <w:rPr>
          <w:rFonts w:hint="eastAsia" w:ascii="仿宋" w:hAnsi="仿宋" w:eastAsia="仿宋" w:cs="仿宋"/>
          <w:snapToGrid w:val="0"/>
          <w:sz w:val="24"/>
          <w:szCs w:val="24"/>
          <w:highlight w:val="none"/>
        </w:rPr>
        <w:t>年</w:t>
      </w:r>
      <w:r>
        <w:rPr>
          <w:rFonts w:hint="eastAsia" w:ascii="仿宋" w:hAnsi="仿宋" w:eastAsia="仿宋" w:cs="仿宋"/>
          <w:snapToGrid w:val="0"/>
          <w:sz w:val="24"/>
          <w:szCs w:val="24"/>
          <w:highlight w:val="none"/>
          <w:u w:val="single"/>
        </w:rPr>
        <w:t xml:space="preserve">  </w:t>
      </w:r>
      <w:r>
        <w:rPr>
          <w:rFonts w:hint="eastAsia" w:ascii="仿宋" w:hAnsi="仿宋" w:eastAsia="仿宋" w:cs="仿宋"/>
          <w:snapToGrid w:val="0"/>
          <w:sz w:val="24"/>
          <w:szCs w:val="24"/>
          <w:highlight w:val="none"/>
        </w:rPr>
        <w:t>月，西安市污水处理管理中心通过公开招标的方式，确定</w:t>
      </w:r>
      <w:r>
        <w:rPr>
          <w:rFonts w:hint="eastAsia" w:ascii="仿宋" w:hAnsi="仿宋" w:eastAsia="仿宋" w:cs="仿宋"/>
          <w:color w:val="auto"/>
          <w:sz w:val="24"/>
          <w:szCs w:val="24"/>
          <w:highlight w:val="none"/>
          <w:u w:val="single"/>
        </w:rPr>
        <w:t xml:space="preserve">       公司</w:t>
      </w:r>
      <w:r>
        <w:rPr>
          <w:rFonts w:hint="eastAsia" w:ascii="仿宋" w:hAnsi="仿宋" w:eastAsia="仿宋" w:cs="仿宋"/>
          <w:color w:val="auto"/>
          <w:sz w:val="24"/>
          <w:szCs w:val="24"/>
          <w:highlight w:val="none"/>
        </w:rPr>
        <w:t>为</w:t>
      </w:r>
      <w:r>
        <w:rPr>
          <w:rFonts w:hint="eastAsia" w:ascii="仿宋" w:hAnsi="仿宋" w:eastAsia="仿宋" w:cs="仿宋"/>
          <w:color w:val="auto"/>
          <w:sz w:val="24"/>
          <w:szCs w:val="24"/>
          <w:highlight w:val="none"/>
          <w:u w:val="single"/>
        </w:rPr>
        <w:t>西安市第一、第二污水处理厂二期除臭加盖运营维护项目</w:t>
      </w:r>
      <w:r>
        <w:rPr>
          <w:rFonts w:hint="eastAsia" w:ascii="仿宋" w:hAnsi="仿宋" w:eastAsia="仿宋" w:cs="仿宋"/>
          <w:snapToGrid w:val="0"/>
          <w:sz w:val="24"/>
          <w:szCs w:val="24"/>
          <w:highlight w:val="none"/>
        </w:rPr>
        <w:t>中标人，负责</w:t>
      </w:r>
      <w:r>
        <w:rPr>
          <w:rFonts w:hint="eastAsia" w:ascii="仿宋" w:hAnsi="仿宋" w:eastAsia="仿宋" w:cs="仿宋"/>
          <w:snapToGrid w:val="0"/>
          <w:sz w:val="24"/>
          <w:szCs w:val="24"/>
          <w:highlight w:val="none"/>
          <w:u w:val="single"/>
        </w:rPr>
        <w:t>西安市第一、第二污水处理厂二期除臭加盖运营维护项目</w:t>
      </w:r>
      <w:r>
        <w:rPr>
          <w:rFonts w:hint="eastAsia" w:ascii="仿宋" w:hAnsi="仿宋" w:eastAsia="仿宋" w:cs="仿宋"/>
          <w:snapToGrid w:val="0"/>
          <w:sz w:val="24"/>
          <w:szCs w:val="24"/>
          <w:highlight w:val="none"/>
        </w:rPr>
        <w:t>的运行维护。</w:t>
      </w:r>
    </w:p>
    <w:p w14:paraId="2CF640B4">
      <w:pPr>
        <w:pStyle w:val="7"/>
        <w:keepNext w:val="0"/>
        <w:keepLines w:val="0"/>
        <w:pageBreakBefore w:val="0"/>
        <w:kinsoku/>
        <w:wordWrap/>
        <w:overflowPunct/>
        <w:topLinePunct w:val="0"/>
        <w:bidi w:val="0"/>
        <w:adjustRightInd w:val="0"/>
        <w:snapToGrid w:val="0"/>
        <w:spacing w:line="360" w:lineRule="auto"/>
        <w:ind w:left="0" w:leftChars="0" w:righ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依据中华人民共和国有关法律、法规的规定，双方就</w:t>
      </w:r>
      <w:r>
        <w:rPr>
          <w:rFonts w:hint="eastAsia" w:ascii="仿宋" w:hAnsi="仿宋" w:eastAsia="仿宋" w:cs="仿宋"/>
          <w:color w:val="auto"/>
          <w:sz w:val="24"/>
          <w:szCs w:val="24"/>
          <w:highlight w:val="none"/>
          <w:u w:val="single"/>
        </w:rPr>
        <w:t>西安市第一、第二污水处理厂二期除臭加盖运营维护项目</w:t>
      </w:r>
      <w:r>
        <w:rPr>
          <w:rFonts w:hint="eastAsia" w:ascii="仿宋" w:hAnsi="仿宋" w:eastAsia="仿宋" w:cs="仿宋"/>
          <w:sz w:val="24"/>
          <w:szCs w:val="24"/>
          <w:highlight w:val="none"/>
        </w:rPr>
        <w:t>运行管理、维护事宜及项目运营监管，达成如下协议，共同遵守执行：</w:t>
      </w:r>
    </w:p>
    <w:p w14:paraId="149CC170">
      <w:pPr>
        <w:pStyle w:val="8"/>
        <w:spacing w:before="120" w:line="360" w:lineRule="auto"/>
        <w:rPr>
          <w:rFonts w:hint="eastAsia" w:ascii="仿宋" w:hAnsi="仿宋" w:eastAsia="仿宋" w:cs="仿宋"/>
          <w:bCs/>
          <w:color w:val="auto"/>
          <w:szCs w:val="24"/>
          <w:highlight w:val="none"/>
        </w:rPr>
      </w:pPr>
      <w:bookmarkStart w:id="0" w:name="_Hlt87762089"/>
      <w:bookmarkEnd w:id="0"/>
    </w:p>
    <w:p w14:paraId="701A44DB">
      <w:pPr>
        <w:rPr>
          <w:rFonts w:hint="eastAsia" w:ascii="仿宋" w:hAnsi="仿宋" w:eastAsia="仿宋" w:cs="仿宋"/>
          <w:sz w:val="24"/>
          <w:szCs w:val="24"/>
          <w:highlight w:val="none"/>
        </w:rPr>
        <w:sectPr>
          <w:pgSz w:w="11907" w:h="16840"/>
          <w:pgMar w:top="1418" w:right="1440" w:bottom="1418" w:left="1440" w:header="851" w:footer="992" w:gutter="0"/>
          <w:pgBorders>
            <w:top w:val="none" w:sz="0" w:space="0"/>
            <w:left w:val="none" w:sz="0" w:space="0"/>
            <w:bottom w:val="none" w:sz="0" w:space="0"/>
            <w:right w:val="none" w:sz="0" w:space="0"/>
          </w:pgBorders>
          <w:pgNumType w:fmt="numberInDash"/>
          <w:cols w:space="720" w:num="1"/>
          <w:rtlGutter w:val="0"/>
          <w:docGrid w:linePitch="312" w:charSpace="0"/>
        </w:sectPr>
      </w:pPr>
    </w:p>
    <w:p w14:paraId="689FA5F6">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1" w:name="_Toc144196905"/>
      <w:bookmarkStart w:id="2" w:name="_Toc4091"/>
      <w:bookmarkStart w:id="3" w:name="_Toc104699513"/>
      <w:bookmarkStart w:id="4" w:name="_Toc11786"/>
      <w:bookmarkStart w:id="5" w:name="_Toc1486"/>
      <w:bookmarkStart w:id="6" w:name="_Toc3844"/>
      <w:r>
        <w:rPr>
          <w:rFonts w:hint="eastAsia" w:ascii="仿宋" w:hAnsi="仿宋" w:eastAsia="仿宋" w:cs="仿宋"/>
          <w:b/>
          <w:bCs/>
          <w:sz w:val="24"/>
          <w:szCs w:val="24"/>
          <w:highlight w:val="none"/>
        </w:rPr>
        <w:t>第1条  定义和释义</w:t>
      </w:r>
      <w:bookmarkEnd w:id="1"/>
      <w:bookmarkEnd w:id="2"/>
      <w:bookmarkEnd w:id="3"/>
      <w:bookmarkEnd w:id="4"/>
      <w:bookmarkEnd w:id="5"/>
      <w:bookmarkEnd w:id="6"/>
    </w:p>
    <w:p w14:paraId="2B460B26">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7" w:name="_Toc30905407"/>
      <w:bookmarkStart w:id="8" w:name="_Toc13393"/>
      <w:bookmarkStart w:id="9" w:name="_Toc48120178"/>
      <w:bookmarkStart w:id="10" w:name="_Toc51213920"/>
      <w:bookmarkStart w:id="11" w:name="_Toc50453927"/>
      <w:bookmarkStart w:id="12" w:name="_Toc50860347"/>
      <w:bookmarkStart w:id="13" w:name="_Ref86654823"/>
      <w:bookmarkStart w:id="14" w:name="_Toc144196906"/>
      <w:bookmarkStart w:id="15" w:name="_Toc30905315"/>
      <w:bookmarkStart w:id="16" w:name="_Toc26166905"/>
      <w:bookmarkStart w:id="17" w:name="_Toc48101111"/>
      <w:bookmarkStart w:id="18" w:name="_Toc51225598"/>
      <w:bookmarkStart w:id="19" w:name="_Toc50861716"/>
      <w:bookmarkStart w:id="20" w:name="_Toc30298451"/>
      <w:bookmarkStart w:id="21" w:name="_Toc14984"/>
      <w:bookmarkStart w:id="22" w:name="_Toc22161"/>
      <w:bookmarkStart w:id="23" w:name="_Toc18673"/>
      <w:bookmarkStart w:id="24" w:name="_Toc48042039"/>
      <w:bookmarkStart w:id="25" w:name="_Toc50861852"/>
      <w:bookmarkStart w:id="26" w:name="_Ref86654825"/>
      <w:bookmarkStart w:id="27" w:name="_Toc29693738"/>
      <w:bookmarkStart w:id="28" w:name="_Toc104699514"/>
      <w:r>
        <w:rPr>
          <w:rFonts w:hint="eastAsia" w:ascii="仿宋" w:hAnsi="仿宋" w:eastAsia="仿宋" w:cs="仿宋"/>
          <w:b/>
          <w:bCs/>
          <w:sz w:val="24"/>
          <w:szCs w:val="24"/>
          <w:highlight w:val="none"/>
        </w:rPr>
        <w:t>1.1 定义</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2C0832A">
      <w:pPr>
        <w:pStyle w:val="13"/>
        <w:kinsoku/>
        <w:wordWrap/>
        <w:overflowPunct/>
        <w:topLinePunct w:val="0"/>
        <w:bidi w:val="0"/>
        <w:adjustRightInd w:val="0"/>
        <w:snapToGrid w:val="0"/>
        <w:spacing w:beforeLines="0" w:after="0" w:line="360" w:lineRule="auto"/>
        <w:ind w:left="0" w:leftChars="0" w:right="0" w:firstLine="480" w:firstLineChars="200"/>
        <w:jc w:val="left"/>
        <w:outlineLvl w:val="9"/>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在本协议中，下述术语具有如下含义：</w:t>
      </w:r>
    </w:p>
    <w:tbl>
      <w:tblPr>
        <w:tblStyle w:val="11"/>
        <w:tblW w:w="4999" w:type="pct"/>
        <w:tblInd w:w="0" w:type="dxa"/>
        <w:tblLayout w:type="autofit"/>
        <w:tblCellMar>
          <w:top w:w="0" w:type="dxa"/>
          <w:left w:w="70" w:type="dxa"/>
          <w:bottom w:w="0" w:type="dxa"/>
          <w:right w:w="70" w:type="dxa"/>
        </w:tblCellMar>
      </w:tblPr>
      <w:tblGrid>
        <w:gridCol w:w="1684"/>
        <w:gridCol w:w="7526"/>
      </w:tblGrid>
      <w:tr w14:paraId="161861F8">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45E0494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“本协议”</w:t>
            </w:r>
          </w:p>
        </w:tc>
        <w:tc>
          <w:tcPr>
            <w:tcW w:w="4085" w:type="pct"/>
            <w:tcBorders>
              <w:top w:val="nil"/>
              <w:left w:val="nil"/>
              <w:bottom w:val="nil"/>
              <w:right w:val="nil"/>
            </w:tcBorders>
            <w:noWrap w:val="0"/>
            <w:vAlign w:val="center"/>
          </w:tcPr>
          <w:p w14:paraId="15BBCA59">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指市污水中心与运营公司之间签署的本《</w:t>
            </w:r>
            <w:r>
              <w:rPr>
                <w:rFonts w:hint="eastAsia" w:ascii="仿宋" w:hAnsi="仿宋" w:eastAsia="仿宋" w:cs="仿宋"/>
                <w:color w:val="auto"/>
                <w:sz w:val="24"/>
                <w:szCs w:val="24"/>
                <w:highlight w:val="none"/>
                <w:u w:val="single"/>
              </w:rPr>
              <w:t>西安市第一、第二污水处理厂二期除臭加盖运营维护项目</w:t>
            </w:r>
            <w:r>
              <w:rPr>
                <w:rFonts w:hint="eastAsia" w:ascii="仿宋" w:hAnsi="仿宋" w:eastAsia="仿宋" w:cs="仿宋"/>
                <w:bCs/>
                <w:sz w:val="24"/>
                <w:szCs w:val="24"/>
                <w:highlight w:val="none"/>
              </w:rPr>
              <w:t>委托运营协议》，包括附件，以及日后可能签署的任何本协议之补充修改协议和附件，上述每一文件均被视为本协议的一部分。</w:t>
            </w:r>
          </w:p>
        </w:tc>
      </w:tr>
      <w:tr w14:paraId="13855877">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430B5BA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“不可抗力”</w:t>
            </w:r>
          </w:p>
        </w:tc>
        <w:tc>
          <w:tcPr>
            <w:tcW w:w="4085" w:type="pct"/>
            <w:tcBorders>
              <w:top w:val="nil"/>
              <w:left w:val="nil"/>
              <w:bottom w:val="nil"/>
              <w:right w:val="nil"/>
            </w:tcBorders>
            <w:noWrap w:val="0"/>
            <w:vAlign w:val="center"/>
          </w:tcPr>
          <w:p w14:paraId="2B388EC0">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指具有</w:t>
            </w:r>
            <w:r>
              <w:rPr>
                <w:rFonts w:hint="eastAsia" w:ascii="仿宋" w:hAnsi="仿宋" w:eastAsia="仿宋" w:cs="仿宋"/>
                <w:bCs/>
                <w:sz w:val="24"/>
                <w:szCs w:val="24"/>
                <w:highlight w:val="none"/>
                <w:lang w:val="en-US" w:eastAsia="zh-CN"/>
              </w:rPr>
              <w:t>第</w:t>
            </w:r>
            <w:r>
              <w:rPr>
                <w:rFonts w:hint="eastAsia" w:ascii="仿宋" w:hAnsi="仿宋" w:eastAsia="仿宋" w:cs="仿宋"/>
                <w:bCs/>
                <w:sz w:val="24"/>
                <w:szCs w:val="24"/>
                <w:highlight w:val="none"/>
              </w:rPr>
              <w:fldChar w:fldCharType="begin"/>
            </w:r>
            <w:r>
              <w:rPr>
                <w:rFonts w:hint="eastAsia" w:ascii="仿宋" w:hAnsi="仿宋" w:eastAsia="仿宋" w:cs="仿宋"/>
                <w:bCs/>
                <w:sz w:val="24"/>
                <w:szCs w:val="24"/>
                <w:highlight w:val="none"/>
              </w:rPr>
              <w:instrText xml:space="preserve"> REF _Ref145302033 \r \h  \* MERGEFORMAT </w:instrText>
            </w:r>
            <w:r>
              <w:rPr>
                <w:rFonts w:hint="eastAsia" w:ascii="仿宋" w:hAnsi="仿宋" w:eastAsia="仿宋" w:cs="仿宋"/>
                <w:bCs/>
                <w:sz w:val="24"/>
                <w:szCs w:val="24"/>
                <w:highlight w:val="none"/>
              </w:rPr>
              <w:fldChar w:fldCharType="separate"/>
            </w:r>
            <w:r>
              <w:rPr>
                <w:rFonts w:hint="eastAsia" w:ascii="仿宋" w:hAnsi="仿宋" w:eastAsia="仿宋" w:cs="仿宋"/>
                <w:bCs/>
                <w:sz w:val="24"/>
                <w:szCs w:val="24"/>
                <w:highlight w:val="none"/>
                <w:lang w:eastAsia="zh-CN"/>
              </w:rPr>
              <w:t>7</w:t>
            </w:r>
            <w:r>
              <w:rPr>
                <w:rFonts w:hint="eastAsia" w:ascii="仿宋" w:hAnsi="仿宋" w:eastAsia="仿宋" w:cs="仿宋"/>
                <w:bCs/>
                <w:sz w:val="24"/>
                <w:szCs w:val="24"/>
                <w:highlight w:val="none"/>
                <w:lang w:val="en-US" w:eastAsia="zh-CN"/>
              </w:rPr>
              <w:t>条</w:t>
            </w:r>
            <w:r>
              <w:rPr>
                <w:rFonts w:hint="eastAsia" w:ascii="仿宋" w:hAnsi="仿宋" w:eastAsia="仿宋" w:cs="仿宋"/>
                <w:bCs/>
                <w:sz w:val="24"/>
                <w:szCs w:val="24"/>
                <w:highlight w:val="none"/>
              </w:rPr>
              <w:fldChar w:fldCharType="end"/>
            </w:r>
            <w:r>
              <w:rPr>
                <w:rFonts w:hint="eastAsia" w:ascii="仿宋" w:hAnsi="仿宋" w:eastAsia="仿宋" w:cs="仿宋"/>
                <w:bCs/>
                <w:sz w:val="24"/>
                <w:szCs w:val="24"/>
                <w:highlight w:val="none"/>
              </w:rPr>
              <w:t>所规定的含义。</w:t>
            </w:r>
          </w:p>
        </w:tc>
      </w:tr>
      <w:tr w14:paraId="49AED974">
        <w:tblPrEx>
          <w:tblCellMar>
            <w:top w:w="0" w:type="dxa"/>
            <w:left w:w="70" w:type="dxa"/>
            <w:bottom w:w="0" w:type="dxa"/>
            <w:right w:w="70" w:type="dxa"/>
          </w:tblCellMar>
        </w:tblPrEx>
        <w:trPr>
          <w:trHeight w:val="544" w:hRule="atLeast"/>
        </w:trPr>
        <w:tc>
          <w:tcPr>
            <w:tcW w:w="914" w:type="pct"/>
            <w:tcBorders>
              <w:top w:val="nil"/>
              <w:left w:val="nil"/>
              <w:bottom w:val="nil"/>
              <w:right w:val="nil"/>
            </w:tcBorders>
            <w:noWrap w:val="0"/>
            <w:vAlign w:val="center"/>
          </w:tcPr>
          <w:p w14:paraId="7CA9830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“工作日”</w:t>
            </w:r>
          </w:p>
        </w:tc>
        <w:tc>
          <w:tcPr>
            <w:tcW w:w="4085" w:type="pct"/>
            <w:tcBorders>
              <w:top w:val="nil"/>
              <w:left w:val="nil"/>
              <w:bottom w:val="nil"/>
              <w:right w:val="nil"/>
            </w:tcBorders>
            <w:noWrap w:val="0"/>
            <w:vAlign w:val="center"/>
          </w:tcPr>
          <w:p w14:paraId="7A78D838">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指中国法定节假日和双休日以外的公历日。</w:t>
            </w:r>
          </w:p>
        </w:tc>
      </w:tr>
      <w:tr w14:paraId="203C43A5">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572F4B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“检测机构”</w:t>
            </w:r>
          </w:p>
        </w:tc>
        <w:tc>
          <w:tcPr>
            <w:tcW w:w="4085" w:type="pct"/>
            <w:tcBorders>
              <w:top w:val="nil"/>
              <w:left w:val="nil"/>
              <w:bottom w:val="nil"/>
              <w:right w:val="nil"/>
            </w:tcBorders>
            <w:noWrap w:val="0"/>
            <w:vAlign w:val="center"/>
          </w:tcPr>
          <w:p w14:paraId="6B84DC8A">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指市污水中心或其指定机构按照第5.2条规定委托的臭气检测机构。</w:t>
            </w:r>
          </w:p>
        </w:tc>
      </w:tr>
      <w:tr w14:paraId="6681CCD4">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2987ACC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“委托运营权”</w:t>
            </w:r>
          </w:p>
        </w:tc>
        <w:tc>
          <w:tcPr>
            <w:tcW w:w="4085" w:type="pct"/>
            <w:tcBorders>
              <w:top w:val="nil"/>
              <w:left w:val="nil"/>
              <w:bottom w:val="nil"/>
              <w:right w:val="nil"/>
            </w:tcBorders>
            <w:noWrap w:val="0"/>
            <w:vAlign w:val="center"/>
          </w:tcPr>
          <w:p w14:paraId="03AA0981">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指具有第2.1条所规定的含义。</w:t>
            </w:r>
          </w:p>
        </w:tc>
      </w:tr>
      <w:tr w14:paraId="3A91836A">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7DA3249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“委托运营期”</w:t>
            </w:r>
          </w:p>
        </w:tc>
        <w:tc>
          <w:tcPr>
            <w:tcW w:w="4085" w:type="pct"/>
            <w:tcBorders>
              <w:top w:val="nil"/>
              <w:left w:val="nil"/>
              <w:bottom w:val="nil"/>
              <w:right w:val="nil"/>
            </w:tcBorders>
            <w:noWrap w:val="0"/>
            <w:vAlign w:val="center"/>
          </w:tcPr>
          <w:p w14:paraId="2A466057">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指具有第2.2条所规定的含义。</w:t>
            </w:r>
          </w:p>
        </w:tc>
      </w:tr>
      <w:tr w14:paraId="36D53ECF">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5A6F027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“生效日”</w:t>
            </w:r>
          </w:p>
        </w:tc>
        <w:tc>
          <w:tcPr>
            <w:tcW w:w="4085" w:type="pct"/>
            <w:tcBorders>
              <w:top w:val="nil"/>
              <w:left w:val="nil"/>
              <w:bottom w:val="nil"/>
              <w:right w:val="nil"/>
            </w:tcBorders>
            <w:noWrap w:val="0"/>
            <w:vAlign w:val="center"/>
          </w:tcPr>
          <w:p w14:paraId="26B08936">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指本协议正式签署日。</w:t>
            </w:r>
          </w:p>
        </w:tc>
      </w:tr>
      <w:tr w14:paraId="6499662A">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1FB6D6F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“适用法律”</w:t>
            </w:r>
          </w:p>
        </w:tc>
        <w:tc>
          <w:tcPr>
            <w:tcW w:w="4085" w:type="pct"/>
            <w:tcBorders>
              <w:top w:val="nil"/>
              <w:left w:val="nil"/>
              <w:bottom w:val="nil"/>
              <w:right w:val="nil"/>
            </w:tcBorders>
            <w:noWrap w:val="0"/>
            <w:vAlign w:val="center"/>
          </w:tcPr>
          <w:p w14:paraId="24AD5DF5">
            <w:pPr>
              <w:keepNext w:val="0"/>
              <w:keepLines w:val="0"/>
              <w:pageBreakBefore w:val="0"/>
              <w:widowControl w:val="0"/>
              <w:kinsoku/>
              <w:wordWrap/>
              <w:overflowPunct/>
              <w:topLinePunct w:val="0"/>
              <w:autoSpaceDE/>
              <w:autoSpaceDN/>
              <w:bidi w:val="0"/>
              <w:adjustRightInd w:val="0"/>
              <w:snapToGrid w:val="0"/>
              <w:spacing w:line="360" w:lineRule="auto"/>
              <w:ind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指所有适用的中国法律、法规、规章和政府部门颁布的所有技术标准、技术规范以及所有其他适用的强制性要求。</w:t>
            </w:r>
          </w:p>
        </w:tc>
      </w:tr>
      <w:tr w14:paraId="4E8CBB46">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6800DA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“违约”</w:t>
            </w:r>
          </w:p>
        </w:tc>
        <w:tc>
          <w:tcPr>
            <w:tcW w:w="4085" w:type="pct"/>
            <w:tcBorders>
              <w:top w:val="nil"/>
              <w:left w:val="nil"/>
              <w:bottom w:val="nil"/>
              <w:right w:val="nil"/>
            </w:tcBorders>
            <w:noWrap w:val="0"/>
            <w:vAlign w:val="center"/>
          </w:tcPr>
          <w:p w14:paraId="4DEFBE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指本协议签约任何一方未能履行其在本协议项下的任何义务，而且这种违约不能归咎于另一方违反本协议的作为或不作为或不可抗力等。</w:t>
            </w:r>
          </w:p>
        </w:tc>
      </w:tr>
      <w:tr w14:paraId="01F123CE">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5427886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“项目”</w:t>
            </w:r>
          </w:p>
        </w:tc>
        <w:tc>
          <w:tcPr>
            <w:tcW w:w="4085" w:type="pct"/>
            <w:tcBorders>
              <w:top w:val="nil"/>
              <w:left w:val="nil"/>
              <w:bottom w:val="nil"/>
              <w:right w:val="nil"/>
            </w:tcBorders>
            <w:noWrap w:val="0"/>
            <w:vAlign w:val="center"/>
          </w:tcPr>
          <w:p w14:paraId="2F8E63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指西安市第一污水处理厂二期除臭加盖项目、第二污水处理厂二期除臭加盖项目。</w:t>
            </w:r>
          </w:p>
        </w:tc>
      </w:tr>
      <w:tr w14:paraId="21CC6583">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26DD5F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“项目设施”</w:t>
            </w:r>
          </w:p>
        </w:tc>
        <w:tc>
          <w:tcPr>
            <w:tcW w:w="4085" w:type="pct"/>
            <w:tcBorders>
              <w:top w:val="nil"/>
              <w:left w:val="nil"/>
              <w:bottom w:val="nil"/>
              <w:right w:val="nil"/>
            </w:tcBorders>
            <w:noWrap w:val="0"/>
            <w:vAlign w:val="center"/>
          </w:tcPr>
          <w:p w14:paraId="6BEB530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指由市污水中心拥有的除臭服务所必需的各类设施。</w:t>
            </w:r>
          </w:p>
        </w:tc>
      </w:tr>
      <w:tr w14:paraId="5340A6AB">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4FA8588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“政府部门”</w:t>
            </w:r>
          </w:p>
        </w:tc>
        <w:tc>
          <w:tcPr>
            <w:tcW w:w="4085" w:type="pct"/>
            <w:tcBorders>
              <w:top w:val="nil"/>
              <w:left w:val="nil"/>
              <w:bottom w:val="nil"/>
              <w:right w:val="nil"/>
            </w:tcBorders>
            <w:noWrap w:val="0"/>
            <w:vAlign w:val="center"/>
          </w:tcPr>
          <w:p w14:paraId="351252BD">
            <w:pPr>
              <w:pStyle w:val="9"/>
              <w:keepNext w:val="0"/>
              <w:keepLines w:val="0"/>
              <w:pageBreakBefore w:val="0"/>
              <w:widowControl w:val="0"/>
              <w:tabs>
                <w:tab w:val="clear" w:pos="4153"/>
                <w:tab w:val="clear" w:pos="8306"/>
              </w:tabs>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w:t>
            </w:r>
          </w:p>
          <w:p w14:paraId="43FC6C2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中国国务院及其下属的部、委、局、署，或具有中央政府行政管理功能的其他行政实体；</w:t>
            </w:r>
          </w:p>
          <w:p w14:paraId="2C70209D">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陕西省政府及其下辖政府职能部门和直属部门；</w:t>
            </w:r>
          </w:p>
          <w:p w14:paraId="08A6179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西安市政府及其下辖政府职能部门和直属部门；</w:t>
            </w:r>
          </w:p>
        </w:tc>
      </w:tr>
      <w:tr w14:paraId="1BBAE886">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18064D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w:t>
            </w:r>
            <w:r>
              <w:rPr>
                <w:rFonts w:hint="eastAsia" w:ascii="仿宋" w:hAnsi="仿宋" w:eastAsia="仿宋" w:cs="仿宋"/>
                <w:b/>
                <w:sz w:val="24"/>
                <w:szCs w:val="24"/>
                <w:highlight w:val="none"/>
                <w:lang w:eastAsia="zh-CN"/>
              </w:rPr>
              <w:t>运行维护费</w:t>
            </w:r>
            <w:r>
              <w:rPr>
                <w:rFonts w:hint="eastAsia" w:ascii="仿宋" w:hAnsi="仿宋" w:eastAsia="仿宋" w:cs="仿宋"/>
                <w:b/>
                <w:sz w:val="24"/>
                <w:szCs w:val="24"/>
                <w:highlight w:val="none"/>
              </w:rPr>
              <w:t>”</w:t>
            </w:r>
          </w:p>
        </w:tc>
        <w:tc>
          <w:tcPr>
            <w:tcW w:w="4085" w:type="pct"/>
            <w:tcBorders>
              <w:top w:val="nil"/>
              <w:left w:val="nil"/>
              <w:bottom w:val="nil"/>
              <w:right w:val="nil"/>
            </w:tcBorders>
            <w:noWrap w:val="0"/>
            <w:vAlign w:val="center"/>
          </w:tcPr>
          <w:p w14:paraId="5BB5EEF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指运营公司运营除臭加盖项目，市污水中心应支付给运营公司的运营维护费用。</w:t>
            </w:r>
          </w:p>
        </w:tc>
      </w:tr>
      <w:tr w14:paraId="0E549E3F">
        <w:tblPrEx>
          <w:tblCellMar>
            <w:top w:w="0" w:type="dxa"/>
            <w:left w:w="70" w:type="dxa"/>
            <w:bottom w:w="0" w:type="dxa"/>
            <w:right w:w="70" w:type="dxa"/>
          </w:tblCellMar>
        </w:tblPrEx>
        <w:tc>
          <w:tcPr>
            <w:tcW w:w="914" w:type="pct"/>
            <w:tcBorders>
              <w:top w:val="nil"/>
              <w:left w:val="nil"/>
              <w:bottom w:val="nil"/>
              <w:right w:val="nil"/>
            </w:tcBorders>
            <w:noWrap w:val="0"/>
            <w:vAlign w:val="center"/>
          </w:tcPr>
          <w:p w14:paraId="28EC23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“市污水中心”</w:t>
            </w:r>
          </w:p>
        </w:tc>
        <w:tc>
          <w:tcPr>
            <w:tcW w:w="4085" w:type="pct"/>
            <w:tcBorders>
              <w:top w:val="nil"/>
              <w:left w:val="nil"/>
              <w:bottom w:val="nil"/>
              <w:right w:val="nil"/>
            </w:tcBorders>
            <w:noWrap w:val="0"/>
            <w:vAlign w:val="center"/>
          </w:tcPr>
          <w:p w14:paraId="55DB9C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0" w:firstLineChars="0"/>
              <w:jc w:val="both"/>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西安市污水处理管理中心</w:t>
            </w:r>
          </w:p>
        </w:tc>
      </w:tr>
    </w:tbl>
    <w:p w14:paraId="35E9DD7C">
      <w:pPr>
        <w:rPr>
          <w:rFonts w:hint="eastAsia" w:ascii="仿宋" w:hAnsi="仿宋" w:eastAsia="仿宋" w:cs="仿宋"/>
          <w:b/>
          <w:bCs/>
          <w:sz w:val="24"/>
          <w:szCs w:val="24"/>
          <w:highlight w:val="none"/>
        </w:rPr>
      </w:pPr>
      <w:bookmarkStart w:id="29" w:name="_Toc320891261"/>
      <w:bookmarkEnd w:id="29"/>
      <w:bookmarkStart w:id="30" w:name="_Toc320870082"/>
      <w:bookmarkEnd w:id="30"/>
      <w:bookmarkStart w:id="31" w:name="_Toc320890865"/>
      <w:bookmarkEnd w:id="31"/>
      <w:bookmarkStart w:id="32" w:name="_Toc320863584"/>
      <w:bookmarkEnd w:id="32"/>
      <w:bookmarkStart w:id="33" w:name="_Toc51225599"/>
      <w:bookmarkStart w:id="34" w:name="_Toc27725"/>
      <w:bookmarkStart w:id="35" w:name="_Toc104699515"/>
      <w:bookmarkStart w:id="36" w:name="_Toc50453928"/>
      <w:bookmarkStart w:id="37" w:name="_Toc50861853"/>
      <w:bookmarkStart w:id="38" w:name="_Toc7377"/>
      <w:bookmarkStart w:id="39" w:name="_Toc144196907"/>
      <w:bookmarkStart w:id="40" w:name="_Toc51213921"/>
      <w:bookmarkStart w:id="41" w:name="_Toc50861717"/>
      <w:bookmarkStart w:id="42" w:name="_Toc31691"/>
      <w:bookmarkStart w:id="43" w:name="_Toc19896"/>
      <w:bookmarkStart w:id="44" w:name="_Toc50860348"/>
      <w:r>
        <w:rPr>
          <w:rFonts w:hint="eastAsia" w:ascii="仿宋" w:hAnsi="仿宋" w:eastAsia="仿宋" w:cs="仿宋"/>
          <w:b/>
          <w:bCs/>
          <w:sz w:val="24"/>
          <w:szCs w:val="24"/>
          <w:highlight w:val="none"/>
        </w:rPr>
        <w:br w:type="page"/>
      </w:r>
    </w:p>
    <w:p w14:paraId="26938113">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1.2 释义</w:t>
      </w:r>
      <w:bookmarkEnd w:id="33"/>
      <w:bookmarkEnd w:id="34"/>
      <w:bookmarkEnd w:id="35"/>
      <w:bookmarkEnd w:id="36"/>
      <w:bookmarkEnd w:id="37"/>
      <w:bookmarkEnd w:id="38"/>
      <w:bookmarkEnd w:id="39"/>
      <w:bookmarkEnd w:id="40"/>
      <w:bookmarkEnd w:id="41"/>
      <w:bookmarkEnd w:id="42"/>
      <w:bookmarkEnd w:id="43"/>
      <w:bookmarkEnd w:id="44"/>
    </w:p>
    <w:p w14:paraId="2C404698">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45" w:name="_Ref87781732"/>
      <w:r>
        <w:rPr>
          <w:rFonts w:hint="eastAsia" w:ascii="仿宋" w:hAnsi="仿宋" w:eastAsia="仿宋" w:cs="仿宋"/>
          <w:b w:val="0"/>
          <w:bCs w:val="0"/>
          <w:sz w:val="24"/>
          <w:szCs w:val="24"/>
          <w:highlight w:val="none"/>
        </w:rPr>
        <w:t>在本协议中，除非另有明确规定，下述词语的释义如下：</w:t>
      </w:r>
      <w:bookmarkEnd w:id="45"/>
      <w:bookmarkStart w:id="46" w:name="_Ref87781745"/>
    </w:p>
    <w:p w14:paraId="6849DA2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“日”、“月”、“年”均指公历的日、月、年；</w:t>
      </w:r>
      <w:bookmarkEnd w:id="46"/>
    </w:p>
    <w:p w14:paraId="58AED702">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“一方”按适用情况分别指运营公司或市污水中心，包括其继承方和允许的被让与人或受让人；“双方”指运营公司和市污水中心，包括其继承方和允许的被让与人或受让人；</w:t>
      </w:r>
    </w:p>
    <w:p w14:paraId="6C28CE0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除非上下文另有所指，“元”指人民币元；</w:t>
      </w:r>
    </w:p>
    <w:p w14:paraId="1C2911F2">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“包括”指包括但不限于；</w:t>
      </w:r>
    </w:p>
    <w:p w14:paraId="0138B91A">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若规定支付任何款项或提交任何书面材料之日不是工作日，则应在该等日期后的第一个工作日支付或提交；</w:t>
      </w:r>
    </w:p>
    <w:p w14:paraId="2A86217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任何条款、附表或附件指本协议的条款、附表或附件；</w:t>
      </w:r>
    </w:p>
    <w:p w14:paraId="25B0E988">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除非另有表述，时间应被解释为北京时间。</w:t>
      </w:r>
    </w:p>
    <w:p w14:paraId="73BC9A21">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所指的“维护”应始终解释为包括“保养”、“修理”和“更新”。</w:t>
      </w:r>
    </w:p>
    <w:p w14:paraId="1457658D">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除非另有规定，本协议中涉及的除臭加盖</w:t>
      </w:r>
      <w:r>
        <w:rPr>
          <w:rFonts w:hint="eastAsia" w:ascii="仿宋" w:hAnsi="仿宋" w:eastAsia="仿宋" w:cs="仿宋"/>
          <w:b w:val="0"/>
          <w:bCs w:val="0"/>
          <w:sz w:val="24"/>
          <w:szCs w:val="24"/>
          <w:highlight w:val="none"/>
          <w:lang w:eastAsia="zh-CN"/>
        </w:rPr>
        <w:t>运行维护费</w:t>
      </w:r>
      <w:r>
        <w:rPr>
          <w:rFonts w:hint="eastAsia" w:ascii="仿宋" w:hAnsi="仿宋" w:eastAsia="仿宋" w:cs="仿宋"/>
          <w:b w:val="0"/>
          <w:bCs w:val="0"/>
          <w:sz w:val="24"/>
          <w:szCs w:val="24"/>
          <w:highlight w:val="none"/>
        </w:rPr>
        <w:t>含税。</w:t>
      </w:r>
    </w:p>
    <w:p w14:paraId="1CBA4827">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标题仅为方便之用，不影响解释。</w:t>
      </w:r>
    </w:p>
    <w:p w14:paraId="0B1FCA23">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47" w:name="_Toc144196908"/>
      <w:bookmarkStart w:id="48" w:name="_Toc1357"/>
      <w:bookmarkStart w:id="49" w:name="_Toc28289"/>
      <w:bookmarkStart w:id="50" w:name="_Toc18196"/>
      <w:bookmarkStart w:id="51" w:name="_Toc13886"/>
      <w:r>
        <w:rPr>
          <w:rFonts w:hint="eastAsia" w:ascii="仿宋" w:hAnsi="仿宋" w:eastAsia="仿宋" w:cs="仿宋"/>
          <w:b/>
          <w:bCs/>
          <w:sz w:val="24"/>
          <w:szCs w:val="24"/>
          <w:highlight w:val="none"/>
        </w:rPr>
        <w:t>第2条  委托运营</w:t>
      </w:r>
      <w:bookmarkEnd w:id="47"/>
      <w:r>
        <w:rPr>
          <w:rFonts w:hint="eastAsia" w:ascii="仿宋" w:hAnsi="仿宋" w:eastAsia="仿宋" w:cs="仿宋"/>
          <w:b/>
          <w:bCs/>
          <w:sz w:val="24"/>
          <w:szCs w:val="24"/>
          <w:highlight w:val="none"/>
        </w:rPr>
        <w:t>权和委托运营期</w:t>
      </w:r>
      <w:bookmarkEnd w:id="48"/>
      <w:bookmarkEnd w:id="49"/>
      <w:bookmarkEnd w:id="50"/>
      <w:bookmarkEnd w:id="51"/>
    </w:p>
    <w:p w14:paraId="08BA33B7">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52" w:name="_Toc12324"/>
      <w:bookmarkStart w:id="53" w:name="_Toc3443"/>
      <w:bookmarkStart w:id="54" w:name="_Toc12314"/>
      <w:bookmarkStart w:id="55" w:name="_Toc30409"/>
      <w:r>
        <w:rPr>
          <w:rFonts w:hint="eastAsia" w:ascii="仿宋" w:hAnsi="仿宋" w:eastAsia="仿宋" w:cs="仿宋"/>
          <w:b/>
          <w:bCs/>
          <w:sz w:val="24"/>
          <w:szCs w:val="24"/>
          <w:highlight w:val="none"/>
        </w:rPr>
        <w:t>2.1 委托运营权</w:t>
      </w:r>
      <w:bookmarkEnd w:id="52"/>
      <w:bookmarkEnd w:id="53"/>
      <w:bookmarkEnd w:id="54"/>
      <w:bookmarkEnd w:id="55"/>
    </w:p>
    <w:p w14:paraId="0B5727F4">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市污水中心依照本协议授予运营公司在委托运营期内独家享受如下权利：</w:t>
      </w:r>
    </w:p>
    <w:p w14:paraId="268F4004">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trike w:val="0"/>
          <w:sz w:val="24"/>
          <w:szCs w:val="24"/>
          <w:highlight w:val="none"/>
        </w:rPr>
      </w:pPr>
      <w:r>
        <w:rPr>
          <w:rFonts w:hint="eastAsia" w:ascii="仿宋" w:hAnsi="仿宋" w:eastAsia="仿宋" w:cs="仿宋"/>
          <w:b w:val="0"/>
          <w:bCs w:val="0"/>
          <w:sz w:val="24"/>
          <w:szCs w:val="24"/>
          <w:highlight w:val="none"/>
        </w:rPr>
        <w:t>对项目（工程资产清单详见附件）进行运营、维护和管理，行使和享有本协议项下约定的权利和权益；及</w:t>
      </w:r>
      <w:r>
        <w:rPr>
          <w:rFonts w:hint="eastAsia" w:ascii="仿宋" w:hAnsi="仿宋" w:eastAsia="仿宋" w:cs="仿宋"/>
          <w:b w:val="0"/>
          <w:sz w:val="24"/>
          <w:szCs w:val="24"/>
          <w:highlight w:val="none"/>
        </w:rPr>
        <w:t xml:space="preserve">按照本协议的规定收取运营维护费用。 </w:t>
      </w:r>
    </w:p>
    <w:p w14:paraId="616EE376">
      <w:pPr>
        <w:tabs>
          <w:tab w:val="left" w:pos="1260"/>
          <w:tab w:val="left" w:pos="1440"/>
        </w:tabs>
        <w:kinsoku/>
        <w:wordWrap/>
        <w:overflowPunct/>
        <w:topLinePunct w:val="0"/>
        <w:bidi w:val="0"/>
        <w:adjustRightInd w:val="0"/>
        <w:snapToGrid w:val="0"/>
        <w:spacing w:before="0" w:after="0" w:line="360" w:lineRule="auto"/>
        <w:ind w:left="0" w:leftChars="0" w:right="0"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运营公司应在委托运营期内负责项目的的运营、维护和管理，并先行支付运营</w:t>
      </w:r>
      <w:r>
        <w:rPr>
          <w:rFonts w:hint="eastAsia" w:ascii="仿宋" w:hAnsi="仿宋" w:eastAsia="仿宋" w:cs="仿宋"/>
          <w:b w:val="0"/>
          <w:color w:val="auto"/>
          <w:sz w:val="24"/>
          <w:szCs w:val="24"/>
          <w:highlight w:val="none"/>
          <w:lang w:eastAsia="zh-CN"/>
        </w:rPr>
        <w:t>维护</w:t>
      </w:r>
      <w:r>
        <w:rPr>
          <w:rFonts w:hint="eastAsia" w:ascii="仿宋" w:hAnsi="仿宋" w:eastAsia="仿宋" w:cs="仿宋"/>
          <w:b w:val="0"/>
          <w:color w:val="auto"/>
          <w:sz w:val="24"/>
          <w:szCs w:val="24"/>
          <w:highlight w:val="none"/>
        </w:rPr>
        <w:t>期间所需费用。</w:t>
      </w:r>
    </w:p>
    <w:p w14:paraId="30A91212">
      <w:pPr>
        <w:keepNext/>
        <w:keepLines/>
        <w:pageBreakBefore w:val="0"/>
        <w:widowControl w:val="0"/>
        <w:tabs>
          <w:tab w:val="left" w:pos="1260"/>
          <w:tab w:val="left" w:pos="1440"/>
        </w:tabs>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除本协议另有约定外，运营公司无需为取得上述委托运营权支付任何费用。</w:t>
      </w:r>
    </w:p>
    <w:p w14:paraId="06082D04">
      <w:pPr>
        <w:keepNext/>
        <w:keepLines/>
        <w:pageBreakBefore w:val="0"/>
        <w:widowControl w:val="0"/>
        <w:tabs>
          <w:tab w:val="left" w:pos="1260"/>
          <w:tab w:val="left" w:pos="1440"/>
        </w:tabs>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运营公司的委托运营权在整个委托运营期内始终保持有效。</w:t>
      </w:r>
    </w:p>
    <w:p w14:paraId="7733E339">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56" w:name="_特许期"/>
      <w:bookmarkEnd w:id="56"/>
      <w:bookmarkStart w:id="57" w:name="_Toc320863590"/>
      <w:bookmarkEnd w:id="57"/>
      <w:bookmarkStart w:id="58" w:name="_Toc320891267"/>
      <w:bookmarkEnd w:id="58"/>
      <w:bookmarkStart w:id="59" w:name="_Toc320890871"/>
      <w:bookmarkEnd w:id="59"/>
      <w:bookmarkStart w:id="60" w:name="_Toc320870088"/>
      <w:bookmarkEnd w:id="60"/>
      <w:bookmarkStart w:id="61" w:name="_Toc27610"/>
      <w:bookmarkStart w:id="62" w:name="_Toc2222"/>
      <w:bookmarkStart w:id="63" w:name="_Toc7004"/>
      <w:bookmarkStart w:id="64" w:name="_Toc23486"/>
      <w:r>
        <w:rPr>
          <w:rFonts w:hint="eastAsia" w:ascii="仿宋" w:hAnsi="仿宋" w:eastAsia="仿宋" w:cs="仿宋"/>
          <w:b/>
          <w:bCs/>
          <w:sz w:val="24"/>
          <w:szCs w:val="24"/>
          <w:highlight w:val="none"/>
        </w:rPr>
        <w:t>2.2 委托运营期</w:t>
      </w:r>
      <w:bookmarkEnd w:id="61"/>
      <w:bookmarkEnd w:id="62"/>
      <w:bookmarkEnd w:id="63"/>
      <w:bookmarkEnd w:id="64"/>
    </w:p>
    <w:p w14:paraId="31E663F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bookmarkStart w:id="65" w:name="_特许经营地域范围"/>
      <w:bookmarkEnd w:id="65"/>
      <w:bookmarkStart w:id="66" w:name="_双方的声明"/>
      <w:bookmarkEnd w:id="66"/>
      <w:r>
        <w:rPr>
          <w:rFonts w:hint="eastAsia" w:ascii="仿宋" w:hAnsi="仿宋" w:eastAsia="仿宋" w:cs="仿宋"/>
          <w:sz w:val="24"/>
          <w:szCs w:val="24"/>
          <w:highlight w:val="none"/>
        </w:rPr>
        <w:t>除非另有约定，委托运营期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，自</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日起至</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C979926">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67" w:name="_Toc13727"/>
      <w:bookmarkStart w:id="68" w:name="_Toc2231"/>
      <w:bookmarkStart w:id="69" w:name="_Toc29853"/>
      <w:bookmarkStart w:id="70" w:name="_Toc5713"/>
      <w:r>
        <w:rPr>
          <w:rFonts w:hint="eastAsia" w:ascii="仿宋" w:hAnsi="仿宋" w:eastAsia="仿宋" w:cs="仿宋"/>
          <w:b/>
          <w:bCs/>
          <w:sz w:val="24"/>
          <w:szCs w:val="24"/>
          <w:highlight w:val="none"/>
        </w:rPr>
        <w:t>第3条  声明和保证</w:t>
      </w:r>
      <w:bookmarkEnd w:id="67"/>
      <w:bookmarkEnd w:id="68"/>
      <w:bookmarkEnd w:id="69"/>
      <w:bookmarkEnd w:id="70"/>
    </w:p>
    <w:p w14:paraId="4F1D1200">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71" w:name="_Toc20015"/>
      <w:bookmarkStart w:id="72" w:name="_Toc14173"/>
      <w:bookmarkStart w:id="73" w:name="_Toc25616"/>
      <w:bookmarkStart w:id="74" w:name="_Toc10544"/>
      <w:bookmarkStart w:id="75" w:name="_Toc144196913"/>
      <w:bookmarkStart w:id="76" w:name="_Ref145315052"/>
      <w:bookmarkStart w:id="77" w:name="_Toc118882573"/>
      <w:bookmarkStart w:id="78" w:name="_Ref145302296"/>
      <w:r>
        <w:rPr>
          <w:rFonts w:hint="eastAsia" w:ascii="仿宋" w:hAnsi="仿宋" w:eastAsia="仿宋" w:cs="仿宋"/>
          <w:b/>
          <w:bCs/>
          <w:sz w:val="24"/>
          <w:szCs w:val="24"/>
          <w:highlight w:val="none"/>
        </w:rPr>
        <w:t>3.1 市污水中心的声明</w:t>
      </w:r>
      <w:bookmarkEnd w:id="71"/>
      <w:bookmarkEnd w:id="72"/>
      <w:bookmarkEnd w:id="73"/>
      <w:bookmarkEnd w:id="74"/>
    </w:p>
    <w:p w14:paraId="0B6DE9D4">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市污水中心在此向运营公司声明，在生效日：</w:t>
      </w:r>
    </w:p>
    <w:p w14:paraId="1637B609">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市污水中心具有签署和履行本协议的资格和权利；</w:t>
      </w:r>
    </w:p>
    <w:p w14:paraId="32DF8045">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签署和履行本协议不违反甲方应遵守的任何适用法律或对其有约束力的其他任何协议或安排；</w:t>
      </w:r>
    </w:p>
    <w:p w14:paraId="546756D7">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如果市污水中心在本协议第3.1条下所作的声明被证明在作出之时存在实质方面不属实，运营公司有权提前终止本委托运营协议。</w:t>
      </w:r>
      <w:bookmarkStart w:id="79" w:name="_Toc5731"/>
      <w:bookmarkStart w:id="80" w:name="_Toc27646"/>
      <w:bookmarkStart w:id="81" w:name="_Toc15656"/>
    </w:p>
    <w:p w14:paraId="7D313D48">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color w:val="auto"/>
          <w:sz w:val="24"/>
          <w:szCs w:val="24"/>
          <w:highlight w:val="none"/>
          <w:lang w:val="en-US" w:eastAsia="zh-CN"/>
        </w:rPr>
        <w:t>本</w:t>
      </w:r>
      <w:r>
        <w:rPr>
          <w:rFonts w:hint="eastAsia" w:ascii="仿宋" w:hAnsi="仿宋" w:eastAsia="仿宋" w:cs="仿宋"/>
          <w:sz w:val="24"/>
          <w:szCs w:val="24"/>
          <w:highlight w:val="none"/>
          <w:lang w:val="en-US" w:eastAsia="zh-CN"/>
        </w:rPr>
        <w:t>项目分两次付款，合同签订后，达到付款条件起 30 日内，支付合同总金额的50% ；2026年项目验收合格后结合合同履约情况，达到付款条件起 30 日内，支付合同总金额的50% 。</w:t>
      </w:r>
    </w:p>
    <w:p w14:paraId="15C2C33C">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left"/>
        <w:textAlignment w:val="auto"/>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3.2 运营公司的声明</w:t>
      </w:r>
      <w:bookmarkEnd w:id="75"/>
      <w:bookmarkEnd w:id="76"/>
      <w:bookmarkEnd w:id="77"/>
      <w:bookmarkEnd w:id="78"/>
      <w:bookmarkEnd w:id="79"/>
      <w:bookmarkEnd w:id="80"/>
      <w:bookmarkEnd w:id="81"/>
    </w:p>
    <w:p w14:paraId="3B5232EA">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运营公司在此向甲方声明，在生效日：</w:t>
      </w:r>
    </w:p>
    <w:p w14:paraId="167E4982">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运营公司已经依据中国法律正式成立，具有签署和履行本协议的法人资格和能力；</w:t>
      </w:r>
    </w:p>
    <w:p w14:paraId="7B7A3CB0">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运营公司已经取得了与签署和履行本协议有关的一切内部、外部的授权和许可。本协议一经签署，即对运营公司具有完全的法律约束力，签署和履行本协议的义务、条款和条件不会导致运营公司违反法律法规、行政决定、生效判决和仲裁裁决的强制性规定；不会导致违反其与第三方合同的条款、条件和承诺；</w:t>
      </w:r>
    </w:p>
    <w:p w14:paraId="5FBFB468">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运营公司具有在委托运营期内运营、维护和管理除臭加盖项目的经验和能力；</w:t>
      </w:r>
    </w:p>
    <w:p w14:paraId="561ADF0A">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运营公司已经为本协议的履行准备了足够的资金、人员和设备，将从财务、设备、技术力量等一切可能与本协议的履行有关的方面确保本协议项下各项义务的履行；</w:t>
      </w:r>
    </w:p>
    <w:p w14:paraId="57CA7672">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运营公司已经充分了解项目资产的范围和状况，完全认可其建设质量，并在委托运营期内承担本协议项下的责任。</w:t>
      </w:r>
    </w:p>
    <w:p w14:paraId="3E45EA1F">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如果运营公司在本协议第3.2条下所作的声明被证明在作出之时在实质方面不属实，市污水中心有权提前终止本协议。</w:t>
      </w:r>
      <w:bookmarkStart w:id="82" w:name="_Toc320891275"/>
      <w:bookmarkEnd w:id="82"/>
      <w:bookmarkStart w:id="83" w:name="_Toc320890879"/>
      <w:bookmarkEnd w:id="83"/>
      <w:bookmarkStart w:id="84" w:name="_Toc320863597"/>
      <w:bookmarkEnd w:id="84"/>
      <w:bookmarkStart w:id="85" w:name="_Toc320870093"/>
      <w:bookmarkEnd w:id="85"/>
      <w:bookmarkStart w:id="86" w:name="_Toc320891276"/>
      <w:bookmarkEnd w:id="86"/>
      <w:bookmarkStart w:id="87" w:name="_Toc320891273"/>
      <w:bookmarkEnd w:id="87"/>
      <w:bookmarkStart w:id="88" w:name="_Toc320870096"/>
      <w:bookmarkEnd w:id="88"/>
      <w:bookmarkStart w:id="89" w:name="_Toc320863599"/>
      <w:bookmarkEnd w:id="89"/>
      <w:bookmarkStart w:id="90" w:name="_市水务局的声明"/>
      <w:bookmarkEnd w:id="90"/>
      <w:bookmarkStart w:id="91" w:name="_Toc320890876"/>
      <w:bookmarkEnd w:id="91"/>
      <w:bookmarkStart w:id="92" w:name="_Toc320870095"/>
      <w:bookmarkEnd w:id="92"/>
      <w:bookmarkStart w:id="93" w:name="_Toc320890880"/>
      <w:bookmarkEnd w:id="93"/>
      <w:bookmarkStart w:id="94" w:name="_Toc320890878"/>
      <w:bookmarkEnd w:id="94"/>
      <w:bookmarkStart w:id="95" w:name="_Toc320870097"/>
      <w:bookmarkEnd w:id="95"/>
      <w:bookmarkStart w:id="96" w:name="_Toc320891274"/>
      <w:bookmarkEnd w:id="96"/>
      <w:bookmarkStart w:id="97" w:name="_Toc320870094"/>
      <w:bookmarkEnd w:id="97"/>
      <w:bookmarkStart w:id="98" w:name="_Toc320890877"/>
      <w:bookmarkEnd w:id="98"/>
      <w:bookmarkStart w:id="99" w:name="_Toc320863598"/>
      <w:bookmarkEnd w:id="99"/>
      <w:bookmarkStart w:id="100" w:name="_Toc320863595"/>
      <w:bookmarkEnd w:id="100"/>
      <w:bookmarkStart w:id="101" w:name="_Toc320891272"/>
      <w:bookmarkEnd w:id="101"/>
      <w:bookmarkStart w:id="102" w:name="_Toc320863596"/>
      <w:bookmarkEnd w:id="102"/>
      <w:bookmarkStart w:id="103" w:name="_Toc23704"/>
      <w:bookmarkStart w:id="104" w:name="_Toc25538"/>
      <w:bookmarkStart w:id="105" w:name="_Toc10178"/>
    </w:p>
    <w:p w14:paraId="7DB692D6">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left"/>
        <w:textAlignment w:val="auto"/>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3.3 不限制市污水中心法定权利</w:t>
      </w:r>
      <w:bookmarkEnd w:id="103"/>
      <w:bookmarkEnd w:id="104"/>
      <w:bookmarkEnd w:id="105"/>
    </w:p>
    <w:p w14:paraId="1DD81957">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本协议不限制市污水中心行使其法定权利。</w:t>
      </w:r>
      <w:bookmarkStart w:id="106" w:name="_履约保函_1"/>
      <w:bookmarkEnd w:id="106"/>
      <w:bookmarkStart w:id="107" w:name="_生效日后七(7)个工作日内，项目公司应向市水务局提交按照附件七的格式出"/>
      <w:bookmarkEnd w:id="107"/>
    </w:p>
    <w:p w14:paraId="09CC70F7">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108" w:name="_Toc17561"/>
      <w:bookmarkStart w:id="109" w:name="_Toc144196915"/>
      <w:bookmarkStart w:id="110" w:name="_Toc7209"/>
      <w:bookmarkStart w:id="111" w:name="_Toc31313"/>
      <w:bookmarkStart w:id="112" w:name="_Toc23296"/>
      <w:r>
        <w:rPr>
          <w:rFonts w:hint="eastAsia" w:ascii="仿宋" w:hAnsi="仿宋" w:eastAsia="仿宋" w:cs="仿宋"/>
          <w:b/>
          <w:bCs/>
          <w:sz w:val="24"/>
          <w:szCs w:val="24"/>
          <w:highlight w:val="none"/>
        </w:rPr>
        <w:t>第4条  双方的一般义务和共同义务</w:t>
      </w:r>
      <w:bookmarkEnd w:id="108"/>
      <w:bookmarkEnd w:id="109"/>
      <w:bookmarkEnd w:id="110"/>
      <w:bookmarkEnd w:id="111"/>
      <w:bookmarkEnd w:id="112"/>
    </w:p>
    <w:p w14:paraId="1E2DDD90">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113" w:name="_Toc16943"/>
      <w:bookmarkStart w:id="114" w:name="_Toc118882576"/>
      <w:bookmarkStart w:id="115" w:name="_Toc30611"/>
      <w:bookmarkStart w:id="116" w:name="_Toc15372"/>
      <w:bookmarkStart w:id="117" w:name="_Toc10144"/>
      <w:bookmarkStart w:id="118" w:name="_Toc144196916"/>
      <w:r>
        <w:rPr>
          <w:rFonts w:hint="eastAsia" w:ascii="仿宋" w:hAnsi="仿宋" w:eastAsia="仿宋" w:cs="仿宋"/>
          <w:b/>
          <w:bCs/>
          <w:sz w:val="24"/>
          <w:szCs w:val="24"/>
          <w:highlight w:val="none"/>
        </w:rPr>
        <w:t>4.1 市污水中心的一般义务</w:t>
      </w:r>
      <w:bookmarkEnd w:id="113"/>
      <w:bookmarkEnd w:id="114"/>
      <w:bookmarkEnd w:id="115"/>
      <w:bookmarkEnd w:id="116"/>
      <w:bookmarkEnd w:id="117"/>
      <w:bookmarkEnd w:id="118"/>
    </w:p>
    <w:p w14:paraId="6CF85F35">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119" w:name="_Toc118882577"/>
      <w:r>
        <w:rPr>
          <w:rFonts w:hint="eastAsia" w:ascii="仿宋" w:hAnsi="仿宋" w:eastAsia="仿宋" w:cs="仿宋"/>
          <w:b w:val="0"/>
          <w:bCs w:val="0"/>
          <w:sz w:val="24"/>
          <w:szCs w:val="24"/>
          <w:highlight w:val="none"/>
        </w:rPr>
        <w:t>遵守适用法律和本协议</w:t>
      </w:r>
      <w:bookmarkEnd w:id="119"/>
    </w:p>
    <w:p w14:paraId="3EFD7032">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市污水中心应始终遵守所有的适用法律和本协议的规定。</w:t>
      </w:r>
      <w:bookmarkStart w:id="120" w:name="_Toc118882578"/>
    </w:p>
    <w:p w14:paraId="247EF42E">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保持委托运营权的有效性</w:t>
      </w:r>
      <w:bookmarkEnd w:id="120"/>
    </w:p>
    <w:p w14:paraId="46A4071C">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除适用法律或本协议有特殊规定外，市污水中心应保持运营公司的委托运营权在整个委托运营期内始终有效。</w:t>
      </w:r>
      <w:bookmarkStart w:id="121" w:name="_Toc118882583"/>
    </w:p>
    <w:p w14:paraId="7A10A0A7">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不干预</w:t>
      </w:r>
      <w:bookmarkEnd w:id="121"/>
    </w:p>
    <w:p w14:paraId="4ECFB7C7">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市污水中心依据适用法律和本协议规定对运营公司进行监督检查时，不应不合理地干预项目设施的正常运营和维护。</w:t>
      </w:r>
    </w:p>
    <w:p w14:paraId="7BEE015E">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场地使用</w:t>
      </w:r>
    </w:p>
    <w:p w14:paraId="71D127F8">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市污水中心应确保运营公司在整个委托运营期内有权为本项目之目的合法出入污水厂除臭加盖项目涉及的场地。</w:t>
      </w:r>
    </w:p>
    <w:p w14:paraId="12A4AC54">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122" w:name="_Toc318457370"/>
      <w:bookmarkEnd w:id="122"/>
      <w:bookmarkStart w:id="123" w:name="_Toc318457488"/>
      <w:bookmarkEnd w:id="123"/>
      <w:bookmarkStart w:id="124" w:name="_Toc320863603"/>
      <w:bookmarkEnd w:id="124"/>
      <w:bookmarkStart w:id="125" w:name="_Toc318462654"/>
      <w:bookmarkEnd w:id="125"/>
      <w:bookmarkStart w:id="126" w:name="_Toc320863604"/>
      <w:bookmarkEnd w:id="126"/>
      <w:bookmarkStart w:id="127" w:name="_Toc320890884"/>
      <w:bookmarkEnd w:id="127"/>
      <w:bookmarkStart w:id="128" w:name="_Toc318462766"/>
      <w:bookmarkEnd w:id="128"/>
      <w:bookmarkStart w:id="129" w:name="_Toc320891280"/>
      <w:bookmarkEnd w:id="129"/>
      <w:bookmarkStart w:id="130" w:name="_Toc320870101"/>
      <w:bookmarkEnd w:id="130"/>
      <w:bookmarkStart w:id="131" w:name="_Toc318457957"/>
      <w:bookmarkEnd w:id="131"/>
      <w:bookmarkStart w:id="132" w:name="_Toc320891281"/>
      <w:bookmarkEnd w:id="132"/>
      <w:bookmarkStart w:id="133" w:name="_Toc320890885"/>
      <w:bookmarkEnd w:id="133"/>
      <w:bookmarkStart w:id="134" w:name="_Toc320870102"/>
      <w:bookmarkEnd w:id="134"/>
      <w:bookmarkStart w:id="135" w:name="_Toc17964"/>
      <w:bookmarkStart w:id="136" w:name="_Toc5145"/>
      <w:bookmarkStart w:id="137" w:name="_Toc144196917"/>
      <w:bookmarkStart w:id="138" w:name="_Toc118882584"/>
      <w:bookmarkStart w:id="139" w:name="_Toc27857"/>
      <w:bookmarkStart w:id="140" w:name="_Toc23407"/>
      <w:r>
        <w:rPr>
          <w:rFonts w:hint="eastAsia" w:ascii="仿宋" w:hAnsi="仿宋" w:eastAsia="仿宋" w:cs="仿宋"/>
          <w:b/>
          <w:bCs/>
          <w:sz w:val="24"/>
          <w:szCs w:val="24"/>
          <w:highlight w:val="none"/>
        </w:rPr>
        <w:t>4.2 运营公司的一般义务</w:t>
      </w:r>
      <w:bookmarkEnd w:id="135"/>
      <w:bookmarkEnd w:id="136"/>
      <w:bookmarkEnd w:id="137"/>
      <w:bookmarkEnd w:id="138"/>
      <w:bookmarkEnd w:id="139"/>
      <w:bookmarkEnd w:id="140"/>
    </w:p>
    <w:p w14:paraId="1545E834">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141" w:name="_Toc118882585"/>
      <w:r>
        <w:rPr>
          <w:rFonts w:hint="eastAsia" w:ascii="仿宋" w:hAnsi="仿宋" w:eastAsia="仿宋" w:cs="仿宋"/>
          <w:b w:val="0"/>
          <w:bCs w:val="0"/>
          <w:sz w:val="24"/>
          <w:szCs w:val="24"/>
          <w:highlight w:val="none"/>
        </w:rPr>
        <w:t>遵守适用法律和本协议</w:t>
      </w:r>
      <w:bookmarkEnd w:id="141"/>
    </w:p>
    <w:p w14:paraId="05780E00">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运营公司应始终遵守所有的适用法律及本协议的规定。</w:t>
      </w:r>
      <w:bookmarkStart w:id="142" w:name="_Toc118882586"/>
    </w:p>
    <w:p w14:paraId="640A19C8">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提供污水除臭服务</w:t>
      </w:r>
    </w:p>
    <w:p w14:paraId="029193DD">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运营公司应按照本协议约定的臭气排放标准提供除臭服务。</w:t>
      </w:r>
    </w:p>
    <w:p w14:paraId="427C5537">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运营公司应在运营期内每季度向市污水中心报告臭气排放检测情况。</w:t>
      </w:r>
    </w:p>
    <w:p w14:paraId="31EF83D2">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运营公司应当在下列事项出现后五（5）个工作日内向市污水中心提交书面备案报告，报告该等事项的具体内容。</w:t>
      </w:r>
    </w:p>
    <w:p w14:paraId="3C3A7CEF">
      <w:pPr>
        <w:pageBreakBefore w:val="0"/>
        <w:widowControl w:val="0"/>
        <w:tabs>
          <w:tab w:val="left" w:pos="1260"/>
          <w:tab w:val="left" w:pos="1440"/>
        </w:tabs>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a）运营公司高级管理人员发生变动的情况；</w:t>
      </w:r>
    </w:p>
    <w:p w14:paraId="6BA9EBEF">
      <w:pPr>
        <w:pageBreakBefore w:val="0"/>
        <w:widowControl w:val="0"/>
        <w:tabs>
          <w:tab w:val="left" w:pos="1260"/>
          <w:tab w:val="left" w:pos="1440"/>
        </w:tabs>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b）运营公司签署的可能对委托运营业务有重大影响的合同、协议或意向书；</w:t>
      </w:r>
    </w:p>
    <w:p w14:paraId="3421A8A1">
      <w:pPr>
        <w:pageBreakBefore w:val="0"/>
        <w:widowControl w:val="0"/>
        <w:tabs>
          <w:tab w:val="left" w:pos="1260"/>
          <w:tab w:val="left" w:pos="1440"/>
        </w:tabs>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c）其他对运营公司经营业务有重大影响的事项。</w:t>
      </w:r>
    </w:p>
    <w:p w14:paraId="3BE919CC">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接受市污水中心的监督管理</w:t>
      </w:r>
      <w:bookmarkEnd w:id="142"/>
    </w:p>
    <w:p w14:paraId="2D43F26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接受市污水中心根据适用法律和本协议的规定对运营公司运营和维护项目设施的监督管理，并为市污水中心履行上述监督管理权利提供相应的工作条件；并应根据本协议以及市污水中心的要求，及时报送有关资料。</w:t>
      </w:r>
    </w:p>
    <w:p w14:paraId="777881D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143" w:name="_Toc118882588"/>
      <w:r>
        <w:rPr>
          <w:rFonts w:hint="eastAsia" w:ascii="仿宋" w:hAnsi="仿宋" w:eastAsia="仿宋" w:cs="仿宋"/>
          <w:b w:val="0"/>
          <w:bCs w:val="0"/>
          <w:sz w:val="24"/>
          <w:szCs w:val="24"/>
          <w:highlight w:val="none"/>
        </w:rPr>
        <w:t>遵守安全标准和环境保护的责任</w:t>
      </w:r>
      <w:bookmarkEnd w:id="143"/>
    </w:p>
    <w:p w14:paraId="7FD52709">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运营公司应始终遵守有关公共卫生、环境保护和安全的适用法律及本协议的规定。</w:t>
      </w:r>
    </w:p>
    <w:p w14:paraId="0BE51DF7">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运营公司不应因项目设施的运营和维护而造成污水处理厂场地或周围环境的污染。</w:t>
      </w:r>
    </w:p>
    <w:p w14:paraId="7D652F49">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运营公司在项目设施的运营和维护期间应采取一切合理措施来避免或尽量减少对项目设施周围建筑物和居民区的干扰。</w:t>
      </w:r>
    </w:p>
    <w:p w14:paraId="6E5FE39D">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144" w:name="_普遍服务的义务"/>
      <w:bookmarkEnd w:id="144"/>
      <w:bookmarkStart w:id="145" w:name="_Toc118882591"/>
      <w:r>
        <w:rPr>
          <w:rFonts w:hint="eastAsia" w:ascii="仿宋" w:hAnsi="仿宋" w:eastAsia="仿宋" w:cs="仿宋"/>
          <w:b w:val="0"/>
          <w:bCs w:val="0"/>
          <w:sz w:val="24"/>
          <w:szCs w:val="24"/>
          <w:highlight w:val="none"/>
        </w:rPr>
        <w:t>接受接管</w:t>
      </w:r>
      <w:bookmarkEnd w:id="145"/>
      <w:r>
        <w:rPr>
          <w:rFonts w:hint="eastAsia" w:ascii="仿宋" w:hAnsi="仿宋" w:eastAsia="仿宋" w:cs="仿宋"/>
          <w:b w:val="0"/>
          <w:bCs w:val="0"/>
          <w:sz w:val="24"/>
          <w:szCs w:val="24"/>
          <w:highlight w:val="none"/>
        </w:rPr>
        <w:t>和征用</w:t>
      </w:r>
    </w:p>
    <w:p w14:paraId="583018BE">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运营公司应接受市污水中心依据适用法律和本协议的规定对其进行的临时接管和其他管制措施。</w:t>
      </w:r>
    </w:p>
    <w:p w14:paraId="2208BFE3">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运营公司应遵守在紧急情况下依照适用法律接受政府征用的义务。</w:t>
      </w:r>
      <w:bookmarkStart w:id="146" w:name="_Toc144196918"/>
      <w:bookmarkStart w:id="147" w:name="_Toc118882592"/>
      <w:bookmarkStart w:id="148" w:name="_Toc1903"/>
    </w:p>
    <w:p w14:paraId="340ECEC9">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b w:val="0"/>
          <w:bCs w:val="0"/>
          <w:sz w:val="24"/>
          <w:szCs w:val="24"/>
          <w:highlight w:val="none"/>
          <w:lang w:val="en-US" w:eastAsia="zh-CN"/>
        </w:rPr>
        <w:t>在设备报废年限内，运营公司因对设备进行基础的养护，以维持其正常运转，因使用不当或者未按要求使用产生的损坏（非设备质量原因），运营公司自行出资维修。</w:t>
      </w:r>
    </w:p>
    <w:p w14:paraId="5FB35E4A">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4.3 双方的共同义务</w:t>
      </w:r>
      <w:bookmarkEnd w:id="146"/>
      <w:bookmarkEnd w:id="147"/>
      <w:bookmarkEnd w:id="148"/>
      <w:bookmarkStart w:id="149" w:name="_Toc118882593"/>
    </w:p>
    <w:p w14:paraId="13DD53FC">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保密</w:t>
      </w:r>
      <w:bookmarkEnd w:id="149"/>
    </w:p>
    <w:p w14:paraId="023C19F2">
      <w:pPr>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各方对本协议及相关文件均负有保密责任，但市污水中心可根据国家法律和政府部门的要求，以及双方为满足各自股东作为上市公司的信息披露要求的情况除外。</w:t>
      </w:r>
    </w:p>
    <w:p w14:paraId="5DFBA846">
      <w:pPr>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市污水中心不得将运营公司提供的有关资料向第三方公布，但为满足公共监督要求而必须公布的信息除外。</w:t>
      </w:r>
      <w:bookmarkStart w:id="150" w:name="_Toc118882594"/>
    </w:p>
    <w:p w14:paraId="145EC5F4">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合作义务和预先警告通知</w:t>
      </w:r>
      <w:bookmarkEnd w:id="150"/>
    </w:p>
    <w:p w14:paraId="7D28E7D8">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双方应相互合作以达到本协议的目的，并应善意地行使和履行其在本协议项下的权利和义务。在此前提下，双方同意：</w:t>
      </w:r>
    </w:p>
    <w:p w14:paraId="5B86B343">
      <w:pPr>
        <w:pageBreakBefore w:val="0"/>
        <w:widowControl w:val="0"/>
        <w:numPr>
          <w:ilvl w:val="0"/>
          <w:numId w:val="3"/>
        </w:numPr>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当一方合理要求需要取得另一方的同意或批准时，被要求方不可以无理拒绝或迟延给予该等同意或批准。</w:t>
      </w:r>
    </w:p>
    <w:p w14:paraId="7CEAC79F">
      <w:pPr>
        <w:pageBreakBefore w:val="0"/>
        <w:widowControl w:val="0"/>
        <w:numPr>
          <w:ilvl w:val="0"/>
          <w:numId w:val="3"/>
        </w:numPr>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如果任何一方获悉任何以下事件或情形：</w:t>
      </w:r>
    </w:p>
    <w:p w14:paraId="28C06056">
      <w:pPr>
        <w:pStyle w:val="7"/>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color w:val="auto"/>
          <w:kern w:val="0"/>
          <w:sz w:val="24"/>
          <w:szCs w:val="24"/>
          <w:highlight w:val="none"/>
        </w:rPr>
        <w:t>① 合理地预计该事件或情形将对任何一</w:t>
      </w:r>
      <w:r>
        <w:rPr>
          <w:rFonts w:hint="eastAsia" w:ascii="仿宋" w:hAnsi="仿宋" w:eastAsia="仿宋" w:cs="仿宋"/>
          <w:bCs/>
          <w:sz w:val="24"/>
          <w:szCs w:val="24"/>
          <w:highlight w:val="none"/>
        </w:rPr>
        <w:t>方履行其本协议项下的义务或实施项目的能力造成重大不利影响；并且</w:t>
      </w:r>
    </w:p>
    <w:p w14:paraId="12604A43">
      <w:pPr>
        <w:pStyle w:val="7"/>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bCs/>
          <w:sz w:val="24"/>
          <w:szCs w:val="24"/>
          <w:highlight w:val="none"/>
        </w:rPr>
      </w:pPr>
      <w:r>
        <w:rPr>
          <w:rFonts w:hint="eastAsia" w:ascii="仿宋" w:hAnsi="仿宋" w:eastAsia="仿宋" w:cs="仿宋"/>
          <w:bCs/>
          <w:sz w:val="24"/>
          <w:szCs w:val="24"/>
          <w:highlight w:val="none"/>
        </w:rPr>
        <w:t>② 合理地预计另一方不能获悉该事件或情形；</w:t>
      </w:r>
    </w:p>
    <w:p w14:paraId="4143DD7E">
      <w:pPr>
        <w:pStyle w:val="14"/>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Cs/>
          <w:szCs w:val="24"/>
          <w:highlight w:val="none"/>
        </w:rPr>
      </w:pPr>
      <w:r>
        <w:rPr>
          <w:rFonts w:hint="eastAsia" w:ascii="仿宋" w:hAnsi="仿宋" w:eastAsia="仿宋" w:cs="仿宋"/>
          <w:bCs/>
          <w:szCs w:val="24"/>
          <w:highlight w:val="none"/>
        </w:rPr>
        <w:t>该方应尽快将该事件或情形通知另一方。</w:t>
      </w:r>
    </w:p>
    <w:p w14:paraId="1472B54F">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rPr>
      </w:pPr>
      <w:r>
        <w:rPr>
          <w:rFonts w:hint="eastAsia" w:ascii="仿宋" w:hAnsi="仿宋" w:eastAsia="仿宋" w:cs="仿宋"/>
          <w:b w:val="0"/>
          <w:sz w:val="24"/>
          <w:szCs w:val="24"/>
          <w:highlight w:val="none"/>
        </w:rPr>
        <w:t>对于运营公司因承担政府指令任务或公益性任务造成的损失，以及因配合政府处理突发公共事件采取应急措施而造成的损失，双方通过友好协商方式解决。</w:t>
      </w:r>
    </w:p>
    <w:p w14:paraId="18172E97">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lang w:eastAsia="zh-CN"/>
        </w:rPr>
      </w:pPr>
      <w:bookmarkStart w:id="151" w:name="_Toc22233"/>
      <w:bookmarkStart w:id="152" w:name="_Toc31787"/>
      <w:bookmarkStart w:id="153" w:name="_Toc11191"/>
      <w:bookmarkStart w:id="154" w:name="_Toc25785"/>
      <w:r>
        <w:rPr>
          <w:rFonts w:hint="eastAsia" w:ascii="仿宋" w:hAnsi="仿宋" w:eastAsia="仿宋" w:cs="仿宋"/>
          <w:b/>
          <w:bCs/>
          <w:sz w:val="24"/>
          <w:szCs w:val="24"/>
          <w:highlight w:val="none"/>
        </w:rPr>
        <w:t>4.4 安全</w:t>
      </w:r>
      <w:bookmarkEnd w:id="151"/>
      <w:bookmarkEnd w:id="152"/>
      <w:bookmarkEnd w:id="153"/>
      <w:bookmarkEnd w:id="154"/>
      <w:r>
        <w:rPr>
          <w:rFonts w:hint="eastAsia" w:ascii="仿宋" w:hAnsi="仿宋" w:eastAsia="仿宋" w:cs="仿宋"/>
          <w:b/>
          <w:bCs/>
          <w:sz w:val="24"/>
          <w:szCs w:val="24"/>
          <w:highlight w:val="none"/>
          <w:lang w:val="en-US" w:eastAsia="zh-CN"/>
        </w:rPr>
        <w:t>管理</w:t>
      </w:r>
    </w:p>
    <w:p w14:paraId="717ABE66">
      <w:pPr>
        <w:pStyle w:val="7"/>
        <w:widowControl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a）安全、环保权责划分</w:t>
      </w:r>
    </w:p>
    <w:p w14:paraId="1631A1F1">
      <w:pPr>
        <w:pStyle w:val="15"/>
        <w:keepNext w:val="0"/>
        <w:keepLines w:val="0"/>
        <w:pageBreakBefore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rPr>
        <w:t xml:space="preserve">① </w:t>
      </w:r>
      <w:r>
        <w:rPr>
          <w:rFonts w:hint="eastAsia" w:ascii="仿宋" w:hAnsi="仿宋" w:eastAsia="仿宋" w:cs="仿宋"/>
          <w:b w:val="0"/>
          <w:bCs/>
          <w:color w:val="auto"/>
          <w:kern w:val="2"/>
          <w:sz w:val="24"/>
          <w:szCs w:val="24"/>
          <w:highlight w:val="none"/>
          <w:lang w:val="en-US" w:eastAsia="zh-CN" w:bidi="ar-SA"/>
        </w:rPr>
        <w:t>运营公司应落实除臭系统安全生产主体责任，须按照属地环保、应急管理及街道等主管部门要求完成项目报备。</w:t>
      </w:r>
    </w:p>
    <w:p w14:paraId="6198507F">
      <w:pPr>
        <w:pStyle w:val="15"/>
        <w:keepNext w:val="0"/>
        <w:keepLines w:val="0"/>
        <w:pageBreakBefore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rPr>
        <w:t xml:space="preserve">② </w:t>
      </w:r>
      <w:r>
        <w:rPr>
          <w:rFonts w:hint="eastAsia" w:ascii="仿宋" w:hAnsi="仿宋" w:eastAsia="仿宋" w:cs="仿宋"/>
          <w:b w:val="0"/>
          <w:bCs/>
          <w:color w:val="auto"/>
          <w:kern w:val="2"/>
          <w:sz w:val="24"/>
          <w:szCs w:val="24"/>
          <w:highlight w:val="none"/>
          <w:lang w:val="en-US" w:eastAsia="zh-CN" w:bidi="ar-SA"/>
        </w:rPr>
        <w:t>如发生安全或环保事件，运营公司应按照应急预案程序第一时间向相关部门报告，并根据情况同步告知市污水中心。</w:t>
      </w:r>
    </w:p>
    <w:p w14:paraId="5C088B5E">
      <w:pPr>
        <w:pStyle w:val="15"/>
        <w:keepNext w:val="0"/>
        <w:keepLines w:val="0"/>
        <w:pageBreakBefore w:val="0"/>
        <w:kinsoku/>
        <w:wordWrap/>
        <w:overflowPunct/>
        <w:topLinePunct w:val="0"/>
        <w:autoSpaceDE/>
        <w:autoSpaceDN/>
        <w:bidi w:val="0"/>
        <w:adjustRightInd w:val="0"/>
        <w:snapToGrid w:val="0"/>
        <w:spacing w:line="360" w:lineRule="auto"/>
        <w:ind w:left="0" w:right="0" w:firstLine="480" w:firstLineChars="200"/>
        <w:jc w:val="both"/>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 xml:space="preserve">③ </w:t>
      </w:r>
      <w:r>
        <w:rPr>
          <w:rFonts w:hint="eastAsia" w:ascii="仿宋" w:hAnsi="仿宋" w:eastAsia="仿宋" w:cs="仿宋"/>
          <w:bCs/>
          <w:color w:val="auto"/>
          <w:kern w:val="2"/>
          <w:sz w:val="24"/>
          <w:szCs w:val="24"/>
          <w:highlight w:val="none"/>
          <w:lang w:val="en-US" w:eastAsia="zh-CN" w:bidi="ar-SA"/>
        </w:rPr>
        <w:t>运营公司</w:t>
      </w:r>
      <w:r>
        <w:rPr>
          <w:rFonts w:hint="eastAsia" w:ascii="仿宋" w:hAnsi="仿宋" w:eastAsia="仿宋" w:cs="仿宋"/>
          <w:b w:val="0"/>
          <w:bCs/>
          <w:color w:val="auto"/>
          <w:kern w:val="2"/>
          <w:sz w:val="24"/>
          <w:szCs w:val="24"/>
          <w:highlight w:val="none"/>
          <w:lang w:val="en-US" w:eastAsia="zh-CN" w:bidi="ar-SA"/>
        </w:rPr>
        <w:t>应严格遵守污水厂排污许可证中的各项管理要求，确保臭气达标排放。</w:t>
      </w:r>
    </w:p>
    <w:p w14:paraId="30ECF89A">
      <w:pPr>
        <w:pStyle w:val="7"/>
        <w:widowControl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b）人员安全方面</w:t>
      </w:r>
    </w:p>
    <w:p w14:paraId="6B8831CD">
      <w:pPr>
        <w:pStyle w:val="7"/>
        <w:widowControl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① 运维人员要求着装统一且有明显标识，且遵守厂区规章制度。</w:t>
      </w:r>
    </w:p>
    <w:p w14:paraId="18FF8B75">
      <w:pPr>
        <w:pStyle w:val="7"/>
        <w:widowControl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 xml:space="preserve">② </w:t>
      </w:r>
      <w:r>
        <w:rPr>
          <w:rFonts w:hint="eastAsia" w:ascii="仿宋" w:hAnsi="仿宋" w:eastAsia="仿宋" w:cs="仿宋"/>
          <w:b w:val="0"/>
          <w:bCs/>
          <w:color w:val="auto"/>
          <w:sz w:val="24"/>
          <w:szCs w:val="24"/>
          <w:highlight w:val="none"/>
        </w:rPr>
        <w:t>运营公司</w:t>
      </w:r>
      <w:r>
        <w:rPr>
          <w:rFonts w:hint="eastAsia" w:ascii="仿宋" w:hAnsi="仿宋" w:eastAsia="仿宋" w:cs="仿宋"/>
          <w:b w:val="0"/>
          <w:bCs/>
          <w:color w:val="auto"/>
          <w:kern w:val="2"/>
          <w:sz w:val="24"/>
          <w:szCs w:val="24"/>
          <w:highlight w:val="none"/>
          <w:lang w:val="en-US" w:eastAsia="zh-CN"/>
        </w:rPr>
        <w:t>委派运维人员入场前，须完成运维人员安全教育培训并考核合格后，经工作场地管理单位安全教育培训后办理工作证上岗，在工作期间应接受设施所在单位统一管理协调，遵守相关制度，并与其签署安全生产管理协议，全面落实安全生产主体责任。</w:t>
      </w:r>
    </w:p>
    <w:p w14:paraId="6ED10523">
      <w:pPr>
        <w:pStyle w:val="7"/>
        <w:widowControl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c）现场安全方面</w:t>
      </w:r>
    </w:p>
    <w:p w14:paraId="20C1C531">
      <w:pPr>
        <w:pStyle w:val="7"/>
        <w:widowControl w:val="0"/>
        <w:adjustRightInd w:val="0"/>
        <w:snapToGrid w:val="0"/>
        <w:spacing w:line="360" w:lineRule="auto"/>
        <w:ind w:firstLine="480" w:firstLineChars="200"/>
        <w:jc w:val="left"/>
        <w:outlineLvl w:val="9"/>
        <w:rPr>
          <w:rFonts w:hint="eastAsia" w:ascii="仿宋" w:hAnsi="仿宋" w:eastAsia="仿宋" w:cs="仿宋"/>
          <w:b w:val="0"/>
          <w:bCs/>
          <w:color w:val="auto"/>
          <w:kern w:val="2"/>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rPr>
        <w:t xml:space="preserve">① </w:t>
      </w:r>
      <w:r>
        <w:rPr>
          <w:rFonts w:hint="eastAsia" w:ascii="仿宋" w:hAnsi="仿宋" w:eastAsia="仿宋" w:cs="仿宋"/>
          <w:b w:val="0"/>
          <w:bCs/>
          <w:color w:val="auto"/>
          <w:sz w:val="24"/>
          <w:szCs w:val="24"/>
          <w:highlight w:val="none"/>
        </w:rPr>
        <w:t>运营公司</w:t>
      </w:r>
      <w:r>
        <w:rPr>
          <w:rFonts w:hint="eastAsia" w:ascii="仿宋" w:hAnsi="仿宋" w:eastAsia="仿宋" w:cs="仿宋"/>
          <w:b w:val="0"/>
          <w:bCs/>
          <w:color w:val="auto"/>
          <w:kern w:val="2"/>
          <w:sz w:val="24"/>
          <w:szCs w:val="24"/>
          <w:highlight w:val="none"/>
          <w:lang w:val="en-US" w:eastAsia="zh-CN"/>
        </w:rPr>
        <w:t>须为除臭加盖系统树立公示牌，公示内容应包含中标单位名称、风险识别、责任人等信息。</w:t>
      </w:r>
    </w:p>
    <w:p w14:paraId="04487D43">
      <w:pPr>
        <w:pStyle w:val="7"/>
        <w:adjustRightInd/>
        <w:snapToGrid w:val="0"/>
        <w:spacing w:line="360" w:lineRule="auto"/>
        <w:ind w:firstLine="480" w:firstLineChars="200"/>
        <w:jc w:val="left"/>
        <w:outlineLvl w:val="9"/>
        <w:rPr>
          <w:rFonts w:hint="eastAsia" w:ascii="仿宋" w:hAnsi="仿宋" w:eastAsia="仿宋" w:cs="仿宋"/>
          <w:b w:val="0"/>
          <w:color w:val="auto"/>
          <w:sz w:val="24"/>
          <w:szCs w:val="24"/>
          <w:highlight w:val="none"/>
          <w:lang w:eastAsia="zh-CN"/>
        </w:rPr>
      </w:pPr>
      <w:r>
        <w:rPr>
          <w:rFonts w:hint="eastAsia" w:ascii="仿宋" w:hAnsi="仿宋" w:eastAsia="仿宋" w:cs="仿宋"/>
          <w:b w:val="0"/>
          <w:bCs/>
          <w:color w:val="auto"/>
          <w:kern w:val="2"/>
          <w:sz w:val="24"/>
          <w:szCs w:val="24"/>
          <w:highlight w:val="none"/>
          <w:lang w:val="en-US" w:eastAsia="zh-CN"/>
        </w:rPr>
        <w:t xml:space="preserve">② </w:t>
      </w:r>
      <w:r>
        <w:rPr>
          <w:rFonts w:hint="eastAsia" w:ascii="仿宋" w:hAnsi="仿宋" w:eastAsia="仿宋" w:cs="仿宋"/>
          <w:b w:val="0"/>
          <w:bCs/>
          <w:color w:val="auto"/>
          <w:sz w:val="24"/>
          <w:szCs w:val="24"/>
          <w:highlight w:val="none"/>
        </w:rPr>
        <w:t>运营公司</w:t>
      </w:r>
      <w:r>
        <w:rPr>
          <w:rFonts w:hint="eastAsia" w:ascii="仿宋" w:hAnsi="仿宋" w:eastAsia="仿宋" w:cs="仿宋"/>
          <w:b w:val="0"/>
          <w:bCs/>
          <w:color w:val="auto"/>
          <w:kern w:val="2"/>
          <w:sz w:val="24"/>
          <w:szCs w:val="24"/>
          <w:highlight w:val="none"/>
          <w:lang w:val="en-US" w:eastAsia="zh-CN"/>
        </w:rPr>
        <w:t>如发现安全隐患，应及时消除。</w:t>
      </w:r>
    </w:p>
    <w:p w14:paraId="47C53584">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sz w:val="24"/>
          <w:szCs w:val="24"/>
          <w:highlight w:val="none"/>
          <w:lang w:eastAsia="zh-CN"/>
        </w:rPr>
      </w:pPr>
    </w:p>
    <w:p w14:paraId="30F03BC7">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155" w:name="_Toc144196963"/>
      <w:bookmarkStart w:id="156" w:name="_Toc22983"/>
      <w:bookmarkStart w:id="157" w:name="_Toc12613"/>
      <w:bookmarkStart w:id="158" w:name="_Toc3215"/>
      <w:bookmarkStart w:id="159" w:name="_Toc26925"/>
      <w:r>
        <w:rPr>
          <w:rFonts w:hint="eastAsia" w:ascii="仿宋" w:hAnsi="仿宋" w:eastAsia="仿宋" w:cs="仿宋"/>
          <w:b/>
          <w:bCs/>
          <w:sz w:val="24"/>
          <w:szCs w:val="24"/>
          <w:highlight w:val="none"/>
        </w:rPr>
        <w:t>第5条  臭气排放标准和</w:t>
      </w:r>
      <w:bookmarkEnd w:id="155"/>
      <w:r>
        <w:rPr>
          <w:rFonts w:hint="eastAsia" w:ascii="仿宋" w:hAnsi="仿宋" w:eastAsia="仿宋" w:cs="仿宋"/>
          <w:b/>
          <w:bCs/>
          <w:sz w:val="24"/>
          <w:szCs w:val="24"/>
          <w:highlight w:val="none"/>
        </w:rPr>
        <w:t>监督</w:t>
      </w:r>
      <w:bookmarkEnd w:id="156"/>
      <w:bookmarkEnd w:id="157"/>
      <w:bookmarkEnd w:id="158"/>
      <w:bookmarkEnd w:id="159"/>
    </w:p>
    <w:p w14:paraId="09A0826B">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160" w:name="_Toc14642"/>
      <w:bookmarkStart w:id="161" w:name="_Toc7119"/>
      <w:bookmarkStart w:id="162" w:name="_Toc13936"/>
      <w:bookmarkStart w:id="163" w:name="_Toc31603"/>
      <w:r>
        <w:rPr>
          <w:rFonts w:hint="eastAsia" w:ascii="仿宋" w:hAnsi="仿宋" w:eastAsia="仿宋" w:cs="仿宋"/>
          <w:b/>
          <w:bCs/>
          <w:sz w:val="24"/>
          <w:szCs w:val="24"/>
          <w:highlight w:val="none"/>
        </w:rPr>
        <w:t>5.1 臭气排放标准</w:t>
      </w:r>
      <w:bookmarkEnd w:id="160"/>
      <w:bookmarkEnd w:id="161"/>
      <w:bookmarkEnd w:id="162"/>
      <w:bookmarkEnd w:id="163"/>
    </w:p>
    <w:p w14:paraId="4196FB50">
      <w:pPr>
        <w:pageBreakBefore w:val="0"/>
        <w:widowControl w:val="0"/>
        <w:kinsoku/>
        <w:wordWrap/>
        <w:overflowPunct/>
        <w:topLinePunct w:val="0"/>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委托运营期间，运营公司应将</w:t>
      </w:r>
      <w:r>
        <w:rPr>
          <w:rFonts w:hint="eastAsia" w:ascii="仿宋" w:hAnsi="仿宋" w:eastAsia="仿宋" w:cs="仿宋"/>
          <w:color w:val="auto"/>
          <w:sz w:val="24"/>
          <w:szCs w:val="24"/>
          <w:highlight w:val="none"/>
          <w:u w:val="single"/>
        </w:rPr>
        <w:t>西安市第一、第二污水处理厂二期除臭加盖运营维护项目</w:t>
      </w:r>
      <w:r>
        <w:rPr>
          <w:rFonts w:hint="eastAsia" w:ascii="仿宋" w:hAnsi="仿宋" w:eastAsia="仿宋" w:cs="仿宋"/>
          <w:b w:val="0"/>
          <w:bCs w:val="0"/>
          <w:sz w:val="24"/>
          <w:szCs w:val="24"/>
          <w:highlight w:val="none"/>
        </w:rPr>
        <w:t>处理后的臭气排放标准达到《恶臭污染物排放标准》（GB14554-93）及《大气污染物综合排放标准》（GB16297-1996）规定的二级排放标准，主要指标应符合下表之规定。</w:t>
      </w:r>
    </w:p>
    <w:p w14:paraId="06CC0E13">
      <w:pPr>
        <w:pageBreakBefore w:val="0"/>
        <w:widowControl w:val="0"/>
        <w:kinsoku/>
        <w:wordWrap/>
        <w:overflowPunct/>
        <w:topLinePunct w:val="0"/>
        <w:autoSpaceDE w:val="0"/>
        <w:autoSpaceDN w:val="0"/>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kern w:val="0"/>
          <w:sz w:val="24"/>
          <w:szCs w:val="24"/>
          <w:highlight w:val="none"/>
        </w:rPr>
      </w:pPr>
      <w:bookmarkStart w:id="164" w:name="_Toc144196965"/>
      <w:bookmarkStart w:id="165" w:name="_Toc127352500"/>
      <w:bookmarkStart w:id="166" w:name="_Toc78813950"/>
      <w:bookmarkStart w:id="167" w:name="_Toc78799879"/>
      <w:r>
        <w:rPr>
          <w:rFonts w:hint="eastAsia" w:ascii="仿宋" w:hAnsi="仿宋" w:eastAsia="仿宋" w:cs="仿宋"/>
          <w:kern w:val="0"/>
          <w:sz w:val="24"/>
          <w:szCs w:val="24"/>
          <w:highlight w:val="none"/>
        </w:rPr>
        <w:t>表：</w:t>
      </w:r>
      <w:r>
        <w:rPr>
          <w:rFonts w:hint="eastAsia" w:ascii="仿宋" w:hAnsi="仿宋" w:eastAsia="仿宋" w:cs="仿宋"/>
          <w:color w:val="auto"/>
          <w:sz w:val="24"/>
          <w:szCs w:val="24"/>
          <w:highlight w:val="none"/>
          <w:u w:val="single"/>
        </w:rPr>
        <w:t>西安市第一、第二污水处理厂二期除臭加盖运营维护项目</w:t>
      </w:r>
      <w:r>
        <w:rPr>
          <w:rFonts w:hint="eastAsia" w:ascii="仿宋" w:hAnsi="仿宋" w:eastAsia="仿宋" w:cs="仿宋"/>
          <w:kern w:val="0"/>
          <w:sz w:val="24"/>
          <w:szCs w:val="24"/>
          <w:highlight w:val="none"/>
        </w:rPr>
        <w:t>臭气排放标准</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6"/>
        <w:gridCol w:w="2268"/>
        <w:gridCol w:w="2375"/>
        <w:gridCol w:w="2445"/>
      </w:tblGrid>
      <w:tr w14:paraId="0197E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noWrap w:val="0"/>
            <w:vAlign w:val="center"/>
          </w:tcPr>
          <w:p w14:paraId="0DA48055">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项号</w:t>
            </w:r>
          </w:p>
        </w:tc>
        <w:tc>
          <w:tcPr>
            <w:tcW w:w="2268" w:type="dxa"/>
            <w:noWrap w:val="0"/>
            <w:vAlign w:val="bottom"/>
          </w:tcPr>
          <w:p w14:paraId="684EFBFB">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参数</w:t>
            </w:r>
          </w:p>
        </w:tc>
        <w:tc>
          <w:tcPr>
            <w:tcW w:w="2375" w:type="dxa"/>
            <w:noWrap w:val="0"/>
            <w:vAlign w:val="bottom"/>
          </w:tcPr>
          <w:p w14:paraId="221BB830">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单位</w:t>
            </w:r>
          </w:p>
        </w:tc>
        <w:tc>
          <w:tcPr>
            <w:tcW w:w="2445" w:type="dxa"/>
            <w:noWrap w:val="0"/>
            <w:vAlign w:val="bottom"/>
          </w:tcPr>
          <w:p w14:paraId="4C08C70C">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平均浓度限值</w:t>
            </w:r>
          </w:p>
        </w:tc>
      </w:tr>
      <w:tr w14:paraId="207C8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noWrap w:val="0"/>
            <w:vAlign w:val="center"/>
          </w:tcPr>
          <w:p w14:paraId="44C8E235">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2268" w:type="dxa"/>
            <w:noWrap w:val="0"/>
            <w:vAlign w:val="center"/>
          </w:tcPr>
          <w:p w14:paraId="77547A2B">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氨</w:t>
            </w:r>
          </w:p>
        </w:tc>
        <w:tc>
          <w:tcPr>
            <w:tcW w:w="2375" w:type="dxa"/>
            <w:noWrap w:val="0"/>
            <w:vAlign w:val="center"/>
          </w:tcPr>
          <w:p w14:paraId="3512FA22">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mg/m³</w:t>
            </w:r>
          </w:p>
        </w:tc>
        <w:tc>
          <w:tcPr>
            <w:tcW w:w="2445" w:type="dxa"/>
            <w:noWrap w:val="0"/>
            <w:vAlign w:val="bottom"/>
          </w:tcPr>
          <w:p w14:paraId="2712089A">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r>
      <w:tr w14:paraId="3FA21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noWrap w:val="0"/>
            <w:vAlign w:val="center"/>
          </w:tcPr>
          <w:p w14:paraId="06EA51DE">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p>
        </w:tc>
        <w:tc>
          <w:tcPr>
            <w:tcW w:w="2268" w:type="dxa"/>
            <w:noWrap w:val="0"/>
            <w:vAlign w:val="center"/>
          </w:tcPr>
          <w:p w14:paraId="661ADF40">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硫化氢</w:t>
            </w:r>
          </w:p>
        </w:tc>
        <w:tc>
          <w:tcPr>
            <w:tcW w:w="2375" w:type="dxa"/>
            <w:noWrap w:val="0"/>
            <w:vAlign w:val="center"/>
          </w:tcPr>
          <w:p w14:paraId="04CE7B05">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mg/ m³</w:t>
            </w:r>
          </w:p>
        </w:tc>
        <w:tc>
          <w:tcPr>
            <w:tcW w:w="2445" w:type="dxa"/>
            <w:noWrap w:val="0"/>
            <w:vAlign w:val="bottom"/>
          </w:tcPr>
          <w:p w14:paraId="3445BD0B">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0.06</w:t>
            </w:r>
          </w:p>
        </w:tc>
      </w:tr>
      <w:tr w14:paraId="21D18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16" w:type="dxa"/>
            <w:noWrap w:val="0"/>
            <w:vAlign w:val="center"/>
          </w:tcPr>
          <w:p w14:paraId="0AEC9D45">
            <w:pPr>
              <w:kinsoku/>
              <w:wordWrap/>
              <w:overflowPunct/>
              <w:topLinePunct w:val="0"/>
              <w:autoSpaceDE w:val="0"/>
              <w:autoSpaceDN w:val="0"/>
              <w:bidi w:val="0"/>
              <w:adjustRightInd w:val="0"/>
              <w:snapToGrid w:val="0"/>
              <w:spacing w:line="360" w:lineRule="auto"/>
              <w:ind w:left="0" w:leftChars="0" w:right="0" w:firstLine="480" w:firstLineChars="200"/>
              <w:jc w:val="left"/>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p>
        </w:tc>
        <w:tc>
          <w:tcPr>
            <w:tcW w:w="2268" w:type="dxa"/>
            <w:noWrap w:val="0"/>
            <w:vAlign w:val="center"/>
          </w:tcPr>
          <w:p w14:paraId="6AD41528">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臭气浓度</w:t>
            </w:r>
          </w:p>
        </w:tc>
        <w:tc>
          <w:tcPr>
            <w:tcW w:w="2375" w:type="dxa"/>
            <w:noWrap w:val="0"/>
            <w:vAlign w:val="center"/>
          </w:tcPr>
          <w:p w14:paraId="146369B6">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无量纲</w:t>
            </w:r>
          </w:p>
        </w:tc>
        <w:tc>
          <w:tcPr>
            <w:tcW w:w="2445" w:type="dxa"/>
            <w:noWrap w:val="0"/>
            <w:vAlign w:val="bottom"/>
          </w:tcPr>
          <w:p w14:paraId="1588FD6D">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r>
      <w:bookmarkEnd w:id="164"/>
    </w:tbl>
    <w:p w14:paraId="56CF9B61">
      <w:pPr>
        <w:pStyle w:val="3"/>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p>
    <w:p w14:paraId="7A516E06">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yellow"/>
        </w:rPr>
      </w:pPr>
      <w:r>
        <w:rPr>
          <w:rFonts w:hint="eastAsia" w:ascii="仿宋" w:hAnsi="仿宋" w:eastAsia="仿宋" w:cs="仿宋"/>
          <w:b w:val="0"/>
          <w:bCs w:val="0"/>
          <w:sz w:val="24"/>
          <w:szCs w:val="24"/>
          <w:highlight w:val="none"/>
        </w:rPr>
        <w:t>委托运营期间运营公司每季度检测一次臭气排放，并上报市污水中心存档。</w:t>
      </w:r>
    </w:p>
    <w:p w14:paraId="723E99D8">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highlight w:val="none"/>
        </w:rPr>
      </w:pPr>
      <w:r>
        <w:rPr>
          <w:rFonts w:hint="eastAsia" w:ascii="仿宋" w:hAnsi="仿宋" w:eastAsia="仿宋" w:cs="仿宋"/>
          <w:b w:val="0"/>
          <w:bCs w:val="0"/>
          <w:sz w:val="24"/>
          <w:szCs w:val="24"/>
          <w:highlight w:val="none"/>
        </w:rPr>
        <w:t>运营公司不得以项目的建设质量问题为由，拒绝执行本条款项下的责任，或减轻本条款项下运营公司的责任。</w:t>
      </w:r>
    </w:p>
    <w:p w14:paraId="04FAC7EA">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lang w:eastAsia="zh-CN"/>
        </w:rPr>
      </w:pPr>
      <w:bookmarkStart w:id="168" w:name="_Toc18507"/>
      <w:bookmarkStart w:id="169" w:name="_Toc31496"/>
      <w:bookmarkStart w:id="170" w:name="_Toc19454"/>
      <w:bookmarkStart w:id="171" w:name="_Toc31090"/>
      <w:r>
        <w:rPr>
          <w:rFonts w:hint="eastAsia" w:ascii="仿宋" w:hAnsi="仿宋" w:eastAsia="仿宋" w:cs="仿宋"/>
          <w:b/>
          <w:bCs/>
          <w:sz w:val="24"/>
          <w:szCs w:val="24"/>
          <w:highlight w:val="none"/>
        </w:rPr>
        <w:t>5.2 市污水中心的</w:t>
      </w:r>
      <w:bookmarkEnd w:id="168"/>
      <w:bookmarkEnd w:id="169"/>
      <w:r>
        <w:rPr>
          <w:rFonts w:hint="eastAsia" w:ascii="仿宋" w:hAnsi="仿宋" w:eastAsia="仿宋" w:cs="仿宋"/>
          <w:b/>
          <w:bCs/>
          <w:color w:val="auto"/>
          <w:sz w:val="24"/>
          <w:szCs w:val="24"/>
          <w:highlight w:val="none"/>
          <w:lang w:eastAsia="zh-CN"/>
        </w:rPr>
        <w:t>管理</w:t>
      </w:r>
      <w:bookmarkEnd w:id="170"/>
      <w:bookmarkEnd w:id="171"/>
    </w:p>
    <w:p w14:paraId="3D31E1DA">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市污水中心有权指定代表在任何时候进入项目，以</w:t>
      </w:r>
      <w:r>
        <w:rPr>
          <w:rFonts w:hint="eastAsia" w:ascii="仿宋" w:hAnsi="仿宋" w:eastAsia="仿宋" w:cs="仿宋"/>
          <w:color w:val="auto"/>
          <w:sz w:val="24"/>
          <w:szCs w:val="24"/>
          <w:highlight w:val="none"/>
        </w:rPr>
        <w:t>监督检查</w:t>
      </w:r>
      <w:r>
        <w:rPr>
          <w:rFonts w:hint="eastAsia" w:ascii="仿宋" w:hAnsi="仿宋" w:eastAsia="仿宋" w:cs="仿宋"/>
          <w:sz w:val="24"/>
          <w:szCs w:val="24"/>
          <w:highlight w:val="none"/>
        </w:rPr>
        <w:t>项目设施的运营和维护，并对运营公司的检测程序、结果、设备和仪器进行现场检查和检测。</w:t>
      </w:r>
    </w:p>
    <w:p w14:paraId="2735ABF2">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市污水中心有权随时亲自或委托一家具有相应资格的检测机构对经运营公司处理过的排放臭气进行检测，以核实运营公司提供的结果。市污水中心或其委托机构检测时须有运营公司人员在场。经通知后，运营公司人员拒不到场的，不影响抽查结果的有效性。</w:t>
      </w:r>
    </w:p>
    <w:p w14:paraId="7A85FF43">
      <w:pPr>
        <w:pageBreakBefore w:val="0"/>
        <w:widowControl w:val="0"/>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市污水中心核实或抽查的结果与运营公司自检结果不一致时，以市污水中心检测结果为准。如果运营公司对此有异议，以双方共同委托经双方认可的有资质的独立第三方专业检测机构的计量结果为准。</w:t>
      </w:r>
    </w:p>
    <w:p w14:paraId="6C1D25F8">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对核实和抽查结果表明运营公司违反了本委托运营协议中规定的运营公司义务的，市污水中心有权要求运营公司进行整改并根据实际情况扣除相应</w:t>
      </w:r>
      <w:r>
        <w:rPr>
          <w:rFonts w:hint="eastAsia" w:ascii="仿宋" w:hAnsi="仿宋" w:eastAsia="仿宋" w:cs="仿宋"/>
          <w:b w:val="0"/>
          <w:bCs w:val="0"/>
          <w:sz w:val="24"/>
          <w:szCs w:val="24"/>
          <w:highlight w:val="none"/>
          <w:lang w:eastAsia="zh-CN"/>
        </w:rPr>
        <w:t>运行维护费</w:t>
      </w:r>
      <w:r>
        <w:rPr>
          <w:rFonts w:hint="eastAsia" w:ascii="仿宋" w:hAnsi="仿宋" w:eastAsia="仿宋" w:cs="仿宋"/>
          <w:b w:val="0"/>
          <w:bCs w:val="0"/>
          <w:sz w:val="24"/>
          <w:szCs w:val="24"/>
          <w:highlight w:val="none"/>
        </w:rPr>
        <w:t>。</w:t>
      </w:r>
      <w:bookmarkEnd w:id="165"/>
      <w:bookmarkEnd w:id="166"/>
      <w:bookmarkEnd w:id="167"/>
    </w:p>
    <w:p w14:paraId="4DC442E7">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172" w:name="_Toc9413"/>
      <w:bookmarkStart w:id="173" w:name="_Toc21993"/>
      <w:bookmarkStart w:id="174" w:name="_Toc8015"/>
      <w:r>
        <w:rPr>
          <w:rFonts w:hint="eastAsia" w:ascii="仿宋" w:hAnsi="仿宋" w:eastAsia="仿宋" w:cs="仿宋"/>
          <w:b/>
          <w:bCs/>
          <w:sz w:val="24"/>
          <w:szCs w:val="24"/>
          <w:highlight w:val="none"/>
        </w:rPr>
        <w:t xml:space="preserve">第6条  </w:t>
      </w:r>
      <w:r>
        <w:rPr>
          <w:rFonts w:hint="eastAsia" w:ascii="仿宋" w:hAnsi="仿宋" w:eastAsia="仿宋" w:cs="仿宋"/>
          <w:b/>
          <w:bCs/>
          <w:sz w:val="24"/>
          <w:szCs w:val="24"/>
          <w:highlight w:val="none"/>
          <w:lang w:eastAsia="zh-CN"/>
        </w:rPr>
        <w:t>运行维护费</w:t>
      </w:r>
      <w:r>
        <w:rPr>
          <w:rFonts w:hint="eastAsia" w:ascii="仿宋" w:hAnsi="仿宋" w:eastAsia="仿宋" w:cs="仿宋"/>
          <w:b/>
          <w:bCs/>
          <w:sz w:val="24"/>
          <w:szCs w:val="24"/>
          <w:highlight w:val="none"/>
        </w:rPr>
        <w:t>及支付</w:t>
      </w:r>
      <w:bookmarkEnd w:id="172"/>
      <w:bookmarkEnd w:id="173"/>
      <w:bookmarkEnd w:id="174"/>
    </w:p>
    <w:p w14:paraId="38EEC124">
      <w:pPr>
        <w:tabs>
          <w:tab w:val="left" w:pos="624"/>
        </w:tabs>
        <w:kinsoku/>
        <w:wordWrap/>
        <w:overflowPunct/>
        <w:topLinePunct w:val="0"/>
        <w:bidi w:val="0"/>
        <w:adjustRightInd w:val="0"/>
        <w:snapToGrid w:val="0"/>
        <w:spacing w:line="360" w:lineRule="auto"/>
        <w:ind w:right="0"/>
        <w:jc w:val="left"/>
        <w:outlineLvl w:val="9"/>
        <w:rPr>
          <w:rFonts w:hint="default" w:ascii="仿宋" w:hAnsi="仿宋" w:eastAsia="仿宋" w:cs="仿宋"/>
          <w:b/>
          <w:bCs/>
          <w:sz w:val="24"/>
          <w:szCs w:val="24"/>
          <w:highlight w:val="none"/>
          <w:lang w:val="en-US" w:eastAsia="zh-CN"/>
        </w:rPr>
      </w:pPr>
      <w:bookmarkStart w:id="175" w:name="_Toc139163891"/>
      <w:bookmarkEnd w:id="175"/>
      <w:bookmarkStart w:id="176" w:name="_Toc138148633"/>
      <w:bookmarkEnd w:id="176"/>
      <w:bookmarkStart w:id="177" w:name="_Toc139163805"/>
      <w:bookmarkEnd w:id="177"/>
      <w:bookmarkStart w:id="178" w:name="_Toc21621"/>
      <w:bookmarkStart w:id="179" w:name="_Toc3737"/>
      <w:bookmarkStart w:id="180" w:name="_Toc25114"/>
      <w:bookmarkStart w:id="181" w:name="_Toc22994"/>
      <w:r>
        <w:rPr>
          <w:rFonts w:hint="eastAsia" w:ascii="仿宋" w:hAnsi="仿宋" w:eastAsia="仿宋" w:cs="仿宋"/>
          <w:b/>
          <w:bCs/>
          <w:sz w:val="24"/>
          <w:szCs w:val="24"/>
          <w:highlight w:val="none"/>
        </w:rPr>
        <w:t xml:space="preserve">6.1 </w:t>
      </w:r>
      <w:bookmarkEnd w:id="178"/>
      <w:bookmarkEnd w:id="179"/>
      <w:bookmarkEnd w:id="180"/>
      <w:r>
        <w:rPr>
          <w:rFonts w:hint="eastAsia" w:ascii="仿宋" w:hAnsi="仿宋" w:eastAsia="仿宋" w:cs="仿宋"/>
          <w:b/>
          <w:bCs/>
          <w:sz w:val="24"/>
          <w:szCs w:val="24"/>
          <w:highlight w:val="none"/>
          <w:lang w:val="en-US" w:eastAsia="zh-CN"/>
        </w:rPr>
        <w:t>运行维护费及支付</w:t>
      </w:r>
      <w:bookmarkEnd w:id="181"/>
    </w:p>
    <w:p w14:paraId="462E2F7F">
      <w:pPr>
        <w:pStyle w:val="3"/>
        <w:kinsoku/>
        <w:wordWrap/>
        <w:overflowPunct/>
        <w:topLinePunct w:val="0"/>
        <w:bidi w:val="0"/>
        <w:adjustRightInd w:val="0"/>
        <w:snapToGrid w:val="0"/>
        <w:spacing w:line="360" w:lineRule="auto"/>
        <w:ind w:left="0" w:leftChars="0" w:right="0" w:firstLine="482" w:firstLineChars="200"/>
        <w:jc w:val="left"/>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color w:val="auto"/>
          <w:kern w:val="2"/>
          <w:sz w:val="24"/>
          <w:szCs w:val="24"/>
          <w:highlight w:val="none"/>
          <w:lang w:val="en-US" w:eastAsia="zh-CN"/>
        </w:rPr>
        <w:t>运行维护费</w:t>
      </w:r>
      <w:r>
        <w:rPr>
          <w:rFonts w:hint="eastAsia" w:ascii="仿宋" w:hAnsi="仿宋" w:eastAsia="仿宋" w:cs="仿宋"/>
          <w:b/>
          <w:bCs/>
          <w:color w:val="auto"/>
          <w:kern w:val="2"/>
          <w:sz w:val="24"/>
          <w:szCs w:val="24"/>
          <w:highlight w:val="none"/>
          <w:u w:val="single"/>
        </w:rPr>
        <w:t xml:space="preserve">         </w:t>
      </w:r>
      <w:r>
        <w:rPr>
          <w:rFonts w:hint="eastAsia" w:ascii="仿宋" w:hAnsi="仿宋" w:eastAsia="仿宋" w:cs="仿宋"/>
          <w:b/>
          <w:bCs/>
          <w:color w:val="auto"/>
          <w:kern w:val="2"/>
          <w:sz w:val="24"/>
          <w:szCs w:val="24"/>
          <w:highlight w:val="none"/>
        </w:rPr>
        <w:t>元（人民币大写</w:t>
      </w:r>
      <w:r>
        <w:rPr>
          <w:rFonts w:hint="eastAsia" w:ascii="仿宋" w:hAnsi="仿宋" w:eastAsia="仿宋" w:cs="仿宋"/>
          <w:b/>
          <w:bCs/>
          <w:color w:val="auto"/>
          <w:kern w:val="2"/>
          <w:sz w:val="24"/>
          <w:szCs w:val="24"/>
          <w:highlight w:val="none"/>
          <w:u w:val="single"/>
        </w:rPr>
        <w:t xml:space="preserve">         </w:t>
      </w:r>
      <w:r>
        <w:rPr>
          <w:rFonts w:hint="eastAsia" w:ascii="仿宋" w:hAnsi="仿宋" w:eastAsia="仿宋" w:cs="仿宋"/>
          <w:b/>
          <w:bCs/>
          <w:color w:val="auto"/>
          <w:kern w:val="2"/>
          <w:sz w:val="24"/>
          <w:szCs w:val="24"/>
          <w:highlight w:val="none"/>
        </w:rPr>
        <w:t>），该费用包含提供西安市第一、第二污水处理厂二期除臭加盖运营维护项目运营维护服务涉及的电费、水费、检测费、劳务费、清洁维护费、日常零星维修费、</w:t>
      </w:r>
      <w:r>
        <w:rPr>
          <w:rFonts w:hint="eastAsia" w:ascii="仿宋" w:hAnsi="仿宋" w:eastAsia="仿宋" w:cs="仿宋"/>
          <w:b/>
          <w:bCs/>
          <w:color w:val="auto"/>
          <w:kern w:val="2"/>
          <w:sz w:val="24"/>
          <w:szCs w:val="24"/>
          <w:highlight w:val="none"/>
          <w:lang w:val="en-US" w:eastAsia="zh-CN"/>
        </w:rPr>
        <w:t>设备基础维护费等所产生的一切费用、</w:t>
      </w:r>
      <w:r>
        <w:rPr>
          <w:rFonts w:hint="eastAsia" w:ascii="仿宋" w:hAnsi="仿宋" w:eastAsia="仿宋" w:cs="仿宋"/>
          <w:b/>
          <w:bCs/>
          <w:color w:val="auto"/>
          <w:kern w:val="2"/>
          <w:sz w:val="24"/>
          <w:szCs w:val="24"/>
          <w:highlight w:val="none"/>
        </w:rPr>
        <w:t>税金及附加等</w:t>
      </w:r>
      <w:r>
        <w:rPr>
          <w:rFonts w:hint="eastAsia" w:ascii="仿宋" w:hAnsi="仿宋" w:eastAsia="仿宋" w:cs="仿宋"/>
          <w:b/>
          <w:bCs/>
          <w:color w:val="auto"/>
          <w:kern w:val="2"/>
          <w:sz w:val="24"/>
          <w:szCs w:val="24"/>
          <w:highlight w:val="none"/>
          <w:lang w:eastAsia="zh-CN"/>
        </w:rPr>
        <w:t>。</w:t>
      </w:r>
    </w:p>
    <w:p w14:paraId="17143ADA">
      <w:pPr>
        <w:pStyle w:val="3"/>
        <w:kinsoku/>
        <w:wordWrap/>
        <w:overflowPunct/>
        <w:topLinePunct w:val="0"/>
        <w:bidi w:val="0"/>
        <w:adjustRightInd w:val="0"/>
        <w:snapToGrid w:val="0"/>
        <w:spacing w:line="360" w:lineRule="auto"/>
        <w:ind w:left="0" w:leftChars="0" w:right="0" w:firstLine="482" w:firstLineChars="200"/>
        <w:jc w:val="left"/>
        <w:outlineLvl w:val="9"/>
        <w:rPr>
          <w:rFonts w:hint="eastAsia" w:ascii="仿宋" w:hAnsi="仿宋" w:eastAsia="仿宋" w:cs="仿宋"/>
          <w:b/>
          <w:bCs/>
          <w:color w:val="auto"/>
          <w:kern w:val="2"/>
          <w:sz w:val="24"/>
          <w:szCs w:val="24"/>
          <w:highlight w:val="none"/>
          <w:lang w:val="en-US" w:eastAsia="zh-CN"/>
        </w:rPr>
      </w:pPr>
      <w:r>
        <w:rPr>
          <w:rFonts w:hint="eastAsia" w:ascii="仿宋" w:hAnsi="仿宋" w:eastAsia="仿宋" w:cs="仿宋"/>
          <w:b/>
          <w:bCs/>
          <w:color w:val="auto"/>
          <w:kern w:val="2"/>
          <w:sz w:val="24"/>
          <w:szCs w:val="24"/>
          <w:highlight w:val="none"/>
          <w:lang w:val="en-US" w:eastAsia="zh-CN"/>
        </w:rPr>
        <w:t>本项目分两次付款，合同签订后，达到付款条件起 30 日内，支付合同总金额的50% ；2026年项目验收合格后结合合同履约情况，达到付款条件起 30 日内，支付合同总金额的50% 。</w:t>
      </w:r>
    </w:p>
    <w:p w14:paraId="56B15FBF">
      <w:pPr>
        <w:pStyle w:val="3"/>
        <w:kinsoku/>
        <w:wordWrap/>
        <w:overflowPunct/>
        <w:topLinePunct w:val="0"/>
        <w:bidi w:val="0"/>
        <w:adjustRightInd w:val="0"/>
        <w:snapToGrid w:val="0"/>
        <w:spacing w:line="360" w:lineRule="auto"/>
        <w:ind w:left="0" w:leftChars="0" w:right="0" w:firstLine="0" w:firstLineChars="0"/>
        <w:jc w:val="left"/>
        <w:outlineLvl w:val="9"/>
        <w:rPr>
          <w:rFonts w:hint="eastAsia" w:ascii="仿宋" w:hAnsi="仿宋" w:eastAsia="仿宋" w:cs="仿宋"/>
          <w:b/>
          <w:bCs/>
          <w:color w:val="auto"/>
          <w:kern w:val="2"/>
          <w:sz w:val="24"/>
          <w:szCs w:val="24"/>
          <w:highlight w:val="none"/>
        </w:rPr>
      </w:pPr>
      <w:r>
        <w:rPr>
          <w:rFonts w:hint="eastAsia" w:ascii="仿宋" w:hAnsi="仿宋" w:eastAsia="仿宋" w:cs="仿宋"/>
          <w:b/>
          <w:bCs/>
          <w:sz w:val="24"/>
          <w:szCs w:val="24"/>
          <w:highlight w:val="none"/>
          <w:lang w:val="en-US" w:eastAsia="zh-CN"/>
        </w:rPr>
        <w:t xml:space="preserve">6.2 </w:t>
      </w:r>
      <w:r>
        <w:rPr>
          <w:rFonts w:hint="eastAsia" w:ascii="仿宋" w:hAnsi="仿宋" w:eastAsia="仿宋" w:cs="仿宋"/>
          <w:b/>
          <w:bCs/>
          <w:color w:val="auto"/>
          <w:kern w:val="2"/>
          <w:sz w:val="24"/>
          <w:szCs w:val="24"/>
          <w:highlight w:val="none"/>
        </w:rPr>
        <w:t>专项费用：</w:t>
      </w:r>
    </w:p>
    <w:p w14:paraId="27448760">
      <w:pPr>
        <w:pStyle w:val="3"/>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如发生填料更换费及大修费用未包括在日常运行维护费中，须提前30个</w:t>
      </w:r>
      <w:r>
        <w:rPr>
          <w:rFonts w:hint="eastAsia" w:ascii="仿宋" w:hAnsi="仿宋" w:eastAsia="仿宋" w:cs="仿宋"/>
          <w:color w:val="auto"/>
          <w:kern w:val="2"/>
          <w:sz w:val="24"/>
          <w:szCs w:val="24"/>
          <w:highlight w:val="none"/>
          <w:lang w:val="en-US" w:eastAsia="zh-CN"/>
        </w:rPr>
        <w:t>日历日</w:t>
      </w:r>
      <w:r>
        <w:rPr>
          <w:rFonts w:hint="eastAsia" w:ascii="仿宋" w:hAnsi="仿宋" w:eastAsia="仿宋" w:cs="仿宋"/>
          <w:color w:val="auto"/>
          <w:kern w:val="2"/>
          <w:sz w:val="24"/>
          <w:szCs w:val="24"/>
          <w:highlight w:val="none"/>
        </w:rPr>
        <w:t>上报西安市污水处理管理中心。</w:t>
      </w:r>
    </w:p>
    <w:p w14:paraId="1B80BEC6">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182" w:name="_Toc50860415"/>
      <w:bookmarkStart w:id="183" w:name="_Toc6515"/>
      <w:bookmarkStart w:id="184" w:name="_Toc21480"/>
      <w:bookmarkStart w:id="185" w:name="_Toc144197074"/>
      <w:bookmarkStart w:id="186" w:name="_Toc50368747"/>
      <w:bookmarkStart w:id="187" w:name="_Toc50861920"/>
      <w:bookmarkStart w:id="188" w:name="_Toc300308902"/>
      <w:bookmarkStart w:id="189" w:name="_Toc51213985"/>
      <w:bookmarkStart w:id="190" w:name="_Toc25844"/>
      <w:bookmarkStart w:id="191" w:name="_Toc51225663"/>
      <w:bookmarkStart w:id="192" w:name="_Toc87807930"/>
      <w:bookmarkStart w:id="193" w:name="_Toc50453993"/>
      <w:bookmarkStart w:id="194" w:name="_Toc50861784"/>
      <w:r>
        <w:rPr>
          <w:rFonts w:hint="eastAsia" w:ascii="仿宋" w:hAnsi="仿宋" w:eastAsia="仿宋" w:cs="仿宋"/>
          <w:b/>
          <w:bCs/>
          <w:sz w:val="24"/>
          <w:szCs w:val="24"/>
          <w:highlight w:val="none"/>
        </w:rPr>
        <w:t>6.3 地点</w:t>
      </w:r>
      <w:bookmarkEnd w:id="182"/>
      <w:bookmarkEnd w:id="183"/>
      <w:bookmarkEnd w:id="184"/>
      <w:bookmarkEnd w:id="185"/>
      <w:bookmarkEnd w:id="186"/>
      <w:bookmarkEnd w:id="187"/>
      <w:bookmarkEnd w:id="188"/>
      <w:bookmarkEnd w:id="189"/>
      <w:bookmarkEnd w:id="190"/>
      <w:bookmarkEnd w:id="191"/>
      <w:bookmarkEnd w:id="192"/>
      <w:bookmarkEnd w:id="193"/>
      <w:bookmarkEnd w:id="194"/>
    </w:p>
    <w:p w14:paraId="3847289D">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一方根据本协议向另一方支付的所有款项，应汇入对方为此而通知指定的机构或银行账户。运营公司和市污水中心应在生效日后三十（30）个</w:t>
      </w:r>
      <w:r>
        <w:rPr>
          <w:rFonts w:hint="eastAsia" w:ascii="仿宋" w:hAnsi="仿宋" w:eastAsia="仿宋" w:cs="仿宋"/>
          <w:b w:val="0"/>
          <w:bCs w:val="0"/>
          <w:sz w:val="24"/>
          <w:szCs w:val="24"/>
          <w:highlight w:val="none"/>
          <w:lang w:val="en-US" w:eastAsia="zh-CN"/>
        </w:rPr>
        <w:t>日历日</w:t>
      </w:r>
      <w:r>
        <w:rPr>
          <w:rFonts w:hint="eastAsia" w:ascii="仿宋" w:hAnsi="仿宋" w:eastAsia="仿宋" w:cs="仿宋"/>
          <w:b w:val="0"/>
          <w:bCs w:val="0"/>
          <w:sz w:val="24"/>
          <w:szCs w:val="24"/>
          <w:highlight w:val="none"/>
        </w:rPr>
        <w:t>内告知对方收取委托运营服务费或本协议项下其他款项的银行账号。</w:t>
      </w:r>
    </w:p>
    <w:p w14:paraId="1B83424F">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运营公司指定账户开户行的处所应在西安市，一方如需改变账户，应至少提前十（10）个工作日通知对方。</w:t>
      </w:r>
    </w:p>
    <w:p w14:paraId="2920F0E5">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195" w:name="_Toc10086"/>
      <w:bookmarkStart w:id="196" w:name="_Toc30746"/>
      <w:bookmarkStart w:id="197" w:name="_Toc23803"/>
      <w:bookmarkStart w:id="198" w:name="_Toc87807932"/>
      <w:bookmarkStart w:id="199" w:name="_Toc144197076"/>
      <w:bookmarkStart w:id="200" w:name="_Toc300308903"/>
      <w:bookmarkStart w:id="201" w:name="_Toc14978"/>
      <w:r>
        <w:rPr>
          <w:rFonts w:hint="eastAsia" w:ascii="仿宋" w:hAnsi="仿宋" w:eastAsia="仿宋" w:cs="仿宋"/>
          <w:b/>
          <w:bCs/>
          <w:sz w:val="24"/>
          <w:szCs w:val="24"/>
          <w:highlight w:val="none"/>
        </w:rPr>
        <w:t>6.4 货币</w:t>
      </w:r>
      <w:bookmarkEnd w:id="195"/>
      <w:bookmarkEnd w:id="196"/>
      <w:bookmarkEnd w:id="197"/>
      <w:bookmarkEnd w:id="198"/>
      <w:bookmarkEnd w:id="199"/>
      <w:bookmarkEnd w:id="200"/>
      <w:bookmarkEnd w:id="201"/>
    </w:p>
    <w:p w14:paraId="1C08068F">
      <w:pPr>
        <w:pStyle w:val="3"/>
        <w:keepNext w:val="0"/>
        <w:keepLines w:val="0"/>
        <w:pageBreakBefore w:val="0"/>
        <w:widowControl/>
        <w:kinsoku/>
        <w:wordWrap/>
        <w:overflowPunct/>
        <w:topLinePunct w:val="0"/>
        <w:autoSpaceDE/>
        <w:autoSpaceDN/>
        <w:bidi w:val="0"/>
        <w:adjustRightInd w:val="0"/>
        <w:snapToGrid w:val="0"/>
        <w:spacing w:line="360" w:lineRule="auto"/>
        <w:ind w:left="0" w:leftChars="0" w:righ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本委托运营协议下的任何应付款项，一律以人民币支付。</w:t>
      </w:r>
    </w:p>
    <w:p w14:paraId="77C585AD">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202" w:name="_污水处理费支付保函"/>
      <w:bookmarkEnd w:id="202"/>
      <w:bookmarkStart w:id="203" w:name="_如果市公用局对账单的任何部分有争议，项目公司应当给予解答，双方应为解决争议进行"/>
      <w:bookmarkEnd w:id="203"/>
      <w:bookmarkStart w:id="204" w:name="_技术转让"/>
      <w:bookmarkEnd w:id="204"/>
      <w:bookmarkStart w:id="205" w:name="_Toc147315963"/>
      <w:bookmarkEnd w:id="205"/>
      <w:bookmarkStart w:id="206" w:name="_基本水量"/>
      <w:bookmarkEnd w:id="206"/>
      <w:bookmarkStart w:id="207" w:name="_不可抗力"/>
      <w:bookmarkEnd w:id="207"/>
      <w:bookmarkStart w:id="208" w:name="_Toc246097059"/>
      <w:bookmarkEnd w:id="208"/>
      <w:bookmarkStart w:id="209" w:name="_Toc246097057"/>
      <w:bookmarkEnd w:id="209"/>
      <w:bookmarkStart w:id="210" w:name="_Toc320890989"/>
      <w:bookmarkEnd w:id="210"/>
      <w:bookmarkStart w:id="211" w:name="_Toc246097053"/>
      <w:bookmarkEnd w:id="211"/>
      <w:bookmarkStart w:id="212" w:name="_Toc246097067"/>
      <w:bookmarkEnd w:id="212"/>
      <w:bookmarkStart w:id="213" w:name="_Toc320890991"/>
      <w:bookmarkEnd w:id="213"/>
      <w:bookmarkStart w:id="214" w:name="_在移交日之前不早于九(9)个月，项目公司应对项目设施进行一次大修，但此"/>
      <w:bookmarkEnd w:id="214"/>
      <w:bookmarkStart w:id="215" w:name="_Toc144660057"/>
      <w:bookmarkEnd w:id="215"/>
      <w:bookmarkStart w:id="216" w:name="_承包商保证的转让"/>
      <w:bookmarkEnd w:id="216"/>
      <w:bookmarkStart w:id="217" w:name="_Toc246097078"/>
      <w:bookmarkEnd w:id="217"/>
      <w:bookmarkStart w:id="218" w:name="_Toc246097077"/>
      <w:bookmarkEnd w:id="218"/>
      <w:bookmarkStart w:id="219" w:name="_Toc246097076"/>
      <w:bookmarkEnd w:id="219"/>
      <w:bookmarkStart w:id="220" w:name="_Toc247983682"/>
      <w:bookmarkEnd w:id="220"/>
      <w:bookmarkStart w:id="221" w:name="_Toc246097070"/>
      <w:bookmarkEnd w:id="221"/>
      <w:bookmarkStart w:id="222" w:name="_Toc320891387"/>
      <w:bookmarkEnd w:id="222"/>
      <w:bookmarkStart w:id="223" w:name="_Toc178485607"/>
      <w:bookmarkEnd w:id="223"/>
      <w:bookmarkStart w:id="224" w:name="_Toc178485608"/>
      <w:bookmarkEnd w:id="224"/>
      <w:bookmarkStart w:id="225" w:name="_Toc144659966"/>
      <w:bookmarkEnd w:id="225"/>
      <w:bookmarkStart w:id="226" w:name="_Toc320891385"/>
      <w:bookmarkEnd w:id="226"/>
      <w:bookmarkStart w:id="227" w:name="_Toc247983681"/>
      <w:bookmarkEnd w:id="227"/>
      <w:bookmarkStart w:id="228" w:name="_Toc139163815"/>
      <w:bookmarkEnd w:id="228"/>
      <w:bookmarkStart w:id="229" w:name="_Toc246097068"/>
      <w:bookmarkEnd w:id="229"/>
      <w:bookmarkStart w:id="230" w:name="_Toc320891386"/>
      <w:bookmarkEnd w:id="230"/>
      <w:bookmarkStart w:id="231" w:name="_处理水量不足违约金"/>
      <w:bookmarkEnd w:id="231"/>
      <w:bookmarkStart w:id="232" w:name="_Hlt148332727"/>
      <w:bookmarkEnd w:id="232"/>
      <w:bookmarkStart w:id="233" w:name="_保险"/>
      <w:bookmarkEnd w:id="233"/>
      <w:bookmarkStart w:id="234" w:name="_Toc320891388"/>
      <w:bookmarkEnd w:id="234"/>
      <w:bookmarkStart w:id="235" w:name="_Toc320890992"/>
      <w:bookmarkEnd w:id="235"/>
      <w:bookmarkStart w:id="236" w:name="_Toc320890990"/>
      <w:bookmarkEnd w:id="236"/>
      <w:bookmarkStart w:id="237" w:name="_Toc178485606"/>
      <w:bookmarkEnd w:id="237"/>
      <w:bookmarkStart w:id="238" w:name="_Toc147316067"/>
      <w:bookmarkEnd w:id="238"/>
      <w:bookmarkStart w:id="239" w:name="_移交范围"/>
      <w:bookmarkEnd w:id="239"/>
      <w:bookmarkStart w:id="240" w:name="_Toc138148643"/>
      <w:bookmarkEnd w:id="240"/>
      <w:bookmarkStart w:id="241" w:name="_Toc139163901"/>
      <w:bookmarkEnd w:id="241"/>
      <w:bookmarkStart w:id="242" w:name="_Toc246097071"/>
      <w:bookmarkEnd w:id="242"/>
      <w:bookmarkStart w:id="243" w:name="_Toc246097069"/>
      <w:bookmarkEnd w:id="243"/>
      <w:bookmarkStart w:id="244" w:name="_Ref145302033"/>
      <w:bookmarkStart w:id="245" w:name="_Ref145302273"/>
      <w:bookmarkStart w:id="246" w:name="_Toc144197092"/>
      <w:bookmarkStart w:id="247" w:name="_Toc31069"/>
      <w:bookmarkStart w:id="248" w:name="_Ref145930170"/>
      <w:bookmarkStart w:id="249" w:name="_Toc7034"/>
      <w:bookmarkStart w:id="250" w:name="_Ref145929285"/>
      <w:bookmarkStart w:id="251" w:name="_Toc10068"/>
      <w:bookmarkStart w:id="252" w:name="_Toc8946"/>
      <w:r>
        <w:rPr>
          <w:rFonts w:hint="eastAsia" w:ascii="仿宋" w:hAnsi="仿宋" w:eastAsia="仿宋" w:cs="仿宋"/>
          <w:b/>
          <w:bCs/>
          <w:sz w:val="24"/>
          <w:szCs w:val="24"/>
          <w:highlight w:val="none"/>
        </w:rPr>
        <w:t>第7条  不可抗力</w:t>
      </w:r>
      <w:bookmarkEnd w:id="244"/>
      <w:bookmarkEnd w:id="245"/>
      <w:bookmarkEnd w:id="246"/>
      <w:bookmarkEnd w:id="247"/>
      <w:bookmarkEnd w:id="248"/>
      <w:bookmarkEnd w:id="249"/>
      <w:bookmarkEnd w:id="250"/>
      <w:bookmarkEnd w:id="251"/>
      <w:bookmarkEnd w:id="252"/>
    </w:p>
    <w:p w14:paraId="608ED795">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253" w:name="_Toc139163914"/>
      <w:bookmarkEnd w:id="253"/>
      <w:bookmarkStart w:id="254" w:name="_不可抗力事件"/>
      <w:bookmarkEnd w:id="254"/>
      <w:bookmarkStart w:id="255" w:name="_Toc139163828"/>
      <w:bookmarkEnd w:id="255"/>
      <w:bookmarkStart w:id="256" w:name="_Toc138148656"/>
      <w:bookmarkEnd w:id="256"/>
      <w:bookmarkStart w:id="257" w:name="_Toc144197093"/>
      <w:bookmarkStart w:id="258" w:name="_Ref147764955"/>
      <w:bookmarkStart w:id="259" w:name="_Toc118882684"/>
      <w:bookmarkStart w:id="260" w:name="_Toc4141"/>
      <w:bookmarkStart w:id="261" w:name="_Toc17731"/>
      <w:bookmarkStart w:id="262" w:name="_Toc26517"/>
      <w:bookmarkStart w:id="263" w:name="_Ref145302314"/>
      <w:bookmarkStart w:id="264" w:name="_Toc6182"/>
      <w:r>
        <w:rPr>
          <w:rFonts w:hint="eastAsia" w:ascii="仿宋" w:hAnsi="仿宋" w:eastAsia="仿宋" w:cs="仿宋"/>
          <w:b/>
          <w:bCs/>
          <w:sz w:val="24"/>
          <w:szCs w:val="24"/>
          <w:highlight w:val="none"/>
        </w:rPr>
        <w:t>7.1 不可抗力事件</w:t>
      </w:r>
      <w:bookmarkEnd w:id="257"/>
      <w:bookmarkEnd w:id="258"/>
      <w:bookmarkEnd w:id="259"/>
      <w:bookmarkEnd w:id="260"/>
      <w:bookmarkEnd w:id="261"/>
      <w:bookmarkEnd w:id="262"/>
      <w:bookmarkEnd w:id="263"/>
      <w:bookmarkEnd w:id="264"/>
    </w:p>
    <w:p w14:paraId="630D08BF">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265" w:name="_不可抗力是指："/>
      <w:bookmarkEnd w:id="265"/>
      <w:bookmarkStart w:id="266" w:name="_Ref145314928"/>
      <w:r>
        <w:rPr>
          <w:rFonts w:hint="eastAsia" w:ascii="仿宋" w:hAnsi="仿宋" w:eastAsia="仿宋" w:cs="仿宋"/>
          <w:b w:val="0"/>
          <w:bCs w:val="0"/>
          <w:sz w:val="24"/>
          <w:szCs w:val="24"/>
          <w:highlight w:val="none"/>
        </w:rPr>
        <w:t>不可抗力是指：</w:t>
      </w:r>
      <w:bookmarkEnd w:id="266"/>
      <w:r>
        <w:rPr>
          <w:rFonts w:hint="eastAsia" w:ascii="仿宋" w:hAnsi="仿宋" w:eastAsia="仿宋" w:cs="仿宋"/>
          <w:b w:val="0"/>
          <w:bCs w:val="0"/>
          <w:sz w:val="24"/>
          <w:szCs w:val="24"/>
          <w:highlight w:val="none"/>
        </w:rPr>
        <w:t xml:space="preserve">  </w:t>
      </w:r>
    </w:p>
    <w:p w14:paraId="5021D823">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在生效日时不能合理预见的；并且声称遭受不可抗力影响的一方对该事件及其后果不能克服和不能避免。</w:t>
      </w:r>
      <w:bookmarkStart w:id="267" w:name="_不可抗力事件应包括符合第11.1.1条所述条件的："/>
      <w:bookmarkEnd w:id="267"/>
    </w:p>
    <w:p w14:paraId="11514696">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不可抗力事件应包括符合所述条件的：</w:t>
      </w:r>
      <w:bookmarkStart w:id="268" w:name="_Ref145929445"/>
    </w:p>
    <w:p w14:paraId="2E956E8C">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雷电、干旱、地震、火山爆发、滑坡、暴风雨、海啸、洪水、台风、龙卷风或任何其它自然灾害；</w:t>
      </w:r>
      <w:bookmarkEnd w:id="268"/>
      <w:bookmarkStart w:id="269" w:name="_Ref145929456"/>
    </w:p>
    <w:p w14:paraId="1B22404A">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大规模流行病、饥荒或瘟疫；</w:t>
      </w:r>
      <w:bookmarkEnd w:id="269"/>
      <w:bookmarkStart w:id="270" w:name="_Ref145929465"/>
    </w:p>
    <w:p w14:paraId="5429422C">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战争行为（无论是宣战的或未宣战的）、入侵、武装冲突或敌对行为、封锁、暴乱、恐怖行为或军事力量的使用；</w:t>
      </w:r>
      <w:bookmarkEnd w:id="270"/>
      <w:bookmarkStart w:id="271" w:name="_Ref145929471"/>
    </w:p>
    <w:p w14:paraId="163F8194">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全国性、地区性或行业性罢工；</w:t>
      </w:r>
      <w:bookmarkEnd w:id="271"/>
      <w:bookmarkStart w:id="272" w:name="_Ref145929487"/>
    </w:p>
    <w:p w14:paraId="275BEB30">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任何政府部门对项目设施或其任何部分实行的征收、征用、国有化；</w:t>
      </w:r>
      <w:bookmarkEnd w:id="272"/>
    </w:p>
    <w:p w14:paraId="03A0AAFB">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273" w:name="_Toc320890999"/>
      <w:bookmarkEnd w:id="273"/>
      <w:bookmarkStart w:id="274" w:name="_Toc320891395"/>
      <w:bookmarkEnd w:id="274"/>
      <w:bookmarkStart w:id="275" w:name="_Toc320870213"/>
      <w:bookmarkEnd w:id="275"/>
      <w:bookmarkStart w:id="276" w:name="_Toc118882685"/>
      <w:bookmarkStart w:id="277" w:name="_Toc144197094"/>
      <w:bookmarkStart w:id="278" w:name="_Toc32346"/>
      <w:bookmarkStart w:id="279" w:name="_Toc8289"/>
      <w:bookmarkStart w:id="280" w:name="_Toc26584"/>
      <w:bookmarkStart w:id="281" w:name="_Toc16214"/>
      <w:r>
        <w:rPr>
          <w:rFonts w:hint="eastAsia" w:ascii="仿宋" w:hAnsi="仿宋" w:eastAsia="仿宋" w:cs="仿宋"/>
          <w:b/>
          <w:bCs/>
          <w:sz w:val="24"/>
          <w:szCs w:val="24"/>
          <w:highlight w:val="none"/>
        </w:rPr>
        <w:t>7.2 中止履行</w:t>
      </w:r>
      <w:bookmarkEnd w:id="276"/>
      <w:bookmarkEnd w:id="277"/>
      <w:bookmarkEnd w:id="278"/>
      <w:bookmarkEnd w:id="279"/>
      <w:bookmarkEnd w:id="280"/>
      <w:bookmarkEnd w:id="281"/>
    </w:p>
    <w:p w14:paraId="6671FAED">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当生效日之后发生的不可抗力事件完全地或部分地阻碍一方履行其在本协议项下的义务时，该方应有权在其受不可抗力影响的范围之内全部或部分免除履行本协议项下的相应义务。</w:t>
      </w:r>
      <w:bookmarkStart w:id="282" w:name="_适用于市水务局的例外情况"/>
      <w:bookmarkEnd w:id="282"/>
      <w:bookmarkStart w:id="283" w:name="_Toc118882687"/>
      <w:bookmarkStart w:id="284" w:name="_Toc26682"/>
      <w:bookmarkStart w:id="285" w:name="_Toc144197096"/>
    </w:p>
    <w:p w14:paraId="17CEF8BF">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left"/>
        <w:textAlignment w:val="auto"/>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7.3 不可抗力发生后的处理程序</w:t>
      </w:r>
      <w:bookmarkEnd w:id="283"/>
      <w:bookmarkEnd w:id="284"/>
      <w:bookmarkEnd w:id="285"/>
    </w:p>
    <w:p w14:paraId="038A1091">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声称受到不可抗力影响的一方应在发生不可抗力或知道发生不可抗力之后，及时书面通知另一方，并详细描述不可抗力的发生情况和可能导致的后果，包括该不可抗力发生的时间和预计停止的时间，以及对该方履行在本协议项下义务的影响，并在另一方合理要求时提供证明。</w:t>
      </w:r>
    </w:p>
    <w:p w14:paraId="4656ED8E">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发生不可抗力事件后，双方应本着诚信平等的原则，立即就此等不可抗力事件进行协商。</w:t>
      </w:r>
      <w:bookmarkStart w:id="286" w:name="_Toc118882688"/>
      <w:bookmarkStart w:id="287" w:name="_Toc23872"/>
      <w:bookmarkStart w:id="288" w:name="_Toc144197097"/>
    </w:p>
    <w:p w14:paraId="5D5B84CA">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left"/>
        <w:textAlignment w:val="auto"/>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7.4 费用及时间表的修改</w:t>
      </w:r>
      <w:bookmarkEnd w:id="286"/>
      <w:bookmarkEnd w:id="287"/>
      <w:bookmarkEnd w:id="288"/>
    </w:p>
    <w:p w14:paraId="40005AFA">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除本协议或双方另有约定外，发生不可抗力时，双方应各自承担由于不可抗力对其造成的损失。</w:t>
      </w:r>
    </w:p>
    <w:p w14:paraId="7D9F8361">
      <w:pPr>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如果声称遭受不可抗力影响的一方已履行了通知程序，并且在不可抗力事件影响项目进展的情况下，已履行了请求延长进度日期的程序，则本协议中规定的履行某项义务的任何期限，经受到影响的一方请求，应根据不可抗力对履行该项义务产生影响的相同时间相应顺延。</w:t>
      </w:r>
    </w:p>
    <w:p w14:paraId="668DCCBD">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289" w:name="_Toc25464"/>
      <w:bookmarkStart w:id="290" w:name="_Toc13995"/>
      <w:bookmarkStart w:id="291" w:name="_Toc144197098"/>
      <w:bookmarkStart w:id="292" w:name="_Toc14939"/>
      <w:bookmarkStart w:id="293" w:name="_Toc118882689"/>
      <w:bookmarkStart w:id="294" w:name="_Toc6700"/>
      <w:r>
        <w:rPr>
          <w:rFonts w:hint="eastAsia" w:ascii="仿宋" w:hAnsi="仿宋" w:eastAsia="仿宋" w:cs="仿宋"/>
          <w:b/>
          <w:bCs/>
          <w:sz w:val="24"/>
          <w:szCs w:val="24"/>
          <w:highlight w:val="none"/>
        </w:rPr>
        <w:t>7.5 减少损失的责任和协商</w:t>
      </w:r>
      <w:bookmarkEnd w:id="289"/>
      <w:bookmarkEnd w:id="290"/>
      <w:bookmarkEnd w:id="291"/>
      <w:bookmarkEnd w:id="292"/>
      <w:bookmarkEnd w:id="293"/>
      <w:bookmarkEnd w:id="294"/>
    </w:p>
    <w:p w14:paraId="7478AE0F">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受到不可抗力影响的一方应努力并采取相应的措施减少不可抗力对其造成的影响，包括根据该等措施为可能产生的结果支付合理的金额。双方应协商制定并实施补救计划及合理的替代措施以消除不可抗力的影响，并决定为尽量减少不可抗力给每一方带来的损失应采取的合理的手段。</w:t>
      </w:r>
    </w:p>
    <w:p w14:paraId="4D31F49B">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声称受到不可抗力影响的一方在不可抗力的影响消除之后应尽快恢复履行本协议项下的义务。</w:t>
      </w:r>
    </w:p>
    <w:p w14:paraId="2E15D979">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295" w:name="_Toc24323"/>
      <w:bookmarkStart w:id="296" w:name="_Toc118882690"/>
      <w:bookmarkStart w:id="297" w:name="_Toc1677"/>
      <w:bookmarkStart w:id="298" w:name="_Toc26218"/>
      <w:bookmarkStart w:id="299" w:name="_Toc144197099"/>
      <w:bookmarkStart w:id="300" w:name="_Toc22819"/>
      <w:r>
        <w:rPr>
          <w:rFonts w:hint="eastAsia" w:ascii="仿宋" w:hAnsi="仿宋" w:eastAsia="仿宋" w:cs="仿宋"/>
          <w:b/>
          <w:bCs/>
          <w:sz w:val="24"/>
          <w:szCs w:val="24"/>
          <w:highlight w:val="none"/>
        </w:rPr>
        <w:t>7.6 不可抗力造成的终止</w:t>
      </w:r>
      <w:bookmarkEnd w:id="295"/>
      <w:bookmarkEnd w:id="296"/>
      <w:bookmarkEnd w:id="297"/>
      <w:bookmarkEnd w:id="298"/>
      <w:bookmarkEnd w:id="299"/>
      <w:bookmarkEnd w:id="300"/>
    </w:p>
    <w:p w14:paraId="1A4E6B9F">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如果任何不可抗力事件阻止一方履行其义务且经过努力仍不可克服，自该不可抗力发生或知道发生之日起连续超过三十（30）日，双方应协商决定继续履行本协议的条件或者提前终止本委托运营协议。</w:t>
      </w:r>
    </w:p>
    <w:p w14:paraId="564649FF">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301" w:name="_Toc28135"/>
      <w:bookmarkStart w:id="302" w:name="_Toc14742"/>
      <w:bookmarkStart w:id="303" w:name="_Toc13018"/>
      <w:bookmarkStart w:id="304" w:name="_Toc31199"/>
      <w:r>
        <w:rPr>
          <w:rFonts w:hint="eastAsia" w:ascii="仿宋" w:hAnsi="仿宋" w:eastAsia="仿宋" w:cs="仿宋"/>
          <w:b/>
          <w:bCs/>
          <w:sz w:val="24"/>
          <w:szCs w:val="24"/>
          <w:highlight w:val="none"/>
        </w:rPr>
        <w:t>第8条  争议的解决和仲裁</w:t>
      </w:r>
      <w:bookmarkEnd w:id="301"/>
      <w:bookmarkEnd w:id="302"/>
      <w:bookmarkEnd w:id="303"/>
      <w:bookmarkEnd w:id="304"/>
    </w:p>
    <w:p w14:paraId="0ACE9FFA">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sz w:val="24"/>
          <w:szCs w:val="24"/>
          <w:highlight w:val="none"/>
        </w:rPr>
      </w:pPr>
      <w:bookmarkStart w:id="305" w:name="_Toc147316002"/>
      <w:bookmarkEnd w:id="305"/>
      <w:bookmarkStart w:id="306" w:name="_Toc147316106"/>
      <w:bookmarkEnd w:id="306"/>
      <w:bookmarkStart w:id="307" w:name="_双方友好协商解决"/>
      <w:bookmarkEnd w:id="307"/>
      <w:bookmarkStart w:id="308" w:name="_Ref145930261"/>
      <w:bookmarkStart w:id="309" w:name="_Toc118882727"/>
      <w:bookmarkStart w:id="310" w:name="_Toc24531"/>
      <w:bookmarkStart w:id="311" w:name="_Toc19308"/>
      <w:bookmarkStart w:id="312" w:name="_Toc29481"/>
      <w:bookmarkStart w:id="313" w:name="_Toc28390"/>
      <w:r>
        <w:rPr>
          <w:rFonts w:hint="eastAsia" w:ascii="仿宋" w:hAnsi="仿宋" w:eastAsia="仿宋" w:cs="仿宋"/>
          <w:b/>
          <w:bCs/>
          <w:sz w:val="24"/>
          <w:szCs w:val="24"/>
          <w:highlight w:val="none"/>
        </w:rPr>
        <w:t>8.1 协商解决</w:t>
      </w:r>
      <w:bookmarkEnd w:id="308"/>
      <w:bookmarkEnd w:id="309"/>
      <w:bookmarkEnd w:id="310"/>
      <w:bookmarkEnd w:id="311"/>
      <w:bookmarkEnd w:id="312"/>
      <w:bookmarkEnd w:id="313"/>
      <w:r>
        <w:rPr>
          <w:rFonts w:hint="eastAsia" w:ascii="仿宋" w:hAnsi="仿宋" w:eastAsia="仿宋" w:cs="仿宋"/>
          <w:sz w:val="24"/>
          <w:szCs w:val="24"/>
          <w:highlight w:val="none"/>
        </w:rPr>
        <w:tab/>
      </w:r>
    </w:p>
    <w:p w14:paraId="57C5E62A">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314" w:name="_Ref183946257"/>
      <w:r>
        <w:rPr>
          <w:rFonts w:hint="eastAsia" w:ascii="仿宋" w:hAnsi="仿宋" w:eastAsia="仿宋" w:cs="仿宋"/>
          <w:b w:val="0"/>
          <w:bCs w:val="0"/>
          <w:sz w:val="24"/>
          <w:szCs w:val="24"/>
          <w:highlight w:val="none"/>
        </w:rPr>
        <w:t>若双方对于由于本委托运营协议条款或与本协议有关的条款的解释，则应尽力通过友好协商解决该争议、分歧或索赔。</w:t>
      </w:r>
      <w:bookmarkEnd w:id="314"/>
    </w:p>
    <w:p w14:paraId="2474CF68">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除非双方届时另有约定，若在尝试友好协商解决后三十（30）日内该争议未能根据</w:t>
      </w:r>
      <w:r>
        <w:rPr>
          <w:rFonts w:hint="eastAsia" w:ascii="仿宋" w:hAnsi="仿宋" w:eastAsia="仿宋" w:cs="仿宋"/>
          <w:b w:val="0"/>
          <w:bCs w:val="0"/>
          <w:sz w:val="24"/>
          <w:szCs w:val="24"/>
          <w:highlight w:val="none"/>
        </w:rPr>
        <w:fldChar w:fldCharType="begin"/>
      </w:r>
      <w:r>
        <w:rPr>
          <w:rFonts w:hint="eastAsia" w:ascii="仿宋" w:hAnsi="仿宋" w:eastAsia="仿宋" w:cs="仿宋"/>
          <w:b w:val="0"/>
          <w:bCs w:val="0"/>
          <w:sz w:val="24"/>
          <w:szCs w:val="24"/>
          <w:highlight w:val="none"/>
        </w:rPr>
        <w:instrText xml:space="preserve">HYPERLINK \l "_双方友好协商解决"</w:instrText>
      </w:r>
      <w:r>
        <w:rPr>
          <w:rFonts w:hint="eastAsia" w:ascii="仿宋" w:hAnsi="仿宋" w:eastAsia="仿宋" w:cs="仿宋"/>
          <w:b w:val="0"/>
          <w:bCs w:val="0"/>
          <w:sz w:val="24"/>
          <w:szCs w:val="24"/>
          <w:highlight w:val="none"/>
        </w:rPr>
        <w:fldChar w:fldCharType="separate"/>
      </w:r>
      <w:r>
        <w:rPr>
          <w:rFonts w:hint="eastAsia" w:ascii="仿宋" w:hAnsi="仿宋" w:eastAsia="仿宋" w:cs="仿宋"/>
          <w:b w:val="0"/>
          <w:bCs w:val="0"/>
          <w:sz w:val="24"/>
          <w:szCs w:val="24"/>
          <w:highlight w:val="none"/>
        </w:rPr>
        <w:t>第8.1条</w:t>
      </w:r>
      <w:r>
        <w:rPr>
          <w:rFonts w:hint="eastAsia" w:ascii="仿宋" w:hAnsi="仿宋" w:eastAsia="仿宋" w:cs="仿宋"/>
          <w:b w:val="0"/>
          <w:bCs w:val="0"/>
          <w:sz w:val="24"/>
          <w:szCs w:val="24"/>
          <w:highlight w:val="none"/>
        </w:rPr>
        <w:fldChar w:fldCharType="end"/>
      </w:r>
      <w:r>
        <w:rPr>
          <w:rFonts w:hint="eastAsia" w:ascii="仿宋" w:hAnsi="仿宋" w:eastAsia="仿宋" w:cs="仿宋"/>
          <w:b w:val="0"/>
          <w:bCs w:val="0"/>
          <w:sz w:val="24"/>
          <w:szCs w:val="24"/>
          <w:highlight w:val="none"/>
        </w:rPr>
        <w:t>得到解决，则应适用</w:t>
      </w:r>
      <w:r>
        <w:rPr>
          <w:rFonts w:hint="eastAsia" w:ascii="仿宋" w:hAnsi="仿宋" w:eastAsia="仿宋" w:cs="仿宋"/>
          <w:b w:val="0"/>
          <w:bCs w:val="0"/>
          <w:sz w:val="24"/>
          <w:szCs w:val="24"/>
          <w:highlight w:val="none"/>
        </w:rPr>
        <w:fldChar w:fldCharType="begin"/>
      </w:r>
      <w:r>
        <w:rPr>
          <w:rFonts w:hint="eastAsia" w:ascii="仿宋" w:hAnsi="仿宋" w:eastAsia="仿宋" w:cs="仿宋"/>
          <w:b w:val="0"/>
          <w:bCs w:val="0"/>
          <w:sz w:val="24"/>
          <w:szCs w:val="24"/>
          <w:highlight w:val="none"/>
        </w:rPr>
        <w:instrText xml:space="preserve">HYPERLINK \l "_专家小组的调解"</w:instrText>
      </w:r>
      <w:r>
        <w:rPr>
          <w:rFonts w:hint="eastAsia" w:ascii="仿宋" w:hAnsi="仿宋" w:eastAsia="仿宋" w:cs="仿宋"/>
          <w:b w:val="0"/>
          <w:bCs w:val="0"/>
          <w:sz w:val="24"/>
          <w:szCs w:val="24"/>
          <w:highlight w:val="none"/>
        </w:rPr>
        <w:fldChar w:fldCharType="separate"/>
      </w:r>
      <w:r>
        <w:rPr>
          <w:rFonts w:hint="eastAsia" w:ascii="仿宋" w:hAnsi="仿宋" w:eastAsia="仿宋" w:cs="仿宋"/>
          <w:b w:val="0"/>
          <w:bCs w:val="0"/>
          <w:sz w:val="24"/>
          <w:szCs w:val="24"/>
          <w:highlight w:val="none"/>
        </w:rPr>
        <w:t>第8.2条</w:t>
      </w:r>
      <w:r>
        <w:rPr>
          <w:rFonts w:hint="eastAsia" w:ascii="仿宋" w:hAnsi="仿宋" w:eastAsia="仿宋" w:cs="仿宋"/>
          <w:b w:val="0"/>
          <w:bCs w:val="0"/>
          <w:sz w:val="24"/>
          <w:szCs w:val="24"/>
          <w:highlight w:val="none"/>
        </w:rPr>
        <w:fldChar w:fldCharType="end"/>
      </w:r>
      <w:r>
        <w:rPr>
          <w:rFonts w:hint="eastAsia" w:ascii="仿宋" w:hAnsi="仿宋" w:eastAsia="仿宋" w:cs="仿宋"/>
          <w:b w:val="0"/>
          <w:bCs w:val="0"/>
          <w:sz w:val="24"/>
          <w:szCs w:val="24"/>
          <w:highlight w:val="none"/>
        </w:rPr>
        <w:t>的规定。</w:t>
      </w:r>
      <w:bookmarkStart w:id="315" w:name="_答辩"/>
      <w:bookmarkEnd w:id="315"/>
      <w:bookmarkStart w:id="316" w:name="_专家小组的调解"/>
      <w:bookmarkEnd w:id="316"/>
      <w:bookmarkStart w:id="317" w:name="_决定"/>
      <w:bookmarkEnd w:id="317"/>
    </w:p>
    <w:p w14:paraId="2E0A196D">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318" w:name="_仲裁"/>
      <w:bookmarkEnd w:id="318"/>
      <w:bookmarkStart w:id="319" w:name="_Toc144197115"/>
      <w:bookmarkStart w:id="320" w:name="_Toc13519"/>
      <w:bookmarkStart w:id="321" w:name="_Toc5443"/>
      <w:bookmarkStart w:id="322" w:name="_Toc118882729"/>
      <w:bookmarkStart w:id="323" w:name="_Ref145930281"/>
      <w:bookmarkStart w:id="324" w:name="_Toc16827"/>
      <w:r>
        <w:rPr>
          <w:rFonts w:hint="eastAsia" w:ascii="仿宋" w:hAnsi="仿宋" w:eastAsia="仿宋" w:cs="仿宋"/>
          <w:b/>
          <w:bCs/>
          <w:sz w:val="24"/>
          <w:szCs w:val="24"/>
          <w:highlight w:val="none"/>
        </w:rPr>
        <w:t>8.2 诉讼</w:t>
      </w:r>
      <w:bookmarkEnd w:id="319"/>
      <w:bookmarkEnd w:id="320"/>
      <w:bookmarkEnd w:id="321"/>
      <w:bookmarkEnd w:id="322"/>
      <w:bookmarkEnd w:id="323"/>
      <w:bookmarkEnd w:id="324"/>
    </w:p>
    <w:p w14:paraId="5E3B999A">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szCs w:val="24"/>
          <w:highlight w:val="none"/>
          <w:u w:val="single"/>
        </w:rPr>
      </w:pPr>
      <w:r>
        <w:rPr>
          <w:rFonts w:hint="eastAsia" w:ascii="仿宋" w:hAnsi="仿宋" w:eastAsia="仿宋" w:cs="仿宋"/>
          <w:szCs w:val="24"/>
          <w:highlight w:val="none"/>
        </w:rPr>
        <w:t>若双方未能根据第8.1条解决争议、分歧或索赔，则任何一方有权向本委托运营协议签订地的人民法院提起诉讼。</w:t>
      </w:r>
    </w:p>
    <w:p w14:paraId="00E87126">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bookmarkStart w:id="364" w:name="_GoBack"/>
      <w:bookmarkEnd w:id="364"/>
    </w:p>
    <w:p w14:paraId="46685A2D">
      <w:pPr>
        <w:pageBreakBefore/>
        <w:tabs>
          <w:tab w:val="left" w:pos="1440"/>
        </w:tabs>
        <w:kinsoku/>
        <w:wordWrap/>
        <w:overflowPunct/>
        <w:topLinePunct w:val="0"/>
        <w:bidi w:val="0"/>
        <w:adjustRightInd w:val="0"/>
        <w:snapToGrid w:val="0"/>
        <w:spacing w:line="360" w:lineRule="auto"/>
        <w:ind w:right="0"/>
        <w:jc w:val="center"/>
        <w:outlineLvl w:val="9"/>
        <w:rPr>
          <w:rFonts w:hint="eastAsia" w:ascii="仿宋" w:hAnsi="仿宋" w:eastAsia="仿宋" w:cs="仿宋"/>
          <w:b/>
          <w:bCs/>
          <w:sz w:val="24"/>
          <w:szCs w:val="24"/>
          <w:highlight w:val="none"/>
        </w:rPr>
      </w:pPr>
      <w:bookmarkStart w:id="325" w:name="_Toc144197116"/>
      <w:bookmarkStart w:id="326" w:name="_Toc7826"/>
      <w:bookmarkStart w:id="327" w:name="_Toc5515"/>
      <w:bookmarkStart w:id="328" w:name="_Toc32333"/>
      <w:bookmarkStart w:id="329" w:name="_Toc6964"/>
      <w:r>
        <w:rPr>
          <w:rFonts w:hint="eastAsia" w:ascii="仿宋" w:hAnsi="仿宋" w:eastAsia="仿宋" w:cs="仿宋"/>
          <w:b/>
          <w:bCs/>
          <w:sz w:val="24"/>
          <w:szCs w:val="24"/>
          <w:highlight w:val="none"/>
        </w:rPr>
        <w:t>第9条  其他条款</w:t>
      </w:r>
      <w:bookmarkEnd w:id="325"/>
      <w:bookmarkEnd w:id="326"/>
      <w:bookmarkEnd w:id="327"/>
      <w:bookmarkEnd w:id="328"/>
      <w:bookmarkEnd w:id="329"/>
    </w:p>
    <w:p w14:paraId="7B12BA83">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330" w:name="_Toc19674"/>
      <w:bookmarkStart w:id="331" w:name="_Toc29076"/>
      <w:bookmarkStart w:id="332" w:name="_Toc29178"/>
      <w:bookmarkStart w:id="333" w:name="_Toc16153"/>
      <w:bookmarkStart w:id="334" w:name="_Toc118882731"/>
      <w:bookmarkStart w:id="335" w:name="_Toc144197117"/>
      <w:r>
        <w:rPr>
          <w:rFonts w:hint="eastAsia" w:ascii="仿宋" w:hAnsi="仿宋" w:eastAsia="仿宋" w:cs="仿宋"/>
          <w:b/>
          <w:bCs/>
          <w:sz w:val="24"/>
          <w:szCs w:val="24"/>
          <w:highlight w:val="none"/>
        </w:rPr>
        <w:t>9.1 协议的解释规则</w:t>
      </w:r>
      <w:bookmarkEnd w:id="330"/>
      <w:bookmarkEnd w:id="331"/>
      <w:bookmarkEnd w:id="332"/>
      <w:bookmarkEnd w:id="333"/>
      <w:bookmarkEnd w:id="334"/>
      <w:bookmarkEnd w:id="335"/>
    </w:p>
    <w:p w14:paraId="6841B03D">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336" w:name="_Toc118882733"/>
      <w:r>
        <w:rPr>
          <w:rFonts w:hint="eastAsia" w:ascii="仿宋" w:hAnsi="仿宋" w:eastAsia="仿宋" w:cs="仿宋"/>
          <w:b w:val="0"/>
          <w:bCs w:val="0"/>
          <w:sz w:val="24"/>
          <w:szCs w:val="24"/>
          <w:highlight w:val="none"/>
        </w:rPr>
        <w:t>完整的协议</w:t>
      </w:r>
      <w:bookmarkEnd w:id="336"/>
    </w:p>
    <w:p w14:paraId="3F3D0B88">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本协议构成双方对项目的完全的理解，取代双方以前所有的有关项目的书面和口头陈述、协议或安排。</w:t>
      </w:r>
      <w:bookmarkStart w:id="337" w:name="_Toc118882734"/>
    </w:p>
    <w:p w14:paraId="29C10109">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修改</w:t>
      </w:r>
      <w:bookmarkEnd w:id="337"/>
      <w:r>
        <w:rPr>
          <w:rFonts w:hint="eastAsia" w:ascii="仿宋" w:hAnsi="仿宋" w:eastAsia="仿宋" w:cs="仿宋"/>
          <w:b w:val="0"/>
          <w:bCs w:val="0"/>
          <w:sz w:val="24"/>
          <w:szCs w:val="24"/>
          <w:highlight w:val="none"/>
        </w:rPr>
        <w:t>本协议任何修改、补充或变更只有以书面形式并由双方法定代表人或其授权代表签字方可生效并具约束力。</w:t>
      </w:r>
      <w:bookmarkStart w:id="338" w:name="_Toc118882735"/>
    </w:p>
    <w:p w14:paraId="3CEBCA27">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可分割性</w:t>
      </w:r>
      <w:bookmarkEnd w:id="338"/>
    </w:p>
    <w:p w14:paraId="4D822885">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如果本协议中任何条款不合法、无效或不能执行，或者被任何有管辖权的仲裁庭或法院宣布为不合法、无效或不能执行，则其他条款仍然有效和可执行；并且双方应商定对不合法、无效或不能执行的条款进行修改或更换，使之合法、有效并可执行，并且这些修改或更改应尽可能恰如其分地平衡双方之间的利益、权利和义务。</w:t>
      </w:r>
    </w:p>
    <w:p w14:paraId="6BEAE1AD">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339" w:name="_Toc147316007"/>
      <w:bookmarkEnd w:id="339"/>
      <w:bookmarkStart w:id="340" w:name="_Toc147316112"/>
      <w:bookmarkEnd w:id="340"/>
      <w:bookmarkStart w:id="341" w:name="_Toc147316008"/>
      <w:bookmarkEnd w:id="341"/>
      <w:bookmarkStart w:id="342" w:name="_Toc147316111"/>
      <w:bookmarkEnd w:id="342"/>
      <w:bookmarkStart w:id="343" w:name="_Toc8394"/>
      <w:bookmarkStart w:id="344" w:name="_Toc18002"/>
      <w:bookmarkStart w:id="345" w:name="_Toc118882737"/>
      <w:bookmarkStart w:id="346" w:name="_Toc2766"/>
      <w:bookmarkStart w:id="347" w:name="_Toc1063"/>
      <w:bookmarkStart w:id="348" w:name="_Toc144197118"/>
      <w:r>
        <w:rPr>
          <w:rFonts w:hint="eastAsia" w:ascii="仿宋" w:hAnsi="仿宋" w:eastAsia="仿宋" w:cs="仿宋"/>
          <w:b/>
          <w:bCs/>
          <w:sz w:val="24"/>
          <w:szCs w:val="24"/>
          <w:highlight w:val="none"/>
        </w:rPr>
        <w:t>9.2 通知</w:t>
      </w:r>
      <w:bookmarkEnd w:id="343"/>
      <w:bookmarkEnd w:id="344"/>
      <w:bookmarkEnd w:id="345"/>
      <w:bookmarkEnd w:id="346"/>
      <w:bookmarkEnd w:id="347"/>
      <w:bookmarkEnd w:id="348"/>
    </w:p>
    <w:p w14:paraId="0C01A85B">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349" w:name="_地址"/>
      <w:bookmarkEnd w:id="349"/>
      <w:r>
        <w:rPr>
          <w:rFonts w:hint="eastAsia" w:ascii="仿宋" w:hAnsi="仿宋" w:eastAsia="仿宋" w:cs="仿宋"/>
          <w:b w:val="0"/>
          <w:bCs w:val="0"/>
          <w:sz w:val="24"/>
          <w:szCs w:val="24"/>
          <w:highlight w:val="none"/>
        </w:rPr>
        <w:t>本协议项下的通知、同意或其他通讯联系必须以中文书写，并通过专人递交、公认的国际快递、挂号或传真至下述地址，或各方通知的其他地址或传真号码。专人递交自对方收件人签收之日起有效送达；快递或挂号信自邮戳上载明的邮寄之日起5日视为有效送达；传真自发出后2日，且对方以对等方式进行确认后生效。</w:t>
      </w:r>
    </w:p>
    <w:p w14:paraId="0EFFCAB4">
      <w:pPr>
        <w:kinsoku/>
        <w:wordWrap/>
        <w:overflowPunct/>
        <w:topLinePunct w:val="0"/>
        <w:bidi w:val="0"/>
        <w:adjustRightInd w:val="0"/>
        <w:snapToGrid w:val="0"/>
        <w:spacing w:line="360" w:lineRule="auto"/>
        <w:ind w:left="0" w:leftChars="0" w:right="0" w:firstLine="480" w:firstLineChars="200"/>
        <w:jc w:val="left"/>
        <w:outlineLvl w:val="9"/>
        <w:rPr>
          <w:rFonts w:hint="eastAsia" w:ascii="仿宋" w:hAnsi="仿宋" w:eastAsia="仿宋" w:cs="仿宋"/>
          <w:sz w:val="24"/>
          <w:szCs w:val="24"/>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3262"/>
        <w:gridCol w:w="4140"/>
      </w:tblGrid>
      <w:tr w14:paraId="60324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844" w:type="dxa"/>
            <w:noWrap w:val="0"/>
            <w:vAlign w:val="center"/>
          </w:tcPr>
          <w:p w14:paraId="1C775157">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p>
        </w:tc>
        <w:tc>
          <w:tcPr>
            <w:tcW w:w="3262" w:type="dxa"/>
            <w:noWrap w:val="0"/>
            <w:vAlign w:val="center"/>
          </w:tcPr>
          <w:p w14:paraId="4E80A7E6">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市污水中心</w:t>
            </w:r>
          </w:p>
        </w:tc>
        <w:tc>
          <w:tcPr>
            <w:tcW w:w="4140" w:type="dxa"/>
            <w:noWrap w:val="0"/>
            <w:vAlign w:val="center"/>
          </w:tcPr>
          <w:p w14:paraId="456DDA0A">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运营公司</w:t>
            </w:r>
          </w:p>
        </w:tc>
      </w:tr>
      <w:tr w14:paraId="28F0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44" w:type="dxa"/>
            <w:noWrap w:val="0"/>
            <w:vAlign w:val="center"/>
          </w:tcPr>
          <w:p w14:paraId="7DA8AB2B">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地址</w:t>
            </w:r>
          </w:p>
        </w:tc>
        <w:tc>
          <w:tcPr>
            <w:tcW w:w="3262" w:type="dxa"/>
            <w:noWrap w:val="0"/>
            <w:vAlign w:val="center"/>
          </w:tcPr>
          <w:p w14:paraId="23BA0291">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凤城八路109号市政府1号楼</w:t>
            </w:r>
          </w:p>
        </w:tc>
        <w:tc>
          <w:tcPr>
            <w:tcW w:w="4140" w:type="dxa"/>
            <w:noWrap w:val="0"/>
            <w:vAlign w:val="center"/>
          </w:tcPr>
          <w:p w14:paraId="58CC04B9">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rPr>
            </w:pPr>
          </w:p>
        </w:tc>
      </w:tr>
      <w:tr w14:paraId="3DD0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noWrap w:val="0"/>
            <w:vAlign w:val="center"/>
          </w:tcPr>
          <w:p w14:paraId="3E3CC9DF">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收件人</w:t>
            </w:r>
          </w:p>
        </w:tc>
        <w:tc>
          <w:tcPr>
            <w:tcW w:w="3262" w:type="dxa"/>
            <w:noWrap w:val="0"/>
            <w:vAlign w:val="center"/>
          </w:tcPr>
          <w:p w14:paraId="538FC828">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lang w:val="en-US" w:eastAsia="zh-CN"/>
              </w:rPr>
            </w:pPr>
          </w:p>
        </w:tc>
        <w:tc>
          <w:tcPr>
            <w:tcW w:w="4140" w:type="dxa"/>
            <w:noWrap w:val="0"/>
            <w:vAlign w:val="center"/>
          </w:tcPr>
          <w:p w14:paraId="4B9850D7">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rPr>
            </w:pPr>
          </w:p>
        </w:tc>
      </w:tr>
      <w:tr w14:paraId="01EF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noWrap w:val="0"/>
            <w:vAlign w:val="center"/>
          </w:tcPr>
          <w:p w14:paraId="77349DBB">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电话</w:t>
            </w:r>
          </w:p>
        </w:tc>
        <w:tc>
          <w:tcPr>
            <w:tcW w:w="3262" w:type="dxa"/>
            <w:noWrap w:val="0"/>
            <w:vAlign w:val="center"/>
          </w:tcPr>
          <w:p w14:paraId="34B1007F">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lang w:val="en-US" w:eastAsia="zh-CN"/>
              </w:rPr>
            </w:pPr>
          </w:p>
        </w:tc>
        <w:tc>
          <w:tcPr>
            <w:tcW w:w="4140" w:type="dxa"/>
            <w:noWrap w:val="0"/>
            <w:vAlign w:val="center"/>
          </w:tcPr>
          <w:p w14:paraId="28D3E778">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rPr>
            </w:pPr>
          </w:p>
        </w:tc>
      </w:tr>
      <w:tr w14:paraId="1B3D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noWrap w:val="0"/>
            <w:vAlign w:val="center"/>
          </w:tcPr>
          <w:p w14:paraId="46F62958">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传真</w:t>
            </w:r>
          </w:p>
        </w:tc>
        <w:tc>
          <w:tcPr>
            <w:tcW w:w="3262" w:type="dxa"/>
            <w:noWrap w:val="0"/>
            <w:vAlign w:val="center"/>
          </w:tcPr>
          <w:p w14:paraId="29454CB1">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szCs w:val="24"/>
                <w:highlight w:val="none"/>
                <w:lang w:val="en-US" w:eastAsia="zh-CN"/>
              </w:rPr>
            </w:pPr>
          </w:p>
        </w:tc>
        <w:tc>
          <w:tcPr>
            <w:tcW w:w="4140" w:type="dxa"/>
            <w:noWrap w:val="0"/>
            <w:vAlign w:val="center"/>
          </w:tcPr>
          <w:p w14:paraId="660BAD77">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0" w:firstLineChars="0"/>
              <w:jc w:val="center"/>
              <w:textAlignment w:val="auto"/>
              <w:outlineLvl w:val="9"/>
              <w:rPr>
                <w:rFonts w:hint="eastAsia" w:ascii="仿宋" w:hAnsi="仿宋" w:eastAsia="仿宋" w:cs="仿宋"/>
                <w:color w:val="auto"/>
                <w:szCs w:val="24"/>
                <w:highlight w:val="none"/>
              </w:rPr>
            </w:pPr>
          </w:p>
        </w:tc>
      </w:tr>
    </w:tbl>
    <w:p w14:paraId="6872FBE1">
      <w:pPr>
        <w:keepNext/>
        <w:keepLines/>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b w:val="0"/>
          <w:bCs w:val="0"/>
          <w:sz w:val="24"/>
          <w:szCs w:val="24"/>
          <w:highlight w:val="none"/>
        </w:rPr>
      </w:pPr>
      <w:bookmarkStart w:id="350" w:name="_Toc118882739"/>
      <w:r>
        <w:rPr>
          <w:rFonts w:hint="eastAsia" w:ascii="仿宋" w:hAnsi="仿宋" w:eastAsia="仿宋" w:cs="仿宋"/>
          <w:b w:val="0"/>
          <w:bCs w:val="0"/>
          <w:sz w:val="24"/>
          <w:szCs w:val="24"/>
          <w:highlight w:val="none"/>
        </w:rPr>
        <w:t>地址改变及时通知</w:t>
      </w:r>
      <w:bookmarkEnd w:id="350"/>
      <w:r>
        <w:rPr>
          <w:rFonts w:hint="eastAsia" w:ascii="仿宋" w:hAnsi="仿宋" w:eastAsia="仿宋" w:cs="仿宋"/>
          <w:b w:val="0"/>
          <w:bCs w:val="0"/>
          <w:sz w:val="24"/>
          <w:szCs w:val="24"/>
          <w:highlight w:val="none"/>
        </w:rPr>
        <w:t>如果市污水中心或运营公司更改</w:t>
      </w:r>
      <w:r>
        <w:rPr>
          <w:rFonts w:hint="eastAsia" w:ascii="仿宋" w:hAnsi="仿宋" w:eastAsia="仿宋" w:cs="仿宋"/>
          <w:b w:val="0"/>
          <w:bCs w:val="0"/>
          <w:sz w:val="24"/>
          <w:szCs w:val="24"/>
          <w:highlight w:val="none"/>
        </w:rPr>
        <w:fldChar w:fldCharType="begin"/>
      </w:r>
      <w:r>
        <w:rPr>
          <w:rFonts w:hint="eastAsia" w:ascii="仿宋" w:hAnsi="仿宋" w:eastAsia="仿宋" w:cs="仿宋"/>
          <w:b w:val="0"/>
          <w:bCs w:val="0"/>
          <w:sz w:val="24"/>
          <w:szCs w:val="24"/>
          <w:highlight w:val="none"/>
        </w:rPr>
        <w:instrText xml:space="preserve">HYPERLINK \l "_地址"</w:instrText>
      </w:r>
      <w:r>
        <w:rPr>
          <w:rFonts w:hint="eastAsia" w:ascii="仿宋" w:hAnsi="仿宋" w:eastAsia="仿宋" w:cs="仿宋"/>
          <w:b w:val="0"/>
          <w:bCs w:val="0"/>
          <w:sz w:val="24"/>
          <w:szCs w:val="24"/>
          <w:highlight w:val="none"/>
        </w:rPr>
        <w:fldChar w:fldCharType="separate"/>
      </w:r>
      <w:r>
        <w:rPr>
          <w:rFonts w:hint="eastAsia" w:ascii="仿宋" w:hAnsi="仿宋" w:eastAsia="仿宋" w:cs="仿宋"/>
          <w:b w:val="0"/>
          <w:bCs w:val="0"/>
          <w:sz w:val="24"/>
          <w:szCs w:val="24"/>
          <w:highlight w:val="none"/>
        </w:rPr>
        <w:t>第9.2</w:t>
      </w:r>
      <w:bookmarkStart w:id="351" w:name="_Hlt118879334"/>
      <w:r>
        <w:rPr>
          <w:rFonts w:hint="eastAsia" w:ascii="仿宋" w:hAnsi="仿宋" w:eastAsia="仿宋" w:cs="仿宋"/>
          <w:b w:val="0"/>
          <w:bCs w:val="0"/>
          <w:sz w:val="24"/>
          <w:szCs w:val="24"/>
          <w:highlight w:val="none"/>
        </w:rPr>
        <w:t>条</w:t>
      </w:r>
      <w:r>
        <w:rPr>
          <w:rFonts w:hint="eastAsia" w:ascii="仿宋" w:hAnsi="仿宋" w:eastAsia="仿宋" w:cs="仿宋"/>
          <w:b w:val="0"/>
          <w:bCs w:val="0"/>
          <w:sz w:val="24"/>
          <w:szCs w:val="24"/>
          <w:highlight w:val="none"/>
        </w:rPr>
        <w:fldChar w:fldCharType="end"/>
      </w:r>
      <w:bookmarkEnd w:id="351"/>
      <w:r>
        <w:rPr>
          <w:rFonts w:hint="eastAsia" w:ascii="仿宋" w:hAnsi="仿宋" w:eastAsia="仿宋" w:cs="仿宋"/>
          <w:b w:val="0"/>
          <w:bCs w:val="0"/>
          <w:sz w:val="24"/>
          <w:szCs w:val="24"/>
          <w:highlight w:val="none"/>
        </w:rPr>
        <w:t>所述的任何具体内容，更改方必须在新的内容启用前以书面形式通知对方。</w:t>
      </w:r>
    </w:p>
    <w:p w14:paraId="19342DD8">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bookmarkStart w:id="352" w:name="_Toc29745"/>
      <w:bookmarkStart w:id="353" w:name="_Toc144197119"/>
      <w:bookmarkStart w:id="354" w:name="_Toc19374"/>
      <w:bookmarkStart w:id="355" w:name="_Toc13355"/>
      <w:bookmarkStart w:id="356" w:name="_Toc118882740"/>
      <w:bookmarkStart w:id="357" w:name="_Toc3175"/>
      <w:r>
        <w:rPr>
          <w:rFonts w:hint="eastAsia" w:ascii="仿宋" w:hAnsi="仿宋" w:eastAsia="仿宋" w:cs="仿宋"/>
          <w:b/>
          <w:bCs/>
          <w:sz w:val="24"/>
          <w:szCs w:val="24"/>
          <w:highlight w:val="none"/>
        </w:rPr>
        <w:t>9.3 协议文字和文本</w:t>
      </w:r>
      <w:bookmarkEnd w:id="352"/>
      <w:bookmarkEnd w:id="353"/>
      <w:bookmarkEnd w:id="354"/>
      <w:bookmarkEnd w:id="355"/>
      <w:bookmarkEnd w:id="356"/>
      <w:bookmarkEnd w:id="357"/>
    </w:p>
    <w:p w14:paraId="54FAFCDA">
      <w:pPr>
        <w:pStyle w:val="14"/>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right="0" w:firstLine="48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本协议以中文订立，壹式陆（6）份，三正三副，市污水中心、运营公司各执叁（3）份。</w:t>
      </w:r>
    </w:p>
    <w:p w14:paraId="033252C2">
      <w:pPr>
        <w:rPr>
          <w:rFonts w:hint="eastAsia" w:ascii="仿宋" w:hAnsi="仿宋" w:eastAsia="仿宋" w:cs="仿宋"/>
          <w:b/>
          <w:bCs/>
          <w:sz w:val="24"/>
          <w:szCs w:val="24"/>
          <w:highlight w:val="none"/>
        </w:rPr>
      </w:pPr>
      <w:bookmarkStart w:id="358" w:name="_Toc144197120"/>
      <w:bookmarkStart w:id="359" w:name="_Toc5605"/>
      <w:bookmarkStart w:id="360" w:name="_Toc9753"/>
      <w:bookmarkStart w:id="361" w:name="_Toc9304"/>
      <w:bookmarkStart w:id="362" w:name="_Toc32388"/>
      <w:bookmarkStart w:id="363" w:name="_Toc118882741"/>
      <w:r>
        <w:rPr>
          <w:rFonts w:hint="eastAsia" w:ascii="仿宋" w:hAnsi="仿宋" w:eastAsia="仿宋" w:cs="仿宋"/>
          <w:b/>
          <w:bCs/>
          <w:sz w:val="24"/>
          <w:szCs w:val="24"/>
          <w:highlight w:val="none"/>
        </w:rPr>
        <w:br w:type="page"/>
      </w:r>
    </w:p>
    <w:p w14:paraId="7A1BD3BD">
      <w:pPr>
        <w:tabs>
          <w:tab w:val="left" w:pos="624"/>
        </w:tabs>
        <w:kinsoku/>
        <w:wordWrap/>
        <w:overflowPunct/>
        <w:topLinePunct w:val="0"/>
        <w:bidi w:val="0"/>
        <w:adjustRightInd w:val="0"/>
        <w:snapToGrid w:val="0"/>
        <w:spacing w:line="360" w:lineRule="auto"/>
        <w:ind w:right="0"/>
        <w:jc w:val="left"/>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9.4 生效</w:t>
      </w:r>
      <w:bookmarkEnd w:id="358"/>
      <w:bookmarkEnd w:id="359"/>
      <w:bookmarkEnd w:id="360"/>
      <w:bookmarkEnd w:id="361"/>
      <w:bookmarkEnd w:id="362"/>
      <w:bookmarkEnd w:id="363"/>
    </w:p>
    <w:p w14:paraId="203B80EC">
      <w:pPr>
        <w:pStyle w:val="14"/>
        <w:kinsoku/>
        <w:wordWrap/>
        <w:overflowPunct/>
        <w:topLinePunct w:val="0"/>
        <w:bidi w:val="0"/>
        <w:adjustRightInd w:val="0"/>
        <w:snapToGrid w:val="0"/>
        <w:spacing w:before="0" w:after="0" w:line="360" w:lineRule="auto"/>
        <w:ind w:left="0" w:leftChars="0" w:right="0" w:firstLine="480" w:firstLineChars="200"/>
        <w:jc w:val="left"/>
        <w:outlineLvl w:val="9"/>
        <w:rPr>
          <w:rFonts w:hint="eastAsia" w:ascii="仿宋" w:hAnsi="仿宋" w:eastAsia="仿宋" w:cs="仿宋"/>
          <w:szCs w:val="24"/>
          <w:highlight w:val="none"/>
        </w:rPr>
      </w:pPr>
      <w:r>
        <w:rPr>
          <w:rFonts w:hint="eastAsia" w:ascii="仿宋" w:hAnsi="仿宋" w:eastAsia="仿宋" w:cs="仿宋"/>
          <w:szCs w:val="24"/>
          <w:highlight w:val="none"/>
        </w:rPr>
        <w:t>本协议自双方正式签署并盖章之日起生效。</w:t>
      </w:r>
    </w:p>
    <w:tbl>
      <w:tblPr>
        <w:tblStyle w:val="11"/>
        <w:tblW w:w="0" w:type="auto"/>
        <w:jc w:val="right"/>
        <w:tblLayout w:type="fixed"/>
        <w:tblCellMar>
          <w:top w:w="0" w:type="dxa"/>
          <w:left w:w="108" w:type="dxa"/>
          <w:bottom w:w="0" w:type="dxa"/>
          <w:right w:w="108" w:type="dxa"/>
        </w:tblCellMar>
      </w:tblPr>
      <w:tblGrid>
        <w:gridCol w:w="4428"/>
        <w:gridCol w:w="4500"/>
      </w:tblGrid>
      <w:tr w14:paraId="283587B0">
        <w:tblPrEx>
          <w:tblCellMar>
            <w:top w:w="0" w:type="dxa"/>
            <w:left w:w="108" w:type="dxa"/>
            <w:bottom w:w="0" w:type="dxa"/>
            <w:right w:w="108" w:type="dxa"/>
          </w:tblCellMar>
        </w:tblPrEx>
        <w:trPr>
          <w:jc w:val="right"/>
        </w:trPr>
        <w:tc>
          <w:tcPr>
            <w:tcW w:w="4428" w:type="dxa"/>
            <w:tcBorders>
              <w:top w:val="nil"/>
              <w:left w:val="nil"/>
              <w:bottom w:val="nil"/>
              <w:right w:val="nil"/>
            </w:tcBorders>
            <w:noWrap w:val="0"/>
            <w:vAlign w:val="top"/>
          </w:tcPr>
          <w:p w14:paraId="2BE5C614">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市污水中心（公章）</w:t>
            </w:r>
          </w:p>
        </w:tc>
        <w:tc>
          <w:tcPr>
            <w:tcW w:w="4500" w:type="dxa"/>
            <w:tcBorders>
              <w:top w:val="nil"/>
              <w:left w:val="nil"/>
              <w:bottom w:val="nil"/>
              <w:right w:val="nil"/>
            </w:tcBorders>
            <w:noWrap w:val="0"/>
            <w:vAlign w:val="top"/>
          </w:tcPr>
          <w:p w14:paraId="4E8162DF">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运营公司（公章）</w:t>
            </w:r>
          </w:p>
        </w:tc>
      </w:tr>
      <w:tr w14:paraId="006A62D0">
        <w:tblPrEx>
          <w:tblCellMar>
            <w:top w:w="0" w:type="dxa"/>
            <w:left w:w="108" w:type="dxa"/>
            <w:bottom w:w="0" w:type="dxa"/>
            <w:right w:w="108" w:type="dxa"/>
          </w:tblCellMar>
        </w:tblPrEx>
        <w:trPr>
          <w:trHeight w:val="3576" w:hRule="atLeast"/>
          <w:jc w:val="right"/>
        </w:trPr>
        <w:tc>
          <w:tcPr>
            <w:tcW w:w="4428" w:type="dxa"/>
            <w:tcBorders>
              <w:top w:val="nil"/>
              <w:left w:val="nil"/>
              <w:bottom w:val="nil"/>
              <w:right w:val="nil"/>
            </w:tcBorders>
            <w:noWrap w:val="0"/>
            <w:vAlign w:val="top"/>
          </w:tcPr>
          <w:p w14:paraId="36B1C94B">
            <w:pPr>
              <w:pStyle w:val="14"/>
              <w:spacing w:after="120"/>
              <w:ind w:left="0"/>
              <w:rPr>
                <w:rFonts w:hint="eastAsia" w:ascii="仿宋" w:hAnsi="仿宋" w:eastAsia="仿宋" w:cs="仿宋"/>
                <w:color w:val="auto"/>
                <w:szCs w:val="24"/>
                <w:highlight w:val="none"/>
              </w:rPr>
            </w:pPr>
          </w:p>
          <w:p w14:paraId="4667437B">
            <w:pPr>
              <w:pStyle w:val="14"/>
              <w:spacing w:after="120"/>
              <w:ind w:left="0"/>
              <w:rPr>
                <w:rFonts w:hint="eastAsia" w:ascii="仿宋" w:hAnsi="仿宋" w:eastAsia="仿宋" w:cs="仿宋"/>
                <w:color w:val="auto"/>
                <w:szCs w:val="24"/>
                <w:highlight w:val="none"/>
              </w:rPr>
            </w:pPr>
          </w:p>
          <w:p w14:paraId="58813692">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法定代表人/授权代表（签名）</w:t>
            </w:r>
          </w:p>
          <w:p w14:paraId="1547A360">
            <w:pPr>
              <w:pStyle w:val="14"/>
              <w:spacing w:after="120"/>
              <w:ind w:left="0"/>
              <w:rPr>
                <w:rFonts w:hint="eastAsia" w:ascii="仿宋" w:hAnsi="仿宋" w:eastAsia="仿宋" w:cs="仿宋"/>
                <w:color w:val="auto"/>
                <w:szCs w:val="24"/>
                <w:highlight w:val="none"/>
              </w:rPr>
            </w:pPr>
          </w:p>
          <w:p w14:paraId="1AC4E865">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签署日期</w:t>
            </w:r>
          </w:p>
        </w:tc>
        <w:tc>
          <w:tcPr>
            <w:tcW w:w="4500" w:type="dxa"/>
            <w:tcBorders>
              <w:top w:val="nil"/>
              <w:left w:val="nil"/>
              <w:bottom w:val="nil"/>
              <w:right w:val="nil"/>
            </w:tcBorders>
            <w:noWrap w:val="0"/>
            <w:vAlign w:val="top"/>
          </w:tcPr>
          <w:p w14:paraId="489BEA82">
            <w:pPr>
              <w:pStyle w:val="14"/>
              <w:spacing w:after="120"/>
              <w:ind w:left="0"/>
              <w:rPr>
                <w:rFonts w:hint="eastAsia" w:ascii="仿宋" w:hAnsi="仿宋" w:eastAsia="仿宋" w:cs="仿宋"/>
                <w:color w:val="auto"/>
                <w:szCs w:val="24"/>
                <w:highlight w:val="none"/>
              </w:rPr>
            </w:pPr>
          </w:p>
          <w:p w14:paraId="0E75D44A">
            <w:pPr>
              <w:pStyle w:val="14"/>
              <w:spacing w:after="120"/>
              <w:ind w:left="0"/>
              <w:rPr>
                <w:rFonts w:hint="eastAsia" w:ascii="仿宋" w:hAnsi="仿宋" w:eastAsia="仿宋" w:cs="仿宋"/>
                <w:color w:val="auto"/>
                <w:szCs w:val="24"/>
                <w:highlight w:val="none"/>
              </w:rPr>
            </w:pPr>
          </w:p>
          <w:p w14:paraId="226C031A">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法定代表人/授权代表（签名）</w:t>
            </w:r>
          </w:p>
          <w:p w14:paraId="5E011E0C">
            <w:pPr>
              <w:pStyle w:val="14"/>
              <w:spacing w:after="120"/>
              <w:ind w:left="0"/>
              <w:rPr>
                <w:rFonts w:hint="eastAsia" w:ascii="仿宋" w:hAnsi="仿宋" w:eastAsia="仿宋" w:cs="仿宋"/>
                <w:color w:val="auto"/>
                <w:szCs w:val="24"/>
                <w:highlight w:val="none"/>
              </w:rPr>
            </w:pPr>
          </w:p>
          <w:p w14:paraId="55EFE487">
            <w:pPr>
              <w:pStyle w:val="14"/>
              <w:spacing w:after="120"/>
              <w:ind w:left="0"/>
              <w:rPr>
                <w:rFonts w:hint="eastAsia" w:ascii="仿宋" w:hAnsi="仿宋" w:eastAsia="仿宋" w:cs="仿宋"/>
                <w:szCs w:val="24"/>
                <w:highlight w:val="none"/>
              </w:rPr>
            </w:pPr>
            <w:r>
              <w:rPr>
                <w:rFonts w:hint="eastAsia" w:ascii="仿宋" w:hAnsi="仿宋" w:eastAsia="仿宋" w:cs="仿宋"/>
                <w:szCs w:val="24"/>
                <w:highlight w:val="none"/>
              </w:rPr>
              <w:t>签署日期</w:t>
            </w:r>
          </w:p>
        </w:tc>
      </w:tr>
    </w:tbl>
    <w:p w14:paraId="494C9A92"/>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26207E"/>
    <w:multiLevelType w:val="singleLevel"/>
    <w:tmpl w:val="B926207E"/>
    <w:lvl w:ilvl="0" w:tentative="0">
      <w:start w:val="1"/>
      <w:numFmt w:val="lowerLetter"/>
      <w:suff w:val="nothing"/>
      <w:lvlText w:val="%1）"/>
      <w:lvlJc w:val="left"/>
    </w:lvl>
  </w:abstractNum>
  <w:abstractNum w:abstractNumId="1">
    <w:nsid w:val="37531CE1"/>
    <w:multiLevelType w:val="multilevel"/>
    <w:tmpl w:val="37531CE1"/>
    <w:lvl w:ilvl="0" w:tentative="0">
      <w:start w:val="1"/>
      <w:numFmt w:val="lowerLetter"/>
      <w:lvlText w:val="(%1)"/>
      <w:lvlJc w:val="left"/>
      <w:pPr>
        <w:tabs>
          <w:tab w:val="left" w:pos="420"/>
        </w:tabs>
        <w:ind w:left="420" w:hanging="420"/>
      </w:pPr>
      <w:rPr>
        <w:rFonts w:hint="eastAsia"/>
      </w:rPr>
    </w:lvl>
    <w:lvl w:ilvl="1" w:tentative="0">
      <w:start w:val="1"/>
      <w:numFmt w:val="lowerLetter"/>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E12BEDA"/>
    <w:multiLevelType w:val="singleLevel"/>
    <w:tmpl w:val="5E12BEDA"/>
    <w:lvl w:ilvl="0" w:tentative="0">
      <w:start w:val="1"/>
      <w:numFmt w:val="lowerLetter"/>
      <w:suff w:val="nothing"/>
      <w:lvlText w:val="%1）"/>
      <w:lvlJc w:val="left"/>
      <w:pPr>
        <w:ind w:left="-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A04D1"/>
    <w:rsid w:val="5B2A0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b/>
      <w:spacing w:val="20"/>
      <w:kern w:val="0"/>
      <w:sz w:val="20"/>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2"/>
    <w:next w:val="2"/>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paragraph" w:styleId="8">
    <w:name w:val="Date"/>
    <w:basedOn w:val="1"/>
    <w:next w:val="1"/>
    <w:qFormat/>
    <w:uiPriority w:val="0"/>
    <w:rPr>
      <w:rFonts w:ascii="宋体"/>
      <w:sz w:val="24"/>
    </w:rPr>
  </w:style>
  <w:style w:type="paragraph" w:styleId="9">
    <w:name w:val="footer"/>
    <w:basedOn w:val="1"/>
    <w:next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一级"/>
    <w:basedOn w:val="1"/>
    <w:qFormat/>
    <w:uiPriority w:val="0"/>
    <w:pPr>
      <w:widowControl/>
      <w:autoSpaceDE w:val="0"/>
      <w:autoSpaceDN w:val="0"/>
      <w:adjustRightInd w:val="0"/>
      <w:spacing w:beforeLines="50" w:after="120" w:line="360" w:lineRule="auto"/>
      <w:ind w:left="567" w:right="-11"/>
    </w:pPr>
    <w:rPr>
      <w:rFonts w:ascii="宋体"/>
      <w:kern w:val="0"/>
      <w:sz w:val="24"/>
      <w:szCs w:val="20"/>
    </w:rPr>
  </w:style>
  <w:style w:type="paragraph" w:customStyle="1" w:styleId="14">
    <w:name w:val="样式 左侧:  1.27 厘米 段前: 6 磅 段后: 7.8 磅"/>
    <w:basedOn w:val="1"/>
    <w:qFormat/>
    <w:uiPriority w:val="0"/>
    <w:pPr>
      <w:spacing w:before="120" w:after="156"/>
      <w:ind w:left="720"/>
    </w:pPr>
    <w:rPr>
      <w:rFonts w:cs="宋体"/>
      <w:sz w:val="24"/>
      <w:szCs w:val="20"/>
    </w:r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2025-09-28T10:40:00Z</dcterms:created>
  <dc:creator>德仁招标</dc:creator>
  <cp:lastModifiedBy>德仁招标</cp:lastModifiedBy>
  <dcterms:modified xsi:type="dcterms:W3CDTF">2025-09-28T10:41:26Z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947317470206481E933A9ACAE606F874_11</vt:lpwstr>
  </property>
  <property fmtid="{D5CDD505-2E9C-101B-9397-08002B2CF9AE}" pid="4" name="KSOTemplateDocerSaveRecord">
    <vt:lpwstr>eyJoZGlkIjoiNzNmNDZlOGE4YzBiODhkNTY3NTdiYjNiMTljZmEwZTciLCJ1c2VySWQiOiIyNzQ5OTcwMTQifQ==</vt:lpwstr>
  </property>
</Properties>
</file>