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版本号：THXZB2025-105320251009001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院本部零星维修服务项目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THXZB2025-1053</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院本部零星维修服务项目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院本部零星维修服务项目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院本部院内零星维修及巡检工作、零星用工，确保医院正常运转。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采购包1（院本部零星维修服务项目）：属于专门面向中小企业采购。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磋商须提交法定代表人证明书，法定代表人授权代表参加磋商的，须出具法定代表人证明书及授权书、授权本单位的证明（提供磋商截止时间前三个月内任意一个月的养老保险参保缴费证明），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磋商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磋商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查询：供应商在递交响应文件截止时间前被“信用中国”网站和“中国政府采购网”上被列入失信被执行人、重大税收违法失信主体、政府采购严重违法失信行为记录名单的，不得参加投标（不强制要求供应商提供查询截图，以开标当日网上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30%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3-1、合同文本、合同附件、竞争性磋商文件、成交供应商的响应文件。 3-2、国内相应的标准、规范。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院本部院内零星维修及巡检工作、零星用工，确保医院正常运转。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零星维修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标的名称：零星维修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院本部</w:t>
            </w:r>
            <w:r>
              <w:rPr>
                <w:rFonts w:ascii="仿宋_GB2312" w:hAnsi="仿宋_GB2312" w:cs="仿宋_GB2312" w:eastAsia="仿宋_GB2312"/>
                <w:sz w:val="24"/>
              </w:rPr>
              <w:t>院内</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24h</w:t>
            </w:r>
            <w:r>
              <w:rPr>
                <w:rFonts w:ascii="仿宋_GB2312" w:hAnsi="仿宋_GB2312" w:cs="仿宋_GB2312" w:eastAsia="仿宋_GB2312"/>
                <w:sz w:val="24"/>
              </w:rPr>
              <w:t>零星维修及巡检工作、零星用工、医院小型改造项目（预算</w:t>
            </w:r>
            <w:r>
              <w:rPr>
                <w:rFonts w:ascii="仿宋_GB2312" w:hAnsi="仿宋_GB2312" w:cs="仿宋_GB2312" w:eastAsia="仿宋_GB2312"/>
                <w:sz w:val="24"/>
              </w:rPr>
              <w:t>一</w:t>
            </w:r>
            <w:r>
              <w:rPr>
                <w:rFonts w:ascii="仿宋_GB2312" w:hAnsi="仿宋_GB2312" w:cs="仿宋_GB2312" w:eastAsia="仿宋_GB2312"/>
                <w:sz w:val="24"/>
              </w:rPr>
              <w:t>万元以下），确保医院正常运转。</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1、范围：西安市中医医院院本部</w:t>
            </w:r>
          </w:p>
          <w:p>
            <w:pPr>
              <w:pStyle w:val="null3"/>
              <w:ind w:firstLine="480"/>
              <w:jc w:val="both"/>
            </w:pPr>
            <w:r>
              <w:rPr>
                <w:rFonts w:ascii="仿宋_GB2312" w:hAnsi="仿宋_GB2312" w:cs="仿宋_GB2312" w:eastAsia="仿宋_GB2312"/>
                <w:sz w:val="24"/>
              </w:rPr>
              <w:t>2、日常院本部零星维修范围</w:t>
            </w:r>
            <w:r>
              <w:rPr>
                <w:rFonts w:ascii="仿宋_GB2312" w:hAnsi="仿宋_GB2312" w:cs="仿宋_GB2312" w:eastAsia="仿宋_GB2312"/>
                <w:sz w:val="24"/>
              </w:rPr>
              <w:t>预算</w:t>
            </w:r>
            <w:r>
              <w:rPr>
                <w:rFonts w:ascii="仿宋_GB2312" w:hAnsi="仿宋_GB2312" w:cs="仿宋_GB2312" w:eastAsia="仿宋_GB2312"/>
                <w:sz w:val="24"/>
              </w:rPr>
              <w:t>一</w:t>
            </w:r>
            <w:r>
              <w:rPr>
                <w:rFonts w:ascii="仿宋_GB2312" w:hAnsi="仿宋_GB2312" w:cs="仿宋_GB2312" w:eastAsia="仿宋_GB2312"/>
                <w:sz w:val="24"/>
              </w:rPr>
              <w:t>万元以下</w:t>
            </w:r>
            <w:r>
              <w:rPr>
                <w:rFonts w:ascii="仿宋_GB2312" w:hAnsi="仿宋_GB2312" w:cs="仿宋_GB2312" w:eastAsia="仿宋_GB2312"/>
                <w:sz w:val="24"/>
              </w:rPr>
              <w:t>（包括且不限于以下内容）：</w:t>
            </w:r>
          </w:p>
          <w:p>
            <w:pPr>
              <w:pStyle w:val="null3"/>
              <w:ind w:firstLine="480"/>
              <w:jc w:val="both"/>
            </w:pPr>
            <w:r>
              <w:rPr>
                <w:rFonts w:ascii="仿宋_GB2312" w:hAnsi="仿宋_GB2312" w:cs="仿宋_GB2312" w:eastAsia="仿宋_GB2312"/>
                <w:sz w:val="24"/>
              </w:rPr>
              <w:t>2.1室内维修：吊顶：各类材质，吊顶的破损修补、松动加固、配件更换；</w:t>
            </w:r>
          </w:p>
          <w:p>
            <w:pPr>
              <w:pStyle w:val="null3"/>
              <w:ind w:firstLine="480"/>
              <w:jc w:val="both"/>
            </w:pPr>
            <w:r>
              <w:rPr>
                <w:rFonts w:ascii="仿宋_GB2312" w:hAnsi="仿宋_GB2312" w:cs="仿宋_GB2312" w:eastAsia="仿宋_GB2312"/>
                <w:sz w:val="24"/>
              </w:rPr>
              <w:t>2.2墙面：乳胶漆、壁纸、瓷砖、石材等墙面的开裂、脱落、污损修补，阴阳角顺直调整；</w:t>
            </w:r>
          </w:p>
          <w:p>
            <w:pPr>
              <w:pStyle w:val="null3"/>
              <w:ind w:firstLine="480"/>
              <w:jc w:val="both"/>
            </w:pPr>
            <w:r>
              <w:rPr>
                <w:rFonts w:ascii="仿宋_GB2312" w:hAnsi="仿宋_GB2312" w:cs="仿宋_GB2312" w:eastAsia="仿宋_GB2312"/>
                <w:sz w:val="24"/>
              </w:rPr>
              <w:t>2.3地面：地砖、地板、水磨石地面的空鼓修复、破损更换、划痕处理，地面平整度调整；</w:t>
            </w:r>
          </w:p>
          <w:p>
            <w:pPr>
              <w:pStyle w:val="null3"/>
              <w:ind w:firstLine="480"/>
              <w:jc w:val="both"/>
            </w:pPr>
            <w:r>
              <w:rPr>
                <w:rFonts w:ascii="仿宋_GB2312" w:hAnsi="仿宋_GB2312" w:cs="仿宋_GB2312" w:eastAsia="仿宋_GB2312"/>
                <w:sz w:val="24"/>
              </w:rPr>
              <w:t>2.4室外维修：屋面及挑檐：屋面基层破损修补，挑檐开裂、掉块修复，屋面保温层局部修复；</w:t>
            </w:r>
          </w:p>
          <w:p>
            <w:pPr>
              <w:pStyle w:val="null3"/>
              <w:ind w:firstLine="480"/>
              <w:jc w:val="both"/>
            </w:pPr>
            <w:r>
              <w:rPr>
                <w:rFonts w:ascii="仿宋_GB2312" w:hAnsi="仿宋_GB2312" w:cs="仿宋_GB2312" w:eastAsia="仿宋_GB2312"/>
                <w:sz w:val="24"/>
              </w:rPr>
              <w:t>2.5外立面：外墙涂料、瓷砖、石材的空鼓拆除与重贴，外墙渗漏点排查与修补；</w:t>
            </w:r>
          </w:p>
          <w:p>
            <w:pPr>
              <w:pStyle w:val="null3"/>
              <w:ind w:firstLine="480"/>
              <w:jc w:val="both"/>
            </w:pPr>
            <w:r>
              <w:rPr>
                <w:rFonts w:ascii="仿宋_GB2312" w:hAnsi="仿宋_GB2312" w:cs="仿宋_GB2312" w:eastAsia="仿宋_GB2312"/>
                <w:sz w:val="24"/>
              </w:rPr>
              <w:t>2.6室外管网及设施：屋面雨水沟杂物清理、落水管疏通（含堵塞点排查与拆解疏通）；室外井篦子（雨水井、污水井）杂物清理；地面（水泥地、沥青路面、石材路面）的裂缝修补、局部开挖维修（含基层处理与面层恢复）；</w:t>
            </w:r>
          </w:p>
          <w:p>
            <w:pPr>
              <w:pStyle w:val="null3"/>
              <w:ind w:firstLine="480"/>
              <w:jc w:val="both"/>
            </w:pPr>
            <w:r>
              <w:rPr>
                <w:rFonts w:ascii="仿宋_GB2312" w:hAnsi="仿宋_GB2312" w:cs="仿宋_GB2312" w:eastAsia="仿宋_GB2312"/>
                <w:sz w:val="24"/>
              </w:rPr>
              <w:t>2.7防水工程：屋面局部防水（卷材、涂膜）破损修复；卫生间、洗漱间等区域渗漏点排查。</w:t>
            </w:r>
          </w:p>
          <w:p>
            <w:pPr>
              <w:pStyle w:val="null3"/>
              <w:ind w:firstLine="480"/>
              <w:jc w:val="both"/>
            </w:pPr>
            <w:r>
              <w:rPr>
                <w:rFonts w:ascii="仿宋_GB2312" w:hAnsi="仿宋_GB2312" w:cs="仿宋_GB2312" w:eastAsia="仿宋_GB2312"/>
                <w:sz w:val="24"/>
              </w:rPr>
              <w:t>2.8其他维修：各类扶手（楼梯扶手、走廊扶手）、栏杆（阳台栏杆、窗户防护栏）的焊接加固、锈蚀打磨刷漆、断裂更换；</w:t>
            </w:r>
          </w:p>
          <w:p>
            <w:pPr>
              <w:pStyle w:val="null3"/>
              <w:ind w:firstLine="480"/>
              <w:jc w:val="both"/>
            </w:pPr>
            <w:r>
              <w:rPr>
                <w:rFonts w:ascii="仿宋_GB2312" w:hAnsi="仿宋_GB2312" w:cs="仿宋_GB2312" w:eastAsia="仿宋_GB2312"/>
                <w:sz w:val="24"/>
              </w:rPr>
              <w:t>2.9无障碍设施：无障碍坡道、盲道等的损坏修复；</w:t>
            </w:r>
          </w:p>
          <w:p>
            <w:pPr>
              <w:pStyle w:val="null3"/>
              <w:ind w:firstLine="480"/>
              <w:jc w:val="both"/>
            </w:pPr>
            <w:r>
              <w:rPr>
                <w:rFonts w:ascii="仿宋_GB2312" w:hAnsi="仿宋_GB2312" w:cs="仿宋_GB2312" w:eastAsia="仿宋_GB2312"/>
                <w:sz w:val="24"/>
              </w:rPr>
              <w:t>2.10防汛及管道：防汛沙袋的定期检查与补充更换；各类管道的接口渗漏维修、管道支架加固、局部管道更换；</w:t>
            </w:r>
          </w:p>
          <w:p>
            <w:pPr>
              <w:pStyle w:val="null3"/>
              <w:ind w:firstLine="480"/>
              <w:jc w:val="both"/>
            </w:pPr>
            <w:r>
              <w:rPr>
                <w:rFonts w:ascii="仿宋_GB2312" w:hAnsi="仿宋_GB2312" w:cs="仿宋_GB2312" w:eastAsia="仿宋_GB2312"/>
                <w:sz w:val="24"/>
              </w:rPr>
              <w:t>2.11洗漱设施：洗手台台面的破损修补或整体更换。</w:t>
            </w:r>
          </w:p>
          <w:p>
            <w:pPr>
              <w:pStyle w:val="null3"/>
              <w:ind w:firstLine="480"/>
              <w:jc w:val="both"/>
            </w:pPr>
            <w:r>
              <w:rPr>
                <w:rFonts w:ascii="仿宋_GB2312" w:hAnsi="仿宋_GB2312" w:cs="仿宋_GB2312" w:eastAsia="仿宋_GB2312"/>
                <w:sz w:val="24"/>
              </w:rPr>
              <w:t>3、服务时间</w:t>
            </w:r>
          </w:p>
          <w:p>
            <w:pPr>
              <w:pStyle w:val="null3"/>
              <w:ind w:firstLine="480"/>
              <w:jc w:val="both"/>
            </w:pPr>
            <w:r>
              <w:rPr>
                <w:rFonts w:ascii="仿宋_GB2312" w:hAnsi="仿宋_GB2312" w:cs="仿宋_GB2312" w:eastAsia="仿宋_GB2312"/>
                <w:sz w:val="24"/>
              </w:rPr>
              <w:t>3.1实行“全年全天24小时值班制”：设立24小时维修值班电话，确保电话接通响应时间不超过5分钟；值班人员：白天（8:00-18:00）在岗维修人员不少于3人；夜间（18:00-次日8:00）及节假日在岗值班人员不少于2人；</w:t>
            </w:r>
          </w:p>
          <w:p>
            <w:pPr>
              <w:pStyle w:val="null3"/>
              <w:ind w:firstLine="480"/>
              <w:jc w:val="both"/>
            </w:pPr>
            <w:r>
              <w:rPr>
                <w:rFonts w:ascii="仿宋_GB2312" w:hAnsi="仿宋_GB2312" w:cs="仿宋_GB2312" w:eastAsia="仿宋_GB2312"/>
                <w:sz w:val="24"/>
              </w:rPr>
              <w:t>3.2紧急响应机制：针对影响医疗运行的紧急维修，值班人员须30分钟内到达现场并启动维修；非紧急维修须2小时内到达现场并明确维修方案。</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1、响应时效：接到维修需求通知后，紧急维修须30分钟内到达现场；一般维修须2小时内到达现场。</w:t>
            </w:r>
          </w:p>
          <w:p>
            <w:pPr>
              <w:pStyle w:val="null3"/>
              <w:ind w:firstLine="480"/>
              <w:jc w:val="both"/>
            </w:pPr>
            <w:r>
              <w:rPr>
                <w:rFonts w:ascii="仿宋_GB2312" w:hAnsi="仿宋_GB2312" w:cs="仿宋_GB2312" w:eastAsia="仿宋_GB2312"/>
                <w:sz w:val="24"/>
              </w:rPr>
              <w:t>2、维修周期：简单维修项目须当日完成；需采购配件或复杂维修项目，须与院方沟通完成。</w:t>
            </w:r>
          </w:p>
          <w:p>
            <w:pPr>
              <w:pStyle w:val="null3"/>
              <w:ind w:firstLine="480"/>
              <w:jc w:val="both"/>
            </w:pPr>
            <w:r>
              <w:rPr>
                <w:rFonts w:ascii="仿宋_GB2312" w:hAnsi="仿宋_GB2312" w:cs="仿宋_GB2312" w:eastAsia="仿宋_GB2312"/>
                <w:sz w:val="24"/>
              </w:rPr>
              <w:t>3、通用标准：严格遵循现行国家标准（如《建筑装饰装修工程质量验收标准》GB50210、《屋面工程质量验收标准》GB50207、《建筑给水排水及采暖工程施工质量验收规范》GB50242等）、行业标准及国家行政部门颁布的相关法律法规、规章制度。无明确国标、行标的项目，按双方确认的行业通用工艺标准或院方提出的合理质量要求执行。</w:t>
            </w:r>
          </w:p>
          <w:p>
            <w:pPr>
              <w:pStyle w:val="null3"/>
              <w:ind w:firstLine="480"/>
              <w:jc w:val="both"/>
            </w:pPr>
            <w:r>
              <w:rPr>
                <w:rFonts w:ascii="仿宋_GB2312" w:hAnsi="仿宋_GB2312" w:cs="仿宋_GB2312" w:eastAsia="仿宋_GB2312"/>
                <w:sz w:val="24"/>
              </w:rPr>
              <w:t>4、具体指标：</w:t>
            </w:r>
          </w:p>
          <w:p>
            <w:pPr>
              <w:pStyle w:val="null3"/>
              <w:ind w:firstLine="480"/>
              <w:jc w:val="both"/>
            </w:pPr>
            <w:r>
              <w:rPr>
                <w:rFonts w:ascii="仿宋_GB2312" w:hAnsi="仿宋_GB2312" w:cs="仿宋_GB2312" w:eastAsia="仿宋_GB2312"/>
                <w:sz w:val="24"/>
              </w:rPr>
              <w:t>房屋完好率</w:t>
            </w:r>
            <w:r>
              <w:rPr>
                <w:rFonts w:ascii="仿宋_GB2312" w:hAnsi="仿宋_GB2312" w:cs="仿宋_GB2312" w:eastAsia="仿宋_GB2312"/>
                <w:sz w:val="24"/>
              </w:rPr>
              <w:t>≥99%（含结构安全、屋面防水、外立面完整等，不含正常老化及不可抗力导致的损坏）；</w:t>
            </w:r>
          </w:p>
          <w:p>
            <w:pPr>
              <w:pStyle w:val="null3"/>
              <w:ind w:firstLine="480"/>
              <w:jc w:val="both"/>
            </w:pPr>
            <w:r>
              <w:rPr>
                <w:rFonts w:ascii="仿宋_GB2312" w:hAnsi="仿宋_GB2312" w:cs="仿宋_GB2312" w:eastAsia="仿宋_GB2312"/>
                <w:sz w:val="24"/>
              </w:rPr>
              <w:t>维修及时率</w:t>
            </w:r>
            <w:r>
              <w:rPr>
                <w:rFonts w:ascii="仿宋_GB2312" w:hAnsi="仿宋_GB2312" w:cs="仿宋_GB2312" w:eastAsia="仿宋_GB2312"/>
                <w:sz w:val="24"/>
              </w:rPr>
              <w:t>100%（按“进度要求”中响应及完成时间核算）；</w:t>
            </w:r>
          </w:p>
          <w:p>
            <w:pPr>
              <w:pStyle w:val="null3"/>
              <w:ind w:firstLine="480"/>
              <w:jc w:val="both"/>
            </w:pPr>
            <w:r>
              <w:rPr>
                <w:rFonts w:ascii="仿宋_GB2312" w:hAnsi="仿宋_GB2312" w:cs="仿宋_GB2312" w:eastAsia="仿宋_GB2312"/>
                <w:sz w:val="24"/>
              </w:rPr>
              <w:t>维修合格率</w:t>
            </w:r>
            <w:r>
              <w:rPr>
                <w:rFonts w:ascii="仿宋_GB2312" w:hAnsi="仿宋_GB2312" w:cs="仿宋_GB2312" w:eastAsia="仿宋_GB2312"/>
                <w:sz w:val="24"/>
              </w:rPr>
              <w:t>100%（维修后经院方相关科室现场验收，符合使用功能及质量标准即为合格，不合格项须无条件返修至合格）。</w:t>
            </w:r>
          </w:p>
          <w:p>
            <w:pPr>
              <w:pStyle w:val="null3"/>
              <w:ind w:firstLine="482"/>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1、人员配置与管理：常驻医院维修人员不少于3人。</w:t>
            </w:r>
          </w:p>
          <w:p>
            <w:pPr>
              <w:pStyle w:val="null3"/>
              <w:ind w:firstLine="480"/>
              <w:jc w:val="both"/>
            </w:pPr>
            <w:r>
              <w:rPr>
                <w:rFonts w:ascii="仿宋_GB2312" w:hAnsi="仿宋_GB2312" w:cs="仿宋_GB2312" w:eastAsia="仿宋_GB2312"/>
                <w:sz w:val="24"/>
              </w:rPr>
              <w:t>2、维修材料：使用的材料须符合国家标准，提供产品合格证及检测报告，经院方查验同意后方可使用，严禁使用假冒伪劣产品；</w:t>
            </w:r>
          </w:p>
          <w:p>
            <w:pPr>
              <w:pStyle w:val="null3"/>
              <w:ind w:firstLine="480"/>
              <w:jc w:val="both"/>
            </w:pPr>
            <w:r>
              <w:rPr>
                <w:rFonts w:ascii="仿宋_GB2312" w:hAnsi="仿宋_GB2312" w:cs="仿宋_GB2312" w:eastAsia="仿宋_GB2312"/>
                <w:sz w:val="24"/>
              </w:rPr>
              <w:t>3、保修承诺：维修项目须提供质保期（如防水维修质保期不少于1年，管道维修质保期不少于6个月），质保期内出现同类问题须免费返修。</w:t>
            </w:r>
          </w:p>
          <w:p>
            <w:pPr>
              <w:pStyle w:val="null3"/>
              <w:ind w:firstLine="480"/>
              <w:jc w:val="both"/>
            </w:pPr>
            <w:r>
              <w:rPr>
                <w:rFonts w:ascii="仿宋_GB2312" w:hAnsi="仿宋_GB2312" w:cs="仿宋_GB2312" w:eastAsia="仿宋_GB2312"/>
                <w:sz w:val="24"/>
              </w:rPr>
              <w:t>4、配合院方考核：每三个月按院方要求参与综合考核，对考核中发现的问题须在3个工作日内提交整改方案并落实；</w:t>
            </w:r>
          </w:p>
          <w:p>
            <w:pPr>
              <w:pStyle w:val="null3"/>
              <w:ind w:firstLine="480"/>
              <w:jc w:val="both"/>
            </w:pPr>
            <w:r>
              <w:rPr>
                <w:rFonts w:ascii="仿宋_GB2312" w:hAnsi="仿宋_GB2312" w:cs="仿宋_GB2312" w:eastAsia="仿宋_GB2312"/>
                <w:sz w:val="24"/>
              </w:rPr>
              <w:t>5、安全责任：供应商对作业人员的人身安全全权负责，在医院发生的人身意外、安全事故，由供应商承担全部责任，医院不承担任何责任。</w:t>
            </w:r>
          </w:p>
          <w:p>
            <w:pPr>
              <w:pStyle w:val="null3"/>
              <w:ind w:firstLine="480"/>
              <w:jc w:val="both"/>
            </w:pPr>
            <w:r>
              <w:rPr>
                <w:rFonts w:ascii="仿宋_GB2312" w:hAnsi="仿宋_GB2312" w:cs="仿宋_GB2312" w:eastAsia="仿宋_GB2312"/>
                <w:sz w:val="24"/>
              </w:rPr>
              <w:t>6、临时任务：服从医院各科室的合理工作安排，完成临时性维修任务（如大型活动前设施检修、防汛应急加固等），不得推诿拖延；临时性任务的完成情况纳入考核。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符合磋商服务内容要求。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符合磋商服务内容要求。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符合磋商服务内容要求。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服务期三年，自合同签订之日起计算。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3-1、合同文本、合同附件、竞争性磋商文件、成交供应商的响应文件。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合同签订后每满三个月后收到乙方提供的发票，甲方支付该时间段的费用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（二）未按合同要求提供服务或服务质量不能满足本次采购要求，采购人会同监督机构、采购代理机构有权终止合同和对成交供应商违约行为进行追究，同时按政府采购法的有关规定进行相应的处罚。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1.因系统格式设定无法更改，支付约定描述以磋商文件“拟签订合同文本”中体现的内容为准。 2.本项目所属行业为：其他未列明行业。从业人员300人以下的为中小微型企业。其中，从业人员100人及以上的为中型企业；从业人员10人及以上的为小型企业；从业人员10人 以下的为微型企业。 3.成交供应商在领取成交通知书时须提供跟开标时上传的电子响应文件一致的纸质版响应文件一正二副用于备案。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法定代表人证明书及授权书、授权本单位的证明（提供磋商截止时间前三个月内任意一个月的养老保险参保缴费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和“中国政府采购网”上被列入失信被执行人、重大税收违法失信主体、政府采购严重违法失信行为记录名单的，不得参加投标（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供应商提供2022年9月1日至今类似项目业绩，以合同签订时间为准，每提供一份合同计2分，最高计8分。（须提供完整合同复印件并加盖供应商公章，否则不计分）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供应商针对本项目提供的服务方案，方案包含①服务内容实施施工方案；②技术措施；③施工方法工艺；④成品保护措施。 二、评审标准： 1、完整性：方案须全面，对评审内容中的各项要求有详细描述及说明； 2、可实施性：切合本项目实际情况，实施步骤清晰、合理； 3、针对性：方案能够紧扣项目实际情况，内容科学合理。 三、赋分标准（满分12分）： ①服务内容实施施工方案：每完全满足一个评审标准得1分，满分3分； ②技术措施：每完全满足一个评审标准得1分，满分3分； ③施工方法工艺：每完全满足一个评审标准得1分，满分3分； ④成品保护措施：每完全满足一个评审标准得1分，满分3分。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质量管理体系与控制措施</w:t>
            </w:r>
          </w:p>
        </w:tc>
        <w:tc>
          <w:tcPr>
            <w:tcW w:type="dxa" w:w="2492"/>
          </w:tcPr>
          <w:p>
            <w:pPr>
              <w:pStyle w:val="null3"/>
            </w:pPr>
            <w:r>
              <w:rPr>
                <w:rFonts w:ascii="仿宋_GB2312" w:hAnsi="仿宋_GB2312" w:cs="仿宋_GB2312" w:eastAsia="仿宋_GB2312"/>
              </w:rPr>
              <w:t>一、评审内容： 供应商针对本项目提供的质量管理体系与控制措施，包含①质量管理体系；②质量控制措施；③质量保障措施。 二、评审标准： 1、完整性：方案须全面，对评审内容中的各项要求有详细描述及说明； 2、可实施性：切合本项目实际情况，实施步骤清晰、合理； 3、针对性：方案能够紧扣项目实际情况，内容科学合理。 三、赋分标准（满分9分）： ①质量管理体系：每完全满足一个评审标准得1分，满分3分； ②质量控制措施：每完全满足一个评审标准得1分，满分3分； ③质量保障措施：每完全满足一个评审标准得1分，满分3分。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供应商需要加以说明的其他内容.docx</w:t>
            </w:r>
          </w:p>
          <w:p>
            <w:pPr>
              <w:pStyle w:val="null3"/>
            </w:pPr>
            <w:r>
              <w:rPr>
                <w:rFonts w:ascii="仿宋_GB2312" w:hAnsi="仿宋_GB2312" w:cs="仿宋_GB2312" w:eastAsia="仿宋_GB2312"/>
              </w:rPr>
              <w:t>磋商响应方案-质量管理体系与控制措施.docx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供应商针对本项目提供的安全管理体系与措施，包含①安全管理体系；②安全管理措施；③风险应对保障等。 二、评审标准： 1、完整性：方案须全面，对评审内容中的各项要求有详细描述及说明； 2、可实施性：切合本项目实际情况，实施步骤清晰、合理； 3、针对性：方案能够紧扣项目实际情况，内容科学合理。 三、赋分标准（满分9分）： ①安全管理体系：每完全满足一个评审标准得1分，满分3分； ②安全管理措施：每完全满足一个评审标准得1分，满分3分； ③风险应对保障：每完全满足一个评审标准得1分，满分3分。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磋商响应方案-安全管理体系与措施.docx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供应商针对本项目提供的资源配备计划，包含①拟投入的主要施工机械设备计划；②主要材料进场计划；③劳动力投入计划。 二、评审标准： 1、完整性：方案须全面，对评审内容中的各项要求有详细描述及说明； 2、可实施性及针对性：方案能够紧扣项目实际情况，实施步骤清晰、合理，内容科学合理。 三、赋分标准（满分6分）： ①拟投入的主要施工机械设备计划：每完全满足一个评审标准得1分，满分2分； ②主要材料进场计划：每完全满足一个评审标准得1分，满分2分； ③劳动力投入计划：每完全满足一个评审标准得1分，满分2分。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磋商响应方案-资源配备计划.docx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 供应商针对本项目提供的文明施工及环境保护措施，包含①文明施工保障措施；②环境保护管理体系及控制措施。 二、评审标准： 1、完整性：方案须全面，对评审内容中的各项要求有详细描述及说明； 2、可实施性：切合本项目实际情况，实施步骤清晰、合理； 3、针对性：方案能够紧扣项目实际情况，内容科学合理。 三、赋分标准（满分6分）： ①文明施工保障措施：每完全满足一个评审标准得1分，满分3分； ②环境保护管理体系及控制措施：每完全满足一个评审标准得1分，满分3分。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磋商响应方案-文明施工及环境保护措施docx.docx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 供应商针对本项目提供的应急预案及措施，包含①自然灾害应急措施；②安全事故应急措施；③紧急维修应急措施。 二、评审标准： 1、完整性：方案须全面，对评审内容中的各项要求有详细描述及说明； 2、可实施性及针对性：方案能够紧扣项目实际情况，实施步骤清晰、合理，内容科学合理。 三、赋分标准（满分6分）： ①自然灾害应急措施：每完全满足一个评审标准得1分，满分2分； ②安全事故应急措施：每完全满足一个评审标准得1分，满分2分； ③紧急维修应急措施：每完全满足一个评审标准得1分，满分2分。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磋商响应方案-应急预案及措施docx.docx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内控制度和人员管理制度</w:t>
            </w:r>
          </w:p>
        </w:tc>
        <w:tc>
          <w:tcPr>
            <w:tcW w:type="dxa" w:w="2492"/>
          </w:tcPr>
          <w:p>
            <w:pPr>
              <w:pStyle w:val="null3"/>
            </w:pPr>
            <w:r>
              <w:rPr>
                <w:rFonts w:ascii="仿宋_GB2312" w:hAnsi="仿宋_GB2312" w:cs="仿宋_GB2312" w:eastAsia="仿宋_GB2312"/>
              </w:rPr>
              <w:t>一、评审内容： 供应商针对本项目提供的内控制度和人员管理制度，包含①内控制度；②服务质量标准；③人员管理制度及岗位工作标准。 二、评审标准： 1、完整性：方案须全面，对评审内容中的各项要求有详细描述及说明； 2、可实施性及针对性：方案能够紧扣项目实际情况，实施步骤清晰、合理，内容科学合理。 三、赋分标准（满分6分）： ①内控制度：每完全满足一个评审标准得1分，满分2分； ②服务质量标准：每完全满足一个评审标准得1分，满分2分； ③人员管理制度及岗位工作标准：每完全满足一个评审标准得1分，满分2分。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磋商响应方案-内控制度和人员管理制度.docx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一、评审内容： 供应商针对本项目提供的重难点分析及合理化建议，包含①零星维修工程的重难点分析及解决办法；②合理化建议。 二、评审标准： 1、完整性：方案须全面，对评审内容中的各项要求有详细描述及说明； 2、可实施性：切合本项目实际情况，实施步骤清晰、合理； 3、针对性：方案能够紧扣项目实际情况，内容科学合理。 三、赋分标准（满分6分）： ①零星维修工程的重难点分析及解决办法：每完全满足一个评审标准得1分，满分3分； ②合理化建议：每完全满足一个评审标准得1分，满分3分。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供应商需要加以说明的其他内容.docx</w:t>
            </w:r>
          </w:p>
          <w:p>
            <w:pPr>
              <w:pStyle w:val="null3"/>
            </w:pPr>
            <w:r>
              <w:rPr>
                <w:rFonts w:ascii="仿宋_GB2312" w:hAnsi="仿宋_GB2312" w:cs="仿宋_GB2312" w:eastAsia="仿宋_GB2312"/>
              </w:rPr>
              <w:t>磋商响应方案-重难点分析及合理化建议.docx</w:t>
            </w:r>
          </w:p>
        </w:tc>
      </w:tr>
      <w:tr>
        <w:tc>
          <w:tcPr>
            <w:tcW w:type="dxa" w:w="831"/>
            <w:vMerge/>
          </w:tcPr>
          <w:p/>
        </w:tc>
        <w:tc>
          <w:tcPr>
            <w:tcW w:type="dxa" w:w="1661"/>
          </w:tcPr>
          <w:p>
            <w:pPr>
              <w:pStyle w:val="null3"/>
            </w:pPr>
            <w:r>
              <w:rPr>
                <w:rFonts w:ascii="仿宋_GB2312" w:hAnsi="仿宋_GB2312" w:cs="仿宋_GB2312" w:eastAsia="仿宋_GB2312"/>
              </w:rPr>
              <w:t>验收保修方案</w:t>
            </w:r>
          </w:p>
        </w:tc>
        <w:tc>
          <w:tcPr>
            <w:tcW w:type="dxa" w:w="2492"/>
          </w:tcPr>
          <w:p>
            <w:pPr>
              <w:pStyle w:val="null3"/>
            </w:pPr>
            <w:r>
              <w:rPr>
                <w:rFonts w:ascii="仿宋_GB2312" w:hAnsi="仿宋_GB2312" w:cs="仿宋_GB2312" w:eastAsia="仿宋_GB2312"/>
              </w:rPr>
              <w:t>一、评审内容： 供应商针对本项目提供的验收保修方案，包含①验收方案②维修措施及保修责任承诺。 二、评审标准： 1、完整性：方案须全面，对评审内容中的各项要求有详细描述及说明； 2、可实施性：切合本项目实际情况，实施步骤清晰、合理； 3、针对性：方案能够紧扣项目实际情况，内容科学合理。 三、赋分标准（满分6分）： ①验收方案：每完全满足一个评审标准得1分，满分3分； ②维修措施及保修责任承诺：每完全满足一个评审标准得1分，满分3分。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磋商响应方案-验收保修方案.docx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1、供应商针对本项目提供项目团队，具备专门的技术人员，项目团队人员≥5人得5分，须提供人员清单说明及团队人员在供应商单位缴纳的近半年内任意一个月的社保证明材料，不满足或不齐全不得分。 2、供应商为本项目配备的项目负责人具有本科及以上学历得1分，其他不得分。 3、供应商为本项目配备的项目负责人具有工程类高级工程师职称的得2分。 4、供应商为本项目配备的项目团队中除项目负责人外具有工程类中级及以上工程师职称的，每提供1个得1分，最高得2分。 备注：以上证件须提供合法有效的证书复印件并加盖供应商公章，否则不计分。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供应商需要加以说明的其他内容.docx</w:t>
            </w:r>
          </w:p>
          <w:p>
            <w:pPr>
              <w:pStyle w:val="null3"/>
            </w:pPr>
            <w:r>
              <w:rPr>
                <w:rFonts w:ascii="仿宋_GB2312" w:hAnsi="仿宋_GB2312" w:cs="仿宋_GB2312" w:eastAsia="仿宋_GB2312"/>
              </w:rPr>
              <w:t>磋商响应方案-项目团队.docx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供应商针对本项目提供的服务承诺，包含①人员配置及后续服务人员到位承诺；②服务标准、质量承诺；③服务期间响应时间、有效的解决问题的承诺。 二、评审标准： 1、完整性：方案须全面，对评审内容中的各项要求有详细描述及说明； 2、可实施性及针对性：方案能够紧扣项目实际情况，实施步骤清晰、合理，内容科学合理。 三、赋分标准（满分6分）： ①人员配置及后续服务人员到位承诺：每完全满足一个评审标准得1分，满分2分； ②服务标准、质量承诺：每完全满足一个评审标准得1分，满分2分； ③服务期间响应时间、有效的解决问题的承诺：每完全满足一个评审标准得1分，满分2分。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p>
            <w:pPr>
              <w:pStyle w:val="null3"/>
            </w:pPr>
            <w:r>
              <w:rPr>
                <w:rFonts w:ascii="仿宋_GB2312" w:hAnsi="仿宋_GB2312" w:cs="仿宋_GB2312" w:eastAsia="仿宋_GB2312"/>
              </w:rPr>
              <w:t>供应商需要加以说明的其他内容.docx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采用低价优先法计算，即满足磋商文件要求且投标价格最低的报价为评标基准价，其价格分为满分。 磋商报价得分＝（评标基准价/磋商报价）×10 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详见附件：磋商响应方案-服务方案.docx</w:t>
      </w:r>
    </w:p>
    <w:p>
      <w:pPr>
        <w:pStyle w:val="null3"/>
        <w:ind w:firstLine="960"/>
      </w:pPr>
      <w:r>
        <w:rPr>
          <w:rFonts w:ascii="仿宋_GB2312" w:hAnsi="仿宋_GB2312" w:cs="仿宋_GB2312" w:eastAsia="仿宋_GB2312"/>
        </w:rPr>
        <w:t>详见附件：磋商响应方案-质量管理体系与控制措施.docx</w:t>
      </w:r>
    </w:p>
    <w:p>
      <w:pPr>
        <w:pStyle w:val="null3"/>
        <w:ind w:firstLine="960"/>
      </w:pPr>
      <w:r>
        <w:rPr>
          <w:rFonts w:ascii="仿宋_GB2312" w:hAnsi="仿宋_GB2312" w:cs="仿宋_GB2312" w:eastAsia="仿宋_GB2312"/>
        </w:rPr>
        <w:t>详见附件：磋商响应方案-安全管理体系与措施.docx</w:t>
      </w:r>
    </w:p>
    <w:p>
      <w:pPr>
        <w:pStyle w:val="null3"/>
        <w:ind w:firstLine="960"/>
      </w:pPr>
      <w:r>
        <w:rPr>
          <w:rFonts w:ascii="仿宋_GB2312" w:hAnsi="仿宋_GB2312" w:cs="仿宋_GB2312" w:eastAsia="仿宋_GB2312"/>
        </w:rPr>
        <w:t>详见附件：磋商响应方案-资源配备计划.docx</w:t>
      </w:r>
    </w:p>
    <w:p>
      <w:pPr>
        <w:pStyle w:val="null3"/>
        <w:ind w:firstLine="960"/>
      </w:pPr>
      <w:r>
        <w:rPr>
          <w:rFonts w:ascii="仿宋_GB2312" w:hAnsi="仿宋_GB2312" w:cs="仿宋_GB2312" w:eastAsia="仿宋_GB2312"/>
        </w:rPr>
        <w:t>详见附件：磋商响应方案-文明施工及环境保护措施docx.docx</w:t>
      </w:r>
    </w:p>
    <w:p>
      <w:pPr>
        <w:pStyle w:val="null3"/>
        <w:ind w:firstLine="960"/>
      </w:pPr>
      <w:r>
        <w:rPr>
          <w:rFonts w:ascii="仿宋_GB2312" w:hAnsi="仿宋_GB2312" w:cs="仿宋_GB2312" w:eastAsia="仿宋_GB2312"/>
        </w:rPr>
        <w:t>详见附件：磋商响应方案-应急预案及措施docx.docx</w:t>
      </w:r>
    </w:p>
    <w:p>
      <w:pPr>
        <w:pStyle w:val="null3"/>
        <w:ind w:firstLine="960"/>
      </w:pPr>
      <w:r>
        <w:rPr>
          <w:rFonts w:ascii="仿宋_GB2312" w:hAnsi="仿宋_GB2312" w:cs="仿宋_GB2312" w:eastAsia="仿宋_GB2312"/>
        </w:rPr>
        <w:t>详见附件：磋商响应方案-内控制度和人员管理制度.docx</w:t>
      </w:r>
    </w:p>
    <w:p>
      <w:pPr>
        <w:pStyle w:val="null3"/>
        <w:ind w:firstLine="960"/>
      </w:pPr>
      <w:r>
        <w:rPr>
          <w:rFonts w:ascii="仿宋_GB2312" w:hAnsi="仿宋_GB2312" w:cs="仿宋_GB2312" w:eastAsia="仿宋_GB2312"/>
        </w:rPr>
        <w:t>详见附件：磋商响应方案-重难点分析及合理化建议.docx</w:t>
      </w:r>
    </w:p>
    <w:p>
      <w:pPr>
        <w:pStyle w:val="null3"/>
        <w:ind w:firstLine="960"/>
      </w:pPr>
      <w:r>
        <w:rPr>
          <w:rFonts w:ascii="仿宋_GB2312" w:hAnsi="仿宋_GB2312" w:cs="仿宋_GB2312" w:eastAsia="仿宋_GB2312"/>
        </w:rPr>
        <w:t>详见附件：磋商响应方案-验收保修方案.docx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