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版本号：XHZB-CG202512820251015001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DRG付费改革第三方技术服务项目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XHZB-CG2025128</w:t>
      </w:r>
      <w:r>
        <w:br/>
      </w:r>
      <w:r>
        <w:br/>
      </w:r>
      <w:r>
        <w:br/>
      </w:r>
    </w:p>
    <w:p>
      <w:pPr>
        <w:pStyle w:val="null3"/>
        <w:jc w:val="center"/>
        <w:outlineLvl w:val="5"/>
      </w:pPr>
      <w:r>
        <w:rPr>
          <w:rFonts w:ascii="仿宋_GB2312" w:hAnsi="仿宋_GB2312" w:cs="仿宋_GB2312" w:eastAsia="仿宋_GB2312"/>
          <w:sz w:val="15"/>
          <w:b/>
        </w:rPr>
        <w:t>西安市医疗保障经办服务中心</w:t>
      </w:r>
    </w:p>
    <w:p>
      <w:pPr>
        <w:pStyle w:val="null3"/>
        <w:jc w:val="center"/>
        <w:outlineLvl w:val="5"/>
      </w:pPr>
      <w:r>
        <w:rPr>
          <w:rFonts w:ascii="仿宋_GB2312" w:hAnsi="仿宋_GB2312" w:cs="仿宋_GB2312" w:eastAsia="仿宋_GB2312"/>
          <w:sz w:val="15"/>
          <w:b/>
        </w:rPr>
        <w:t>陕西信禾工程项目管理有限公司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陕西信禾工程项目管理有限公司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西安市医疗保障经办服务中心</w:t>
      </w:r>
      <w:r>
        <w:rPr>
          <w:rFonts w:ascii="仿宋_GB2312" w:hAnsi="仿宋_GB2312" w:cs="仿宋_GB2312" w:eastAsia="仿宋_GB2312"/>
        </w:rPr>
        <w:t>委托，拟对</w:t>
      </w:r>
      <w:r>
        <w:rPr>
          <w:rFonts w:ascii="仿宋_GB2312" w:hAnsi="仿宋_GB2312" w:cs="仿宋_GB2312" w:eastAsia="仿宋_GB2312"/>
        </w:rPr>
        <w:t>DRG付费改革第三方技术服务项目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XHZB-CG2025128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DRG付费改革第三方技术服务项目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本项目为进一步做好我市DRG付费改革的相关工作，促进DRG纵深发展，确保DRG相关制度机制能够建设落实，更好地完成我市DRG付费政策的各项调整，畅通DRG结算清算工作流程，助力我市医保支付改革高质量发展。</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为本项目提供整体设计、规范编制或者项目管理、监理、检测等服务的供应商，不得再参加该采购项目的其他采购活动。：供应商需在项目电子化交易系统中按要求填写《响应函》完成承诺并进行电子签章。</w:t>
      </w:r>
    </w:p>
    <w:p>
      <w:pPr>
        <w:pStyle w:val="null3"/>
      </w:pPr>
      <w:r>
        <w:rPr>
          <w:rFonts w:ascii="仿宋_GB2312" w:hAnsi="仿宋_GB2312" w:cs="仿宋_GB2312" w:eastAsia="仿宋_GB2312"/>
        </w:rPr>
        <w:t>2、主体资格：供应商为向采购人提供服务的法人或其他组织；</w:t>
      </w:r>
    </w:p>
    <w:p>
      <w:pPr>
        <w:pStyle w:val="null3"/>
      </w:pPr>
      <w:r>
        <w:rPr>
          <w:rFonts w:ascii="仿宋_GB2312" w:hAnsi="仿宋_GB2312" w:cs="仿宋_GB2312" w:eastAsia="仿宋_GB2312"/>
        </w:rPr>
        <w:t>3、信用查询：供应商不得为“信用中国”网站（www.creditchina.gov.cn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4、身份证明：供应商应授权合法的人员参加谈判全过程，法定代表人直接参加谈判的，须提供法定代表人身份证明；法定代表人授权他人参加谈判的， 须提供法定代表人授权委托书。</w:t>
      </w:r>
    </w:p>
    <w:p>
      <w:pPr>
        <w:pStyle w:val="null3"/>
      </w:pPr>
      <w:r>
        <w:rPr>
          <w:rFonts w:ascii="仿宋_GB2312" w:hAnsi="仿宋_GB2312" w:cs="仿宋_GB2312" w:eastAsia="仿宋_GB2312"/>
        </w:rPr>
        <w:t>5、是否面向中小企业采购：本项目不专门面向中小企业采购。</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西安市医疗保障经办服务中心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西安市未央区明光路166号凯瑞大厦I座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029-87221338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陕西信禾工程项目管理有限公司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陕西省西安市未央区经济技术开发区未央路169号银池品智天下A座18层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13201512825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采购包1：845,800.00元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采购包1：845,800.00元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依据《招标代理服务收费管理暂行办法》（计价格〔2002〕1980号）、发改办价格〔2003〕857号及发改价格〔2011〕534号文件规定的计费标准收取招标服务费用，代理服务费不足8000元按照8000元计取。由成交供应商在领取成交通知书之前向代理公司一次性付清招标代理服务费。 2.成交单位服务费交纳信息 公司名称：陕西信禾工程项目管理有限公司 开户行：中国建设银行股份有限公司西安凤新路支行 账号：61050110932000000149 3.服务费开具增值税发票时必须提供开票资料发送到邮箱xinhe@xhzbwork.com，包括汇款单、单位名称、纳税人税号、开户行、账号、地址及固定电话、注明需要专用发票还是普通发票及电子发票的邮箱；</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西安市医疗保障经办服务中心</w:t>
      </w:r>
      <w:r>
        <w:rPr>
          <w:rFonts w:ascii="仿宋_GB2312" w:hAnsi="仿宋_GB2312" w:cs="仿宋_GB2312" w:eastAsia="仿宋_GB2312"/>
        </w:rPr>
        <w:t>和</w:t>
      </w:r>
      <w:r>
        <w:rPr>
          <w:rFonts w:ascii="仿宋_GB2312" w:hAnsi="仿宋_GB2312" w:cs="仿宋_GB2312" w:eastAsia="仿宋_GB2312"/>
        </w:rPr>
        <w:t>陕西信禾工程项目管理有限公司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陕西信禾工程项目管理有限公司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西安市医疗保障经办服务中心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陕西信禾工程项目管理有限公司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本项目为进一步做好我市DRG付费改革的相关工作，促进DRG纵深发展，确保DRG相关制度机制能够建设落实，更好地完成我市DRG付费政策的各项调整，畅通DRG结算清算工作流程，助力我市医保支付改革高质量发展。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845,800.00</w:t>
      </w:r>
    </w:p>
    <w:p>
      <w:pPr>
        <w:pStyle w:val="null3"/>
      </w:pPr>
      <w:r>
        <w:rPr>
          <w:rFonts w:ascii="仿宋_GB2312" w:hAnsi="仿宋_GB2312" w:cs="仿宋_GB2312" w:eastAsia="仿宋_GB2312"/>
        </w:rPr>
        <w:t>采购包最高限价（元）: 845,800.00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DRG付费改革第三方技术服务项目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845,800.00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标的名称：DRG付费改革第三方技术服务项目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本次计划采购的技术服务用于协助我市</w:t>
            </w:r>
            <w:r>
              <w:rPr>
                <w:rFonts w:ascii="仿宋_GB2312" w:hAnsi="仿宋_GB2312" w:cs="仿宋_GB2312" w:eastAsia="仿宋_GB2312"/>
              </w:rPr>
              <w:t>2026年DRG付费相关工作。按照省局工作要求，各统筹区自建DRG付费外挂系统的，需并入省平台核心库，因此，2026年DRG付费第三方服务主要包括软件技术服务、数据运行维护两个方面内容，具体如下：</w:t>
            </w:r>
          </w:p>
          <w:p>
            <w:pPr>
              <w:pStyle w:val="null3"/>
              <w:jc w:val="left"/>
            </w:pPr>
            <w:r>
              <w:rPr>
                <w:rFonts w:ascii="仿宋_GB2312" w:hAnsi="仿宋_GB2312" w:cs="仿宋_GB2312" w:eastAsia="仿宋_GB2312"/>
              </w:rPr>
              <w:t>1.测算2026年DRG付费权重、费率，按照当前细分组目录，调整落实细分组权重，根据区域总额预算情况，结合我市住院病例真实数据，确定2026年DRG付费费率。如遇国家局调整DRG分组方案，则迅速调整响应，按照国家要求的执行时间落实。</w:t>
            </w:r>
          </w:p>
          <w:p>
            <w:pPr>
              <w:pStyle w:val="null3"/>
              <w:jc w:val="left"/>
            </w:pPr>
            <w:r>
              <w:rPr>
                <w:rFonts w:ascii="仿宋_GB2312" w:hAnsi="仿宋_GB2312" w:cs="仿宋_GB2312" w:eastAsia="仿宋_GB2312"/>
              </w:rPr>
              <w:t>2.提供2026年DRG基层病组、不稳定病组，在2025年基层病组、不稳定病组的基础上，根据本地住院数据变化情况，进行动态调整，形成2026年基层病组和不稳定病组参考名单。</w:t>
            </w:r>
          </w:p>
          <w:p>
            <w:pPr>
              <w:pStyle w:val="null3"/>
              <w:jc w:val="left"/>
            </w:pPr>
            <w:r>
              <w:rPr>
                <w:rFonts w:ascii="仿宋_GB2312" w:hAnsi="仿宋_GB2312" w:cs="仿宋_GB2312" w:eastAsia="仿宋_GB2312"/>
              </w:rPr>
              <w:t>3.协助做好特殊病例单议机制、项目除外机制，包括相关病例的数据收集整理、数据分析、病例筛选、组织专家评议等。</w:t>
            </w:r>
          </w:p>
          <w:p>
            <w:pPr>
              <w:pStyle w:val="null3"/>
              <w:jc w:val="left"/>
            </w:pPr>
            <w:r>
              <w:rPr>
                <w:rFonts w:ascii="仿宋_GB2312" w:hAnsi="仿宋_GB2312" w:cs="仿宋_GB2312" w:eastAsia="仿宋_GB2312"/>
              </w:rPr>
              <w:t>4.落实我市中医特色优势病种相关政策，根据市医保局2024年53号文件，落实DRG付费下的中医特色支付。如遇政策调整，则及时跟进测算、部署系统参数等。</w:t>
            </w:r>
          </w:p>
          <w:p>
            <w:pPr>
              <w:pStyle w:val="null3"/>
              <w:jc w:val="left"/>
            </w:pPr>
            <w:r>
              <w:rPr>
                <w:rFonts w:ascii="仿宋_GB2312" w:hAnsi="仿宋_GB2312" w:cs="仿宋_GB2312" w:eastAsia="仿宋_GB2312"/>
              </w:rPr>
              <w:t>5.协助做好本地DRG住院数据分析参考，定期汇总分析本地定点医疗机构产生的DRG数据，按照医保数据发布工作的有关要求和指标项目，进行统计分析和趋势分析，协助查询统计需上报的各类DRG相关报表数据。</w:t>
            </w:r>
          </w:p>
          <w:p>
            <w:pPr>
              <w:pStyle w:val="null3"/>
              <w:jc w:val="left"/>
            </w:pPr>
            <w:r>
              <w:rPr>
                <w:rFonts w:ascii="仿宋_GB2312" w:hAnsi="仿宋_GB2312" w:cs="仿宋_GB2312" w:eastAsia="仿宋_GB2312"/>
              </w:rPr>
              <w:t>6.协助开展DRG政策知识培训，对符合条件的医疗机构可继续扩面，如遇政策调整，及时开办有关的培训，向定点医疗机构、各区县经办介绍有关内容，提升DRG付费经办服务效率。</w:t>
            </w:r>
          </w:p>
          <w:p>
            <w:pPr>
              <w:pStyle w:val="null3"/>
              <w:jc w:val="left"/>
            </w:pPr>
            <w:r>
              <w:rPr>
                <w:rFonts w:ascii="仿宋_GB2312" w:hAnsi="仿宋_GB2312" w:cs="仿宋_GB2312" w:eastAsia="仿宋_GB2312"/>
              </w:rPr>
              <w:t>7.做好我市DRG付费定点医疗机构的月度结算，协助定点医疗机构上传数据，并对采集到的数据进行质控、监测，按月做好定点医疗机构DRG结算。</w:t>
            </w:r>
          </w:p>
          <w:p>
            <w:pPr>
              <w:pStyle w:val="null3"/>
              <w:jc w:val="both"/>
            </w:pPr>
            <w:r>
              <w:rPr>
                <w:rFonts w:ascii="仿宋_GB2312" w:hAnsi="仿宋_GB2312" w:cs="仿宋_GB2312" w:eastAsia="仿宋_GB2312"/>
                <w:sz w:val="21"/>
              </w:rPr>
              <w:t>8.配合完成2025年医保基金年终清算，修改完善DRG付费总额控制下的年终清算系统，按照国家、省、市对年终清算工作要求，结合我市DRG付费的总额预算控制目标，按时完成2025年度的年终清算。</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合同签订生效后，甲方向乙方支付合同总价款的60%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合同验收交付后，甲方向乙方支付剩余尾款。乙方应在甲方付款前提供符合甲方要求的发票，甲方审核无误后完成支付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提交投标文件截止时间不足一年的可提供成立后任意时段的资产负债表）；或提供供应商基本存款账户信息及开标日期前三个月内其基本存款账户开户银行出具的资信证明：（二选一）</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供应商应授权合法的人员参加谈判全过程，法定代表人直接参加谈判的，须提供法定代表人身份证明；法定代表人授权他人参加谈判的， 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