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版本号：ZCXG-ZB-202506720250929001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西安市秦岭区域生态保护监管补盲项目（一期）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ZCXG-ZB-2025067</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陕西众诚项目管理有限公司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西安市秦岭区域生态保护监管补盲项目（一期）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ZCXG-ZB-2025067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西安市秦岭区域生态保护监管补盲项目（一期）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西安市秦岭区域生态保护监管补盲项目（一期）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等主体资格证明文件：供应商应是独立承担民事责任能力的法人、其他组织或自然人，法人、其他组织须提供合法有效的营业执照(或事业单位法人证书)等证明资料，自然人须提供身份证明。 注：分支机构在参与投标时，须提供总公司（总所）出具的授权书，总公司（总所）只能授权一家分支机构。经总公司（总所）授权后，总公司（总所）取得的相关资质证书对分支机构有效（法律法规或行业另有规定的除外）。</w:t>
      </w:r>
    </w:p>
    <w:p>
      <w:pPr>
        <w:pStyle w:val="null3"/>
      </w:pPr>
      <w:r>
        <w:rPr>
          <w:rFonts w:ascii="仿宋_GB2312" w:hAnsi="仿宋_GB2312" w:cs="仿宋_GB2312" w:eastAsia="仿宋_GB2312"/>
        </w:rPr>
        <w:t>2、财务状况报告：提供2024年度经审计的财务报告或开标日期前三个月内其基本存款账户开户银行出具的资信证明及基本存款账户开户许可证（基本账户信息表）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3、税收缴纳证明：提供2024年8月至今已缴纳的至少一个月的纳税证明，依法免税的单位应提供相关证明材料。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5、具备履行合同技术能力书面声明：具备履行合同所必须的设备和专业技术能力的书面声明</w:t>
      </w:r>
    </w:p>
    <w:p>
      <w:pPr>
        <w:pStyle w:val="null3"/>
      </w:pPr>
      <w:r>
        <w:rPr>
          <w:rFonts w:ascii="仿宋_GB2312" w:hAnsi="仿宋_GB2312" w:cs="仿宋_GB2312" w:eastAsia="仿宋_GB2312"/>
        </w:rPr>
        <w:t>6、三年无重大违法记录书面声明：参加政府采购活动前三年内，在经营活动中没有重大违法记录的书面声明</w:t>
      </w:r>
    </w:p>
    <w:p>
      <w:pPr>
        <w:pStyle w:val="null3"/>
      </w:pPr>
      <w:r>
        <w:rPr>
          <w:rFonts w:ascii="仿宋_GB2312" w:hAnsi="仿宋_GB2312" w:cs="仿宋_GB2312" w:eastAsia="仿宋_GB2312"/>
        </w:rPr>
        <w:t>7、信用记录：投标人未被列入信用中国网站(www.creditchina.gov.cn)“失信被执行人、重大税收违法失信主体”；不处于中国政府采购网(www.ccgp.gov.cn)“政府采购严重违法失信行为信息记录”中被财政部门禁止参加政府采购活动。</w:t>
      </w:r>
    </w:p>
    <w:p>
      <w:pPr>
        <w:pStyle w:val="null3"/>
      </w:pPr>
      <w:r>
        <w:rPr>
          <w:rFonts w:ascii="仿宋_GB2312" w:hAnsi="仿宋_GB2312" w:cs="仿宋_GB2312" w:eastAsia="仿宋_GB2312"/>
        </w:rPr>
        <w:t>8、法定代表人授权委托书：法定代表人（或单位负责人）直接参加投标，须出具法定代表人（或单位负责人）身份证，非法定代表人（或单位负责人）参加投标，须出具法定代表人（或单位负责人）授权书及被授权人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营业执照等主体资格证明文件：供应商应是独立承担民事责任能力的法人、其他组织或自然人，法人、其他组织须提供合法有效的营业执照(或事业单位法人证书)等证明资料，自然人须提供身份证明。 注：分支机构在参与投标时，须提供总公司（总所）出具的授权书，总公司（总所）只能授权一家分支机构。经总公司（总所）授权后，总公司（总所）取得的相关资质证书对分支机构有效（法律法规或行业另有规定的除外）。</w:t>
      </w:r>
    </w:p>
    <w:p>
      <w:pPr>
        <w:pStyle w:val="null3"/>
      </w:pPr>
      <w:r>
        <w:rPr>
          <w:rFonts w:ascii="仿宋_GB2312" w:hAnsi="仿宋_GB2312" w:cs="仿宋_GB2312" w:eastAsia="仿宋_GB2312"/>
        </w:rPr>
        <w:t>2、财务状况报告：提供2024年度经审计的财务报告或开标日期前三个月内其基本存款账户开户银行出具的资信证明及基本存款账户开户许可证（基本账户信息表）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3、税收缴纳证明：提供2024年8月至今已缴纳的至少一个月的纳税证明，依法免税的单位应提供相关证明材料。</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5、具备履行合同技术能力书面声明：具备履行合同所必须的设备和专业技术能力的书面声明</w:t>
      </w:r>
    </w:p>
    <w:p>
      <w:pPr>
        <w:pStyle w:val="null3"/>
      </w:pPr>
      <w:r>
        <w:rPr>
          <w:rFonts w:ascii="仿宋_GB2312" w:hAnsi="仿宋_GB2312" w:cs="仿宋_GB2312" w:eastAsia="仿宋_GB2312"/>
        </w:rPr>
        <w:t>6、三年无重大违法记录书面声明：参加政府采购活动前三年内，在经营活动中没有重大违法记录的书面声明</w:t>
      </w:r>
    </w:p>
    <w:p>
      <w:pPr>
        <w:pStyle w:val="null3"/>
      </w:pPr>
      <w:r>
        <w:rPr>
          <w:rFonts w:ascii="仿宋_GB2312" w:hAnsi="仿宋_GB2312" w:cs="仿宋_GB2312" w:eastAsia="仿宋_GB2312"/>
        </w:rPr>
        <w:t>7、信用记录：投标人未被列入信用中国网站(www.creditchina.gov.cn)“失信被执行人、重大税收违法失信主体”；不处于中国政府采购网(www.ccgp.gov.cn)“政府采购严重违法失信行为信息记录”中被财政部门禁止参加政府采购活动。</w:t>
      </w:r>
    </w:p>
    <w:p>
      <w:pPr>
        <w:pStyle w:val="null3"/>
      </w:pPr>
      <w:r>
        <w:rPr>
          <w:rFonts w:ascii="仿宋_GB2312" w:hAnsi="仿宋_GB2312" w:cs="仿宋_GB2312" w:eastAsia="仿宋_GB2312"/>
        </w:rPr>
        <w:t>8、法定代表人授权委托书：法定代表人（或单位负责人）直接参加投标，须出具法定代表人（或单位负责人）身份证，非法定代表人（或单位负责人）参加投标，须出具法定代表人（或单位负责人）授权书及被授权人身份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西安市长安区关中环线子午段2345号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陕西省西安市雁塔区陕西省西安市雁塔区南二环路西段88号老三界1栋1单元11206室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张航帆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029-88816603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采购包1：6,768,500.00元</w:t>
            </w:r>
          </w:p>
          <w:p>
            <w:pPr>
              <w:pStyle w:val="null3"/>
            </w:pPr>
            <w:r>
              <w:rPr>
                <w:rFonts w:ascii="仿宋_GB2312" w:hAnsi="仿宋_GB2312" w:cs="仿宋_GB2312" w:eastAsia="仿宋_GB2312"/>
              </w:rPr>
              <w:t>采购包2：141,000.00元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代理服务费收费标准：采购代理服务费参照《国家计委关于印发&lt;招标代理服务收费管理暂行办法&gt;的通知》（计价格[2002]1980号）和（发改办价格[2011]534号）规定标准收取。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陕西众诚项目管理有限公司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按国家现行项目实施规范和合同规定的验收评定标准等要求进行验收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满足采购人及招标文件要求。 2.验收方法： ①本项目验收费用，由乙方自行承担。 ②服务期满后，由乙方向甲方递交验收通知书，经甲方确认后，组织乙方进行系统验收（必要时招标人可委托具有相关资质的第三方检测机构/技术专家对本次服务进行系统验收，需要国家法定检验部门进行检验或验收的由乙方负责联系）。验收合格后，填写政府采购项目验收单作为对本次服务的最终认可。 ③验收依据：招标文件、中标人的投标文件及澄清（承诺）函、合同及国家相应的标准、规范等。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联系人：张航帆</w:t>
      </w:r>
    </w:p>
    <w:p>
      <w:pPr>
        <w:pStyle w:val="null3"/>
      </w:pPr>
      <w:r>
        <w:rPr>
          <w:rFonts w:ascii="仿宋_GB2312" w:hAnsi="仿宋_GB2312" w:cs="仿宋_GB2312" w:eastAsia="仿宋_GB2312"/>
        </w:rPr>
        <w:t>联系电话：029-88816603</w:t>
      </w:r>
    </w:p>
    <w:p>
      <w:pPr>
        <w:pStyle w:val="null3"/>
      </w:pPr>
      <w:r>
        <w:rPr>
          <w:rFonts w:ascii="仿宋_GB2312" w:hAnsi="仿宋_GB2312" w:cs="仿宋_GB2312" w:eastAsia="仿宋_GB2312"/>
        </w:rPr>
        <w:t>地址：陕西省西安市雁塔区南二环老三届世纪星大厦8楼k座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西安市秦岭区域生态保护监管补盲项目（一期）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6,768,500.00</w:t>
      </w:r>
    </w:p>
    <w:p>
      <w:pPr>
        <w:pStyle w:val="null3"/>
      </w:pPr>
      <w:r>
        <w:rPr>
          <w:rFonts w:ascii="仿宋_GB2312" w:hAnsi="仿宋_GB2312" w:cs="仿宋_GB2312" w:eastAsia="仿宋_GB2312"/>
        </w:rPr>
        <w:t>采购包最高限价（元）: 6,768,500.00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西安市秦岭区域生态保护管理补盲项目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6,768,500.00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141,000.00</w:t>
      </w:r>
    </w:p>
    <w:p>
      <w:pPr>
        <w:pStyle w:val="null3"/>
      </w:pPr>
      <w:r>
        <w:rPr>
          <w:rFonts w:ascii="仿宋_GB2312" w:hAnsi="仿宋_GB2312" w:cs="仿宋_GB2312" w:eastAsia="仿宋_GB2312"/>
        </w:rPr>
        <w:t>采购包最高限价（元）: 141,000.00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完成西安市秦岭区域生态保护管理补盲项目监理服务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标的名称：西安市秦岭区域生态保护管理补盲项目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0"/>
            </w:pPr>
            <w:r>
              <w:rPr>
                <w:rFonts w:ascii="仿宋_GB2312" w:hAnsi="仿宋_GB2312" w:cs="仿宋_GB2312" w:eastAsia="仿宋_GB2312"/>
                <w:sz w:val="20"/>
                <w:b/>
              </w:rPr>
              <w:t>一、项目</w:t>
            </w:r>
            <w:r>
              <w:rPr>
                <w:rFonts w:ascii="仿宋_GB2312" w:hAnsi="仿宋_GB2312" w:cs="仿宋_GB2312" w:eastAsia="仿宋_GB2312"/>
                <w:sz w:val="20"/>
                <w:b/>
              </w:rPr>
              <w:t>背景</w:t>
            </w:r>
          </w:p>
          <w:p>
            <w:pPr>
              <w:pStyle w:val="null3"/>
              <w:ind w:firstLine="400"/>
              <w:jc w:val="both"/>
            </w:pPr>
            <w:r>
              <w:rPr>
                <w:rFonts w:ascii="仿宋_GB2312" w:hAnsi="仿宋_GB2312" w:cs="仿宋_GB2312" w:eastAsia="仿宋_GB2312"/>
                <w:sz w:val="20"/>
              </w:rPr>
              <w:t>深入贯彻党中央关于秦岭生态环境保护的重要讲话和重要指示批示全面落实省委省政府的工作部署。坚持</w:t>
            </w:r>
            <w:r>
              <w:rPr>
                <w:rFonts w:ascii="仿宋_GB2312" w:hAnsi="仿宋_GB2312" w:cs="仿宋_GB2312" w:eastAsia="仿宋_GB2312"/>
                <w:sz w:val="20"/>
              </w:rPr>
              <w:t>“系统治山、条例护山、规划管山、智慧控山”。</w:t>
            </w:r>
          </w:p>
          <w:p>
            <w:pPr>
              <w:pStyle w:val="null3"/>
              <w:ind w:firstLine="400"/>
              <w:jc w:val="both"/>
            </w:pPr>
            <w:r>
              <w:rPr>
                <w:rFonts w:ascii="仿宋_GB2312" w:hAnsi="仿宋_GB2312" w:cs="仿宋_GB2312" w:eastAsia="仿宋_GB2312"/>
                <w:sz w:val="20"/>
              </w:rPr>
              <w:t>近年来，西安市秦岭生态环境保护管理局（西安市林业局）紧紧围绕秦岭森林防火、</w:t>
            </w:r>
            <w:r>
              <w:rPr>
                <w:rFonts w:ascii="仿宋_GB2312" w:hAnsi="仿宋_GB2312" w:cs="仿宋_GB2312" w:eastAsia="仿宋_GB2312"/>
                <w:sz w:val="20"/>
              </w:rPr>
              <w:t>“五乱”问题专项整治、矿山生态环境修复治理、尾矿库安全运行、农家乐环境整治及水源地保护及汛期预警等工作要求，对照《陕西省秦岭生态环境保护条例》、《陕西省秦岭生态环境保护总体规划》、《西安市秦岭生态环境保护条例》《西安市秦岭生态环境保护规划》等文件要求，不断完善资源保护监测设施、配套基础设施，进一步提高秦岭生态保护和监管力度。</w:t>
            </w:r>
          </w:p>
          <w:p>
            <w:pPr>
              <w:pStyle w:val="null3"/>
              <w:jc w:val="left"/>
              <w:outlineLvl w:val="0"/>
            </w:pPr>
            <w:r>
              <w:rPr>
                <w:rFonts w:ascii="仿宋_GB2312" w:hAnsi="仿宋_GB2312" w:cs="仿宋_GB2312" w:eastAsia="仿宋_GB2312"/>
                <w:sz w:val="20"/>
                <w:b/>
              </w:rPr>
              <w:t>二、项目现状</w:t>
            </w:r>
          </w:p>
          <w:p>
            <w:pPr>
              <w:pStyle w:val="null3"/>
              <w:ind w:firstLine="400"/>
              <w:jc w:val="both"/>
            </w:pPr>
            <w:r>
              <w:rPr>
                <w:rFonts w:ascii="仿宋_GB2312" w:hAnsi="仿宋_GB2312" w:cs="仿宋_GB2312" w:eastAsia="仿宋_GB2312"/>
                <w:sz w:val="20"/>
              </w:rPr>
              <w:t>西安市秦岭生态环境保护区域涵盖生态环境保护范围与建设控制地带，总面积达</w:t>
            </w:r>
            <w:r>
              <w:rPr>
                <w:rFonts w:ascii="仿宋_GB2312" w:hAnsi="仿宋_GB2312" w:cs="仿宋_GB2312" w:eastAsia="仿宋_GB2312"/>
                <w:sz w:val="20"/>
              </w:rPr>
              <w:t>5910.94平方公里，涉及灞桥区、临潼区、长安区、蓝田县、周至县、鄠邑区6个区县，为秦岭生态屏障的重要组成部分。</w:t>
            </w:r>
          </w:p>
          <w:p>
            <w:pPr>
              <w:pStyle w:val="null3"/>
              <w:ind w:firstLine="400"/>
              <w:jc w:val="both"/>
            </w:pPr>
            <w:r>
              <w:rPr>
                <w:rFonts w:ascii="仿宋_GB2312" w:hAnsi="仿宋_GB2312" w:cs="仿宋_GB2312" w:eastAsia="仿宋_GB2312"/>
                <w:sz w:val="20"/>
              </w:rPr>
              <w:t>在数字化监管方面，西安市通过视频资源汇聚整合，已成功接入省、市行业部门及各区县前端监控设备</w:t>
            </w:r>
            <w:r>
              <w:rPr>
                <w:rFonts w:ascii="仿宋_GB2312" w:hAnsi="仿宋_GB2312" w:cs="仿宋_GB2312" w:eastAsia="仿宋_GB2312"/>
                <w:sz w:val="20"/>
              </w:rPr>
              <w:t>2486处,其中各区县自建或接入林场及行业部门前端设备1239处；接入峪口农家乐摄像头1247处枪机和球机，初步构建秦岭保护视频监管格局，为生态动态监测提供了重要技术支撑。然而，受秦岭山脉地形复杂、沟壑纵横的自然地理条件限制，部分偏远山区、近林区域及生态敏感区仍存在视频监控盲区。这些盲区多分布于地形陡峭、交通可达性差的区域，不仅给生态环境实时监测工作带来较大难度，也导致对该区域林火隐患、“五乱”问题等生态风险的及时发现与处置面临挑战。</w:t>
            </w:r>
          </w:p>
          <w:p>
            <w:pPr>
              <w:pStyle w:val="null3"/>
              <w:ind w:firstLine="400"/>
              <w:jc w:val="both"/>
            </w:pPr>
            <w:r>
              <w:rPr>
                <w:rFonts w:ascii="仿宋_GB2312" w:hAnsi="仿宋_GB2312" w:cs="仿宋_GB2312" w:eastAsia="仿宋_GB2312"/>
                <w:sz w:val="20"/>
              </w:rPr>
              <w:t>随着社会经济持续发展，秦岭区域旅游资源开发不断深入，人员活动范围逐步扩大，生态保护监管工作难度日益加剧。当前，秦岭西安区域生态保护监管仍存在较多监控盲点，现有监管手段的精准度、覆盖面积与实时性均有待提升，这些问题直接制约了对保护区全方位、实时化的精准监管，亟需进一步优化完善</w:t>
            </w:r>
          </w:p>
          <w:p>
            <w:pPr>
              <w:pStyle w:val="null3"/>
              <w:jc w:val="left"/>
              <w:outlineLvl w:val="0"/>
            </w:pPr>
            <w:r>
              <w:rPr>
                <w:rFonts w:ascii="仿宋_GB2312" w:hAnsi="仿宋_GB2312" w:cs="仿宋_GB2312" w:eastAsia="仿宋_GB2312"/>
                <w:sz w:val="20"/>
                <w:b/>
              </w:rPr>
              <w:t>三、采购内容</w:t>
            </w:r>
          </w:p>
          <w:p>
            <w:pPr>
              <w:pStyle w:val="null3"/>
              <w:ind w:firstLine="480"/>
              <w:jc w:val="both"/>
            </w:pPr>
            <w:r>
              <w:rPr>
                <w:rFonts w:ascii="仿宋_GB2312" w:hAnsi="仿宋_GB2312" w:cs="仿宋_GB2312" w:eastAsia="仿宋_GB2312"/>
                <w:sz w:val="20"/>
                <w:color w:val="000000"/>
              </w:rPr>
              <w:t>本阶段项目以市级和各区县秦岭生态环境保护管理局前期建设为基础，补充完善资源管控监测体系，对保护区内监测监控盲点区域进行补充覆盖，同步完善供电及数据传输网络。结合各区域场景特征及设备监控能力，本次共规划设置</w:t>
            </w:r>
            <w:r>
              <w:rPr>
                <w:rFonts w:ascii="仿宋_GB2312" w:hAnsi="仿宋_GB2312" w:cs="仿宋_GB2312" w:eastAsia="仿宋_GB2312"/>
                <w:sz w:val="20"/>
                <w:color w:val="000000"/>
              </w:rPr>
              <w:t>36个高点监控点位。本次采购内容摄像机36台、交换机1台、防火墙1台、其它配套设施1批及系统集成实施服务。对秦岭保护区内近林居民聚集地、人员活动频繁区域、高危林区等重点区域的监测覆盖。系统建设主要对西安数字秦岭智慧化综合监管平台的前端监控设备进行补充。具体清单详见技术指标及要求。</w:t>
            </w:r>
          </w:p>
          <w:p>
            <w:pPr>
              <w:pStyle w:val="null3"/>
              <w:jc w:val="left"/>
              <w:outlineLvl w:val="0"/>
            </w:pPr>
            <w:r>
              <w:rPr>
                <w:rFonts w:ascii="仿宋_GB2312" w:hAnsi="仿宋_GB2312" w:cs="仿宋_GB2312" w:eastAsia="仿宋_GB2312"/>
                <w:sz w:val="20"/>
                <w:b/>
              </w:rPr>
              <w:t>四、技术指标及要求</w:t>
            </w:r>
          </w:p>
          <w:p>
            <w:pPr>
              <w:pStyle w:val="null3"/>
              <w:ind w:left="420"/>
              <w:jc w:val="left"/>
              <w:outlineLvl w:val="1"/>
            </w:pPr>
            <w:r>
              <w:rPr>
                <w:rFonts w:ascii="仿宋_GB2312" w:hAnsi="仿宋_GB2312" w:cs="仿宋_GB2312" w:eastAsia="仿宋_GB2312"/>
                <w:sz w:val="20"/>
                <w:b/>
              </w:rPr>
              <w:t>1.性能及建设要求</w:t>
            </w:r>
          </w:p>
          <w:p>
            <w:pPr>
              <w:pStyle w:val="null3"/>
              <w:ind w:firstLine="400"/>
            </w:pPr>
            <w:r>
              <w:rPr>
                <w:rFonts w:ascii="仿宋_GB2312" w:hAnsi="仿宋_GB2312" w:cs="仿宋_GB2312" w:eastAsia="仿宋_GB2312"/>
                <w:sz w:val="20"/>
              </w:rPr>
              <w:t>投标方所提供的</w:t>
            </w:r>
            <w:r>
              <w:rPr>
                <w:rFonts w:ascii="仿宋_GB2312" w:hAnsi="仿宋_GB2312" w:cs="仿宋_GB2312" w:eastAsia="仿宋_GB2312"/>
                <w:sz w:val="20"/>
              </w:rPr>
              <w:t>设备需满足以下功能要求：</w:t>
            </w:r>
          </w:p>
          <w:p>
            <w:pPr>
              <w:pStyle w:val="null3"/>
              <w:ind w:firstLine="400"/>
            </w:pPr>
            <w:r>
              <w:rPr>
                <w:rFonts w:ascii="仿宋_GB2312" w:hAnsi="仿宋_GB2312" w:cs="仿宋_GB2312" w:eastAsia="仿宋_GB2312"/>
                <w:sz w:val="20"/>
              </w:rPr>
              <w:t>具备生态环境问题自动识别与告警能力，可针对森林防火、</w:t>
            </w:r>
            <w:r>
              <w:rPr>
                <w:rFonts w:ascii="仿宋_GB2312" w:hAnsi="仿宋_GB2312" w:cs="仿宋_GB2312" w:eastAsia="仿宋_GB2312"/>
                <w:sz w:val="20"/>
              </w:rPr>
              <w:t>“五乱”问题（乱搭乱建、乱砍滥伐、乱采乱挖、乱排乱放、乱捕乱猎）等场景进行精准识别并触发告警；</w:t>
            </w:r>
          </w:p>
          <w:p>
            <w:pPr>
              <w:pStyle w:val="null3"/>
              <w:ind w:firstLine="400"/>
            </w:pPr>
            <w:r>
              <w:rPr>
                <w:rFonts w:ascii="仿宋_GB2312" w:hAnsi="仿宋_GB2312" w:cs="仿宋_GB2312" w:eastAsia="仿宋_GB2312"/>
                <w:sz w:val="20"/>
              </w:rPr>
              <w:t>搭载智能烟火检测功能，能够实时回传设备云台角度及俯仰角数据；</w:t>
            </w:r>
          </w:p>
          <w:p>
            <w:pPr>
              <w:pStyle w:val="null3"/>
              <w:ind w:firstLine="400"/>
            </w:pPr>
            <w:r>
              <w:rPr>
                <w:rFonts w:ascii="仿宋_GB2312" w:hAnsi="仿宋_GB2312" w:cs="仿宋_GB2312" w:eastAsia="仿宋_GB2312"/>
                <w:sz w:val="20"/>
              </w:rPr>
              <w:t>支持在火情报警时自动输出火情属性标签，标签内容需包含火情大小、火情所在区域及风险等级。</w:t>
            </w:r>
          </w:p>
          <w:p>
            <w:pPr>
              <w:pStyle w:val="null3"/>
              <w:ind w:left="420"/>
              <w:jc w:val="left"/>
              <w:outlineLvl w:val="1"/>
            </w:pPr>
            <w:r>
              <w:rPr>
                <w:rFonts w:ascii="仿宋_GB2312" w:hAnsi="仿宋_GB2312" w:cs="仿宋_GB2312" w:eastAsia="仿宋_GB2312"/>
                <w:sz w:val="20"/>
                <w:b/>
              </w:rPr>
              <w:t>2.前端建设内容</w:t>
            </w:r>
          </w:p>
          <w:p>
            <w:pPr>
              <w:pStyle w:val="null3"/>
              <w:ind w:firstLine="400"/>
            </w:pPr>
            <w:r>
              <w:rPr>
                <w:rFonts w:ascii="仿宋_GB2312" w:hAnsi="仿宋_GB2312" w:cs="仿宋_GB2312" w:eastAsia="仿宋_GB2312"/>
                <w:sz w:val="20"/>
              </w:rPr>
              <w:t>前端建设内容主要负责对被监控区域现场视频信息进行采集、编码及上传，并通过客户端平台预置的规则进行自动化联动。规划建设高点监控点位</w:t>
            </w:r>
            <w:r>
              <w:rPr>
                <w:rFonts w:ascii="仿宋_GB2312" w:hAnsi="仿宋_GB2312" w:cs="仿宋_GB2312" w:eastAsia="仿宋_GB2312"/>
                <w:sz w:val="20"/>
              </w:rPr>
              <w:t>36个。</w:t>
            </w:r>
          </w:p>
          <w:tbl>
            <w:tblPr>
              <w:tblInd w:type="dxa" w:w="120"/>
              <w:tblBorders>
                <w:top w:val="none" w:color="000000" w:sz="4"/>
                <w:left w:val="none" w:color="000000" w:sz="4"/>
                <w:bottom w:val="none" w:color="000000" w:sz="4"/>
                <w:right w:val="none" w:color="000000" w:sz="4"/>
                <w:insideH w:val="none"/>
                <w:insideV w:val="none"/>
              </w:tblBorders>
            </w:tblPr>
            <w:tblGrid>
              <w:gridCol w:w="426"/>
              <w:gridCol w:w="123"/>
              <w:gridCol w:w="728"/>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设备及软件名称</w:t>
                  </w:r>
                </w:p>
              </w:tc>
              <w:tc>
                <w:tcPr>
                  <w:tcW w:type="dxa" w:w="7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主要性能指标</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热成像双光谱中载云台</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可实时检测样机倾斜角度</w:t>
                  </w:r>
                  <w:r>
                    <w:br/>
                  </w:r>
                  <w:r>
                    <w:rPr>
                      <w:rFonts w:ascii="仿宋_GB2312" w:hAnsi="仿宋_GB2312" w:cs="仿宋_GB2312" w:eastAsia="仿宋_GB2312"/>
                      <w:sz w:val="20"/>
                      <w:color w:val="000000"/>
                    </w:rPr>
                    <w:t>可实时获取经纬度、海拔高度、方位角信息</w:t>
                  </w:r>
                  <w:r>
                    <w:br/>
                  </w:r>
                  <w:r>
                    <w:rPr>
                      <w:rFonts w:ascii="仿宋_GB2312" w:hAnsi="仿宋_GB2312" w:cs="仿宋_GB2312" w:eastAsia="仿宋_GB2312"/>
                      <w:sz w:val="20"/>
                      <w:color w:val="000000"/>
                    </w:rPr>
                    <w:t>可见光镜头支持光学防抖；焦距</w:t>
                  </w:r>
                  <w:r>
                    <w:rPr>
                      <w:rFonts w:ascii="仿宋_GB2312" w:hAnsi="仿宋_GB2312" w:cs="仿宋_GB2312" w:eastAsia="仿宋_GB2312"/>
                      <w:sz w:val="20"/>
                      <w:color w:val="000000"/>
                    </w:rPr>
                    <w:t>6mm～360mm；光学变倍≥60倍</w:t>
                  </w:r>
                  <w:r>
                    <w:br/>
                  </w:r>
                  <w:r>
                    <w:rPr>
                      <w:rFonts w:ascii="仿宋_GB2312" w:hAnsi="仿宋_GB2312" w:cs="仿宋_GB2312" w:eastAsia="仿宋_GB2312"/>
                      <w:sz w:val="20"/>
                      <w:color w:val="000000"/>
                    </w:rPr>
                    <w:t>支持冷凝水收集装置，可联动雨刷对样机镜头进行手动或自动喷水清洁</w:t>
                  </w:r>
                  <w:r>
                    <w:br/>
                  </w:r>
                  <w:r>
                    <w:rPr>
                      <w:rFonts w:ascii="仿宋_GB2312" w:hAnsi="仿宋_GB2312" w:cs="仿宋_GB2312" w:eastAsia="仿宋_GB2312"/>
                      <w:sz w:val="20"/>
                      <w:color w:val="000000"/>
                    </w:rPr>
                    <w:t>支持智能烟火检测功能，并能实时回传云台角度及俯仰角信息</w:t>
                  </w:r>
                  <w:r>
                    <w:br/>
                  </w:r>
                  <w:r>
                    <w:rPr>
                      <w:rFonts w:ascii="仿宋_GB2312" w:hAnsi="仿宋_GB2312" w:cs="仿宋_GB2312" w:eastAsia="仿宋_GB2312"/>
                      <w:sz w:val="20"/>
                      <w:color w:val="000000"/>
                    </w:rPr>
                    <w:t>支持火情报警时输出火情属性标签，标签内容包含：火情大小、火情区域、风险等级；</w:t>
                  </w:r>
                  <w:r>
                    <w:br/>
                  </w:r>
                  <w:r>
                    <w:rPr>
                      <w:rFonts w:ascii="仿宋_GB2312" w:hAnsi="仿宋_GB2312" w:cs="仿宋_GB2312" w:eastAsia="仿宋_GB2312"/>
                      <w:sz w:val="20"/>
                      <w:color w:val="000000"/>
                    </w:rPr>
                    <w:t>支持区域入侵侦测、越界侦测、进入区域侦测、离开区域侦测功能</w:t>
                  </w:r>
                  <w:r>
                    <w:br/>
                  </w:r>
                  <w:r>
                    <w:rPr>
                      <w:rFonts w:ascii="仿宋_GB2312" w:hAnsi="仿宋_GB2312" w:cs="仿宋_GB2312" w:eastAsia="仿宋_GB2312"/>
                      <w:sz w:val="20"/>
                      <w:color w:val="000000"/>
                    </w:rPr>
                    <w:t>支持区域扫描功能，方位设定功能，烟火区域屏蔽功能</w:t>
                  </w:r>
                  <w:r>
                    <w:br/>
                  </w:r>
                  <w:r>
                    <w:rPr>
                      <w:rFonts w:ascii="仿宋_GB2312" w:hAnsi="仿宋_GB2312" w:cs="仿宋_GB2312" w:eastAsia="仿宋_GB2312"/>
                      <w:sz w:val="20"/>
                      <w:color w:val="000000"/>
                    </w:rPr>
                    <w:t>支持低温加热启动、镜头加热及除冰等功能</w:t>
                  </w:r>
                  <w:r>
                    <w:br/>
                  </w:r>
                  <w:r>
                    <w:rPr>
                      <w:rFonts w:ascii="仿宋_GB2312" w:hAnsi="仿宋_GB2312" w:cs="仿宋_GB2312" w:eastAsia="仿宋_GB2312"/>
                      <w:sz w:val="20"/>
                      <w:color w:val="000000"/>
                    </w:rPr>
                    <w:t>支持单</w:t>
                  </w:r>
                  <w:r>
                    <w:rPr>
                      <w:rFonts w:ascii="仿宋_GB2312" w:hAnsi="仿宋_GB2312" w:cs="仿宋_GB2312" w:eastAsia="仿宋_GB2312"/>
                      <w:sz w:val="20"/>
                      <w:color w:val="000000"/>
                    </w:rPr>
                    <w:t>IP双光谱双码流技术</w:t>
                  </w:r>
                  <w:r>
                    <w:br/>
                  </w:r>
                  <w:r>
                    <w:rPr>
                      <w:rFonts w:ascii="仿宋_GB2312" w:hAnsi="仿宋_GB2312" w:cs="仿宋_GB2312" w:eastAsia="仿宋_GB2312"/>
                      <w:sz w:val="20"/>
                      <w:color w:val="000000"/>
                    </w:rPr>
                    <w:t>支持激光补光补光有效距离</w:t>
                  </w:r>
                  <w:r>
                    <w:rPr>
                      <w:rFonts w:ascii="仿宋_GB2312" w:hAnsi="仿宋_GB2312" w:cs="仿宋_GB2312" w:eastAsia="仿宋_GB2312"/>
                      <w:sz w:val="20"/>
                      <w:color w:val="000000"/>
                    </w:rPr>
                    <w:t>≥2000m</w:t>
                  </w:r>
                  <w:r>
                    <w:br/>
                  </w:r>
                  <w:r>
                    <w:rPr>
                      <w:rFonts w:ascii="仿宋_GB2312" w:hAnsi="仿宋_GB2312" w:cs="仿宋_GB2312" w:eastAsia="仿宋_GB2312"/>
                      <w:sz w:val="20"/>
                      <w:color w:val="000000"/>
                    </w:rPr>
                    <w:t>热成像分辨率：</w:t>
                  </w:r>
                  <w:r>
                    <w:rPr>
                      <w:rFonts w:ascii="仿宋_GB2312" w:hAnsi="仿宋_GB2312" w:cs="仿宋_GB2312" w:eastAsia="仿宋_GB2312"/>
                      <w:sz w:val="20"/>
                      <w:color w:val="000000"/>
                    </w:rPr>
                    <w:t>≥640 × 512</w:t>
                  </w:r>
                  <w:r>
                    <w:br/>
                  </w:r>
                  <w:r>
                    <w:rPr>
                      <w:rFonts w:ascii="仿宋_GB2312" w:hAnsi="仿宋_GB2312" w:cs="仿宋_GB2312" w:eastAsia="仿宋_GB2312"/>
                      <w:sz w:val="20"/>
                      <w:color w:val="000000"/>
                    </w:rPr>
                    <w:t>热成像焦距：</w:t>
                  </w:r>
                  <w:r>
                    <w:rPr>
                      <w:rFonts w:ascii="仿宋_GB2312" w:hAnsi="仿宋_GB2312" w:cs="仿宋_GB2312" w:eastAsia="仿宋_GB2312"/>
                      <w:sz w:val="20"/>
                      <w:color w:val="000000"/>
                    </w:rPr>
                    <w:t>≥75 mm</w:t>
                  </w:r>
                  <w:r>
                    <w:br/>
                  </w:r>
                  <w:r>
                    <w:rPr>
                      <w:rFonts w:ascii="仿宋_GB2312" w:hAnsi="仿宋_GB2312" w:cs="仿宋_GB2312" w:eastAsia="仿宋_GB2312"/>
                      <w:sz w:val="20"/>
                      <w:color w:val="000000"/>
                    </w:rPr>
                    <w:t>热成像视场角：</w:t>
                  </w:r>
                  <w:r>
                    <w:rPr>
                      <w:rFonts w:ascii="仿宋_GB2312" w:hAnsi="仿宋_GB2312" w:cs="仿宋_GB2312" w:eastAsia="仿宋_GB2312"/>
                      <w:sz w:val="20"/>
                      <w:color w:val="000000"/>
                    </w:rPr>
                    <w:t>5.9°（H）*4.7°（V）</w:t>
                  </w:r>
                  <w:r>
                    <w:br/>
                  </w:r>
                  <w:r>
                    <w:rPr>
                      <w:rFonts w:ascii="仿宋_GB2312" w:hAnsi="仿宋_GB2312" w:cs="仿宋_GB2312" w:eastAsia="仿宋_GB2312"/>
                      <w:sz w:val="20"/>
                      <w:color w:val="000000"/>
                    </w:rPr>
                    <w:t>火点最远报警距离（以</w:t>
                  </w:r>
                  <w:r>
                    <w:rPr>
                      <w:rFonts w:ascii="仿宋_GB2312" w:hAnsi="仿宋_GB2312" w:cs="仿宋_GB2312" w:eastAsia="仿宋_GB2312"/>
                      <w:sz w:val="20"/>
                      <w:color w:val="000000"/>
                    </w:rPr>
                    <w:t>2米*2米为准）：≥6000m</w:t>
                  </w:r>
                  <w:r>
                    <w:br/>
                  </w:r>
                  <w:r>
                    <w:rPr>
                      <w:rFonts w:ascii="仿宋_GB2312" w:hAnsi="仿宋_GB2312" w:cs="仿宋_GB2312" w:eastAsia="仿宋_GB2312"/>
                      <w:sz w:val="20"/>
                      <w:color w:val="000000"/>
                    </w:rPr>
                    <w:t>烟雾最远报警距离（以</w:t>
                  </w:r>
                  <w:r>
                    <w:rPr>
                      <w:rFonts w:ascii="仿宋_GB2312" w:hAnsi="仿宋_GB2312" w:cs="仿宋_GB2312" w:eastAsia="仿宋_GB2312"/>
                      <w:sz w:val="20"/>
                      <w:color w:val="000000"/>
                    </w:rPr>
                    <w:t>5米*5米为准）：≥8000m</w:t>
                  </w:r>
                  <w:r>
                    <w:br/>
                  </w:r>
                  <w:r>
                    <w:rPr>
                      <w:rFonts w:ascii="仿宋_GB2312" w:hAnsi="仿宋_GB2312" w:cs="仿宋_GB2312" w:eastAsia="仿宋_GB2312"/>
                      <w:sz w:val="20"/>
                      <w:color w:val="000000"/>
                    </w:rPr>
                    <w:t>人员最远报警距离（以</w:t>
                  </w:r>
                  <w:r>
                    <w:rPr>
                      <w:rFonts w:ascii="仿宋_GB2312" w:hAnsi="仿宋_GB2312" w:cs="仿宋_GB2312" w:eastAsia="仿宋_GB2312"/>
                      <w:sz w:val="20"/>
                      <w:color w:val="000000"/>
                    </w:rPr>
                    <w:t>1.8米*0.5米为准）：≥750m</w:t>
                  </w:r>
                  <w:r>
                    <w:br/>
                  </w:r>
                  <w:r>
                    <w:rPr>
                      <w:rFonts w:ascii="仿宋_GB2312" w:hAnsi="仿宋_GB2312" w:cs="仿宋_GB2312" w:eastAsia="仿宋_GB2312"/>
                      <w:sz w:val="20"/>
                      <w:color w:val="000000"/>
                    </w:rPr>
                    <w:t>车辆最远报警距离（以</w:t>
                  </w:r>
                  <w:r>
                    <w:rPr>
                      <w:rFonts w:ascii="仿宋_GB2312" w:hAnsi="仿宋_GB2312" w:cs="仿宋_GB2312" w:eastAsia="仿宋_GB2312"/>
                      <w:sz w:val="20"/>
                      <w:color w:val="000000"/>
                    </w:rPr>
                    <w:t>4米*1.4米为准）：≥2250m</w:t>
                  </w:r>
                  <w:r>
                    <w:br/>
                  </w:r>
                  <w:r>
                    <w:rPr>
                      <w:rFonts w:ascii="仿宋_GB2312" w:hAnsi="仿宋_GB2312" w:cs="仿宋_GB2312" w:eastAsia="仿宋_GB2312"/>
                      <w:sz w:val="20"/>
                      <w:color w:val="000000"/>
                    </w:rPr>
                    <w:t>可见光传感器类型：</w:t>
                  </w:r>
                  <w:r>
                    <w:rPr>
                      <w:rFonts w:ascii="仿宋_GB2312" w:hAnsi="仿宋_GB2312" w:cs="仿宋_GB2312" w:eastAsia="仿宋_GB2312"/>
                      <w:sz w:val="20"/>
                      <w:color w:val="000000"/>
                    </w:rPr>
                    <w:t>1/1.8英寸CMOS</w:t>
                  </w:r>
                  <w:r>
                    <w:br/>
                  </w:r>
                  <w:r>
                    <w:rPr>
                      <w:rFonts w:ascii="仿宋_GB2312" w:hAnsi="仿宋_GB2312" w:cs="仿宋_GB2312" w:eastAsia="仿宋_GB2312"/>
                      <w:sz w:val="20"/>
                      <w:color w:val="000000"/>
                    </w:rPr>
                    <w:t>可见光分辨率：</w:t>
                  </w:r>
                  <w:r>
                    <w:rPr>
                      <w:rFonts w:ascii="仿宋_GB2312" w:hAnsi="仿宋_GB2312" w:cs="仿宋_GB2312" w:eastAsia="仿宋_GB2312"/>
                      <w:sz w:val="20"/>
                      <w:color w:val="000000"/>
                    </w:rPr>
                    <w:t>≥2688 x 1520，≥400万</w:t>
                  </w:r>
                  <w:r>
                    <w:br/>
                  </w:r>
                  <w:r>
                    <w:rPr>
                      <w:rFonts w:ascii="仿宋_GB2312" w:hAnsi="仿宋_GB2312" w:cs="仿宋_GB2312" w:eastAsia="仿宋_GB2312"/>
                      <w:sz w:val="20"/>
                      <w:color w:val="000000"/>
                    </w:rPr>
                    <w:t>可见光透雾功能：支持光学透雾和算法透雾</w:t>
                  </w:r>
                  <w:r>
                    <w:br/>
                  </w:r>
                  <w:r>
                    <w:rPr>
                      <w:rFonts w:ascii="仿宋_GB2312" w:hAnsi="仿宋_GB2312" w:cs="仿宋_GB2312" w:eastAsia="仿宋_GB2312"/>
                      <w:sz w:val="20"/>
                      <w:color w:val="000000"/>
                    </w:rPr>
                    <w:t>水平范围：</w:t>
                  </w:r>
                  <w:r>
                    <w:rPr>
                      <w:rFonts w:ascii="仿宋_GB2312" w:hAnsi="仿宋_GB2312" w:cs="仿宋_GB2312" w:eastAsia="仿宋_GB2312"/>
                      <w:sz w:val="20"/>
                      <w:color w:val="000000"/>
                    </w:rPr>
                    <w:t>0~360°连续旋转，垂直范围：﹢90°～-90°</w:t>
                  </w:r>
                  <w:r>
                    <w:br/>
                  </w:r>
                  <w:r>
                    <w:rPr>
                      <w:rFonts w:ascii="仿宋_GB2312" w:hAnsi="仿宋_GB2312" w:cs="仿宋_GB2312" w:eastAsia="仿宋_GB2312"/>
                      <w:sz w:val="20"/>
                      <w:color w:val="000000"/>
                    </w:rPr>
                    <w:t>报警输入</w:t>
                  </w:r>
                  <w:r>
                    <w:rPr>
                      <w:rFonts w:ascii="仿宋_GB2312" w:hAnsi="仿宋_GB2312" w:cs="仿宋_GB2312" w:eastAsia="仿宋_GB2312"/>
                      <w:sz w:val="20"/>
                      <w:color w:val="000000"/>
                    </w:rPr>
                    <w:t>≥7个，输出≥2个</w:t>
                  </w:r>
                  <w:r>
                    <w:br/>
                  </w:r>
                  <w:r>
                    <w:rPr>
                      <w:rFonts w:ascii="仿宋_GB2312" w:hAnsi="仿宋_GB2312" w:cs="仿宋_GB2312" w:eastAsia="仿宋_GB2312"/>
                      <w:sz w:val="20"/>
                      <w:color w:val="000000"/>
                    </w:rPr>
                    <w:t>音频输入</w:t>
                  </w:r>
                  <w:r>
                    <w:rPr>
                      <w:rFonts w:ascii="仿宋_GB2312" w:hAnsi="仿宋_GB2312" w:cs="仿宋_GB2312" w:eastAsia="仿宋_GB2312"/>
                      <w:sz w:val="20"/>
                      <w:color w:val="000000"/>
                    </w:rPr>
                    <w:t>≥1个，输出≥1个</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≥IP66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热成像双光谱重载云台</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可根据温度变化自动调整聚焦</w:t>
                  </w:r>
                  <w:r>
                    <w:br/>
                  </w:r>
                  <w:r>
                    <w:rPr>
                      <w:rFonts w:ascii="仿宋_GB2312" w:hAnsi="仿宋_GB2312" w:cs="仿宋_GB2312" w:eastAsia="仿宋_GB2312"/>
                      <w:sz w:val="20"/>
                      <w:color w:val="000000"/>
                    </w:rPr>
                    <w:t>支持系统双备份功能，确保数据断电不丢失</w:t>
                  </w:r>
                  <w:r>
                    <w:br/>
                  </w:r>
                  <w:r>
                    <w:rPr>
                      <w:rFonts w:ascii="仿宋_GB2312" w:hAnsi="仿宋_GB2312" w:cs="仿宋_GB2312" w:eastAsia="仿宋_GB2312"/>
                      <w:sz w:val="20"/>
                      <w:color w:val="000000"/>
                    </w:rPr>
                    <w:t>支持目标热源细节凸显，并可对指定热源细节进行增强显示</w:t>
                  </w:r>
                  <w:r>
                    <w:br/>
                  </w:r>
                  <w:r>
                    <w:rPr>
                      <w:rFonts w:ascii="仿宋_GB2312" w:hAnsi="仿宋_GB2312" w:cs="仿宋_GB2312" w:eastAsia="仿宋_GB2312"/>
                      <w:sz w:val="20"/>
                      <w:color w:val="000000"/>
                    </w:rPr>
                    <w:t>支持断电状态记忆功能，上电后自动回到断电前的云台和镜头状态</w:t>
                  </w:r>
                  <w:r>
                    <w:br/>
                  </w:r>
                  <w:r>
                    <w:rPr>
                      <w:rFonts w:ascii="仿宋_GB2312" w:hAnsi="仿宋_GB2312" w:cs="仿宋_GB2312" w:eastAsia="仿宋_GB2312"/>
                      <w:sz w:val="20"/>
                      <w:color w:val="000000"/>
                    </w:rPr>
                    <w:t>支持故障自诊断系统，可自动识别系统故障（包括视频图像异常、系统异常重启、云台异常、镜头运行状态异常、网络异常、智能分析异常、算法状态异常、电机状态异常等）并可通过</w:t>
                  </w:r>
                  <w:r>
                    <w:rPr>
                      <w:rFonts w:ascii="仿宋_GB2312" w:hAnsi="仿宋_GB2312" w:cs="仿宋_GB2312" w:eastAsia="仿宋_GB2312"/>
                      <w:sz w:val="20"/>
                      <w:color w:val="000000"/>
                    </w:rPr>
                    <w:t>OSD进行显示及后台输出</w:t>
                  </w:r>
                  <w:r>
                    <w:br/>
                  </w:r>
                  <w:r>
                    <w:rPr>
                      <w:rFonts w:ascii="仿宋_GB2312" w:hAnsi="仿宋_GB2312" w:cs="仿宋_GB2312" w:eastAsia="仿宋_GB2312"/>
                      <w:sz w:val="20"/>
                      <w:color w:val="000000"/>
                    </w:rPr>
                    <w:t>支持精密电机驱动，反应灵敏，运转平稳，精度偏差</w:t>
                  </w:r>
                  <w:r>
                    <w:rPr>
                      <w:rFonts w:ascii="仿宋_GB2312" w:hAnsi="仿宋_GB2312" w:cs="仿宋_GB2312" w:eastAsia="仿宋_GB2312"/>
                      <w:sz w:val="20"/>
                      <w:color w:val="000000"/>
                    </w:rPr>
                    <w:t>≤0.01度，在任何速度下图像无抖动</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3D定位功能，通过客户端/IE可实现点击放大</w:t>
                  </w:r>
                  <w:r>
                    <w:br/>
                  </w:r>
                  <w:r>
                    <w:rPr>
                      <w:rFonts w:ascii="仿宋_GB2312" w:hAnsi="仿宋_GB2312" w:cs="仿宋_GB2312" w:eastAsia="仿宋_GB2312"/>
                      <w:sz w:val="20"/>
                      <w:color w:val="000000"/>
                    </w:rPr>
                    <w:t>支持智能雨刷，光学透雾功能</w:t>
                  </w:r>
                  <w:r>
                    <w:br/>
                  </w:r>
                  <w:r>
                    <w:rPr>
                      <w:rFonts w:ascii="仿宋_GB2312" w:hAnsi="仿宋_GB2312" w:cs="仿宋_GB2312" w:eastAsia="仿宋_GB2312"/>
                      <w:sz w:val="20"/>
                      <w:color w:val="000000"/>
                    </w:rPr>
                    <w:t>支持热成像探测器防灼伤智能躲避</w:t>
                  </w:r>
                  <w:r>
                    <w:br/>
                  </w:r>
                  <w:r>
                    <w:rPr>
                      <w:rFonts w:ascii="仿宋_GB2312" w:hAnsi="仿宋_GB2312" w:cs="仿宋_GB2312" w:eastAsia="仿宋_GB2312"/>
                      <w:sz w:val="20"/>
                      <w:color w:val="000000"/>
                    </w:rPr>
                    <w:t>支持欠压和过压报警</w:t>
                  </w:r>
                  <w:r>
                    <w:br/>
                  </w:r>
                  <w:r>
                    <w:rPr>
                      <w:rFonts w:ascii="仿宋_GB2312" w:hAnsi="仿宋_GB2312" w:cs="仿宋_GB2312" w:eastAsia="仿宋_GB2312"/>
                      <w:sz w:val="20"/>
                      <w:color w:val="000000"/>
                    </w:rPr>
                    <w:t>高灵敏度探测器，支持对比度调节</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3D降噪功能，15种伪彩色可调节，图像细节增强功能</w:t>
                  </w:r>
                  <w:r>
                    <w:br/>
                  </w:r>
                  <w:r>
                    <w:rPr>
                      <w:rFonts w:ascii="仿宋_GB2312" w:hAnsi="仿宋_GB2312" w:cs="仿宋_GB2312" w:eastAsia="仿宋_GB2312"/>
                      <w:sz w:val="20"/>
                      <w:color w:val="000000"/>
                    </w:rPr>
                    <w:t>支持镜像、数字变倍和本地视频输出</w:t>
                  </w:r>
                  <w:r>
                    <w:br/>
                  </w:r>
                  <w:r>
                    <w:rPr>
                      <w:rFonts w:ascii="仿宋_GB2312" w:hAnsi="仿宋_GB2312" w:cs="仿宋_GB2312" w:eastAsia="仿宋_GB2312"/>
                      <w:sz w:val="20"/>
                      <w:color w:val="000000"/>
                    </w:rPr>
                    <w:t>支持镜头除冰，电子罗盘功能</w:t>
                  </w:r>
                  <w:r>
                    <w:br/>
                  </w:r>
                  <w:r>
                    <w:rPr>
                      <w:rFonts w:ascii="仿宋_GB2312" w:hAnsi="仿宋_GB2312" w:cs="仿宋_GB2312" w:eastAsia="仿宋_GB2312"/>
                      <w:sz w:val="20"/>
                      <w:color w:val="000000"/>
                    </w:rPr>
                    <w:t>热成像分辨率：</w:t>
                  </w:r>
                  <w:r>
                    <w:rPr>
                      <w:rFonts w:ascii="仿宋_GB2312" w:hAnsi="仿宋_GB2312" w:cs="仿宋_GB2312" w:eastAsia="仿宋_GB2312"/>
                      <w:sz w:val="20"/>
                      <w:color w:val="000000"/>
                    </w:rPr>
                    <w:t>≥384 × 288</w:t>
                  </w:r>
                  <w:r>
                    <w:br/>
                  </w:r>
                  <w:r>
                    <w:rPr>
                      <w:rFonts w:ascii="仿宋_GB2312" w:hAnsi="仿宋_GB2312" w:cs="仿宋_GB2312" w:eastAsia="仿宋_GB2312"/>
                      <w:sz w:val="20"/>
                      <w:color w:val="000000"/>
                    </w:rPr>
                    <w:t>热成像焦距：</w:t>
                  </w:r>
                  <w:r>
                    <w:rPr>
                      <w:rFonts w:ascii="仿宋_GB2312" w:hAnsi="仿宋_GB2312" w:cs="仿宋_GB2312" w:eastAsia="仿宋_GB2312"/>
                      <w:sz w:val="20"/>
                      <w:color w:val="000000"/>
                    </w:rPr>
                    <w:t>≥150 mm</w:t>
                  </w:r>
                  <w:r>
                    <w:br/>
                  </w:r>
                  <w:r>
                    <w:rPr>
                      <w:rFonts w:ascii="仿宋_GB2312" w:hAnsi="仿宋_GB2312" w:cs="仿宋_GB2312" w:eastAsia="仿宋_GB2312"/>
                      <w:sz w:val="20"/>
                      <w:color w:val="000000"/>
                    </w:rPr>
                    <w:t>热成像视场角：</w:t>
                  </w:r>
                  <w:r>
                    <w:rPr>
                      <w:rFonts w:ascii="仿宋_GB2312" w:hAnsi="仿宋_GB2312" w:cs="仿宋_GB2312" w:eastAsia="仿宋_GB2312"/>
                      <w:sz w:val="20"/>
                      <w:color w:val="000000"/>
                    </w:rPr>
                    <w:t>4.1°(H)3.3°(V)</w:t>
                  </w:r>
                  <w:r>
                    <w:br/>
                  </w:r>
                  <w:r>
                    <w:rPr>
                      <w:rFonts w:ascii="仿宋_GB2312" w:hAnsi="仿宋_GB2312" w:cs="仿宋_GB2312" w:eastAsia="仿宋_GB2312"/>
                      <w:sz w:val="20"/>
                      <w:color w:val="000000"/>
                    </w:rPr>
                    <w:t>人员最远报警距离（以</w:t>
                  </w:r>
                  <w:r>
                    <w:rPr>
                      <w:rFonts w:ascii="仿宋_GB2312" w:hAnsi="仿宋_GB2312" w:cs="仿宋_GB2312" w:eastAsia="仿宋_GB2312"/>
                      <w:sz w:val="20"/>
                      <w:color w:val="000000"/>
                    </w:rPr>
                    <w:t>1.8米*0.5米为准）：≥1100m</w:t>
                  </w:r>
                  <w:r>
                    <w:br/>
                  </w:r>
                  <w:r>
                    <w:rPr>
                      <w:rFonts w:ascii="仿宋_GB2312" w:hAnsi="仿宋_GB2312" w:cs="仿宋_GB2312" w:eastAsia="仿宋_GB2312"/>
                      <w:sz w:val="20"/>
                      <w:color w:val="000000"/>
                    </w:rPr>
                    <w:t>车辆最远报警距离（以</w:t>
                  </w:r>
                  <w:r>
                    <w:rPr>
                      <w:rFonts w:ascii="仿宋_GB2312" w:hAnsi="仿宋_GB2312" w:cs="仿宋_GB2312" w:eastAsia="仿宋_GB2312"/>
                      <w:sz w:val="20"/>
                      <w:color w:val="000000"/>
                    </w:rPr>
                    <w:t>4米*1.4米为准）：≥3200m</w:t>
                  </w:r>
                  <w:r>
                    <w:br/>
                  </w:r>
                  <w:r>
                    <w:rPr>
                      <w:rFonts w:ascii="仿宋_GB2312" w:hAnsi="仿宋_GB2312" w:cs="仿宋_GB2312" w:eastAsia="仿宋_GB2312"/>
                      <w:sz w:val="20"/>
                      <w:color w:val="000000"/>
                    </w:rPr>
                    <w:t>船只最远报警距离（以</w:t>
                  </w:r>
                  <w:r>
                    <w:rPr>
                      <w:rFonts w:ascii="仿宋_GB2312" w:hAnsi="仿宋_GB2312" w:cs="仿宋_GB2312" w:eastAsia="仿宋_GB2312"/>
                      <w:sz w:val="20"/>
                      <w:color w:val="000000"/>
                    </w:rPr>
                    <w:t>10米*5米为准）：≥4500m</w:t>
                  </w:r>
                  <w:r>
                    <w:br/>
                  </w:r>
                  <w:r>
                    <w:rPr>
                      <w:rFonts w:ascii="仿宋_GB2312" w:hAnsi="仿宋_GB2312" w:cs="仿宋_GB2312" w:eastAsia="仿宋_GB2312"/>
                      <w:sz w:val="20"/>
                      <w:color w:val="000000"/>
                    </w:rPr>
                    <w:t>火点最远报警距离（以</w:t>
                  </w:r>
                  <w:r>
                    <w:rPr>
                      <w:rFonts w:ascii="仿宋_GB2312" w:hAnsi="仿宋_GB2312" w:cs="仿宋_GB2312" w:eastAsia="仿宋_GB2312"/>
                      <w:sz w:val="20"/>
                      <w:color w:val="000000"/>
                    </w:rPr>
                    <w:t xml:space="preserve">2米*2米为准）：≥8800m </w:t>
                  </w:r>
                  <w:r>
                    <w:br/>
                  </w:r>
                  <w:r>
                    <w:rPr>
                      <w:rFonts w:ascii="仿宋_GB2312" w:hAnsi="仿宋_GB2312" w:cs="仿宋_GB2312" w:eastAsia="仿宋_GB2312"/>
                      <w:sz w:val="20"/>
                      <w:color w:val="000000"/>
                    </w:rPr>
                    <w:t>烟雾最远报警距离（以</w:t>
                  </w:r>
                  <w:r>
                    <w:rPr>
                      <w:rFonts w:ascii="仿宋_GB2312" w:hAnsi="仿宋_GB2312" w:cs="仿宋_GB2312" w:eastAsia="仿宋_GB2312"/>
                      <w:sz w:val="20"/>
                      <w:color w:val="000000"/>
                    </w:rPr>
                    <w:t xml:space="preserve">5米*5米为准）：≥12000m </w:t>
                  </w:r>
                  <w:r>
                    <w:br/>
                  </w:r>
                  <w:r>
                    <w:rPr>
                      <w:rFonts w:ascii="仿宋_GB2312" w:hAnsi="仿宋_GB2312" w:cs="仿宋_GB2312" w:eastAsia="仿宋_GB2312"/>
                      <w:sz w:val="20"/>
                      <w:color w:val="000000"/>
                    </w:rPr>
                    <w:t>可见光分辨率：</w:t>
                  </w:r>
                  <w:r>
                    <w:rPr>
                      <w:rFonts w:ascii="仿宋_GB2312" w:hAnsi="仿宋_GB2312" w:cs="仿宋_GB2312" w:eastAsia="仿宋_GB2312"/>
                      <w:sz w:val="20"/>
                      <w:color w:val="000000"/>
                    </w:rPr>
                    <w:t>≥2688 × 1520, ≥400万实时高清</w:t>
                  </w:r>
                  <w:r>
                    <w:br/>
                  </w:r>
                  <w:r>
                    <w:rPr>
                      <w:rFonts w:ascii="仿宋_GB2312" w:hAnsi="仿宋_GB2312" w:cs="仿宋_GB2312" w:eastAsia="仿宋_GB2312"/>
                      <w:sz w:val="20"/>
                      <w:color w:val="000000"/>
                    </w:rPr>
                    <w:t>可见光焦距：</w:t>
                  </w:r>
                  <w:r>
                    <w:rPr>
                      <w:rFonts w:ascii="仿宋_GB2312" w:hAnsi="仿宋_GB2312" w:cs="仿宋_GB2312" w:eastAsia="仿宋_GB2312"/>
                      <w:sz w:val="20"/>
                      <w:color w:val="000000"/>
                    </w:rPr>
                    <w:t>10-800 mm，光学变倍≥80倍</w:t>
                  </w:r>
                  <w:r>
                    <w:br/>
                  </w:r>
                  <w:r>
                    <w:rPr>
                      <w:rFonts w:ascii="仿宋_GB2312" w:hAnsi="仿宋_GB2312" w:cs="仿宋_GB2312" w:eastAsia="仿宋_GB2312"/>
                      <w:sz w:val="20"/>
                      <w:color w:val="000000"/>
                    </w:rPr>
                    <w:t>可见光透雾：支持光学透雾和算法透雾</w:t>
                  </w:r>
                  <w:r>
                    <w:br/>
                  </w:r>
                  <w:r>
                    <w:rPr>
                      <w:rFonts w:ascii="仿宋_GB2312" w:hAnsi="仿宋_GB2312" w:cs="仿宋_GB2312" w:eastAsia="仿宋_GB2312"/>
                      <w:sz w:val="20"/>
                      <w:color w:val="000000"/>
                    </w:rPr>
                    <w:t>可见光防抖功能：支持</w:t>
                  </w:r>
                  <w:r>
                    <w:rPr>
                      <w:rFonts w:ascii="仿宋_GB2312" w:hAnsi="仿宋_GB2312" w:cs="仿宋_GB2312" w:eastAsia="仿宋_GB2312"/>
                      <w:sz w:val="20"/>
                      <w:color w:val="000000"/>
                    </w:rPr>
                    <w:t>OIS光学防抖</w:t>
                  </w:r>
                  <w:r>
                    <w:br/>
                  </w:r>
                  <w:r>
                    <w:rPr>
                      <w:rFonts w:ascii="仿宋_GB2312" w:hAnsi="仿宋_GB2312" w:cs="仿宋_GB2312" w:eastAsia="仿宋_GB2312"/>
                      <w:sz w:val="20"/>
                      <w:color w:val="000000"/>
                    </w:rPr>
                    <w:t>可见光补光功能：有效距离：</w:t>
                  </w:r>
                  <w:r>
                    <w:rPr>
                      <w:rFonts w:ascii="仿宋_GB2312" w:hAnsi="仿宋_GB2312" w:cs="仿宋_GB2312" w:eastAsia="仿宋_GB2312"/>
                      <w:sz w:val="20"/>
                      <w:color w:val="000000"/>
                    </w:rPr>
                    <w:t>≥3000m</w:t>
                  </w:r>
                  <w:r>
                    <w:br/>
                  </w:r>
                  <w:r>
                    <w:rPr>
                      <w:rFonts w:ascii="仿宋_GB2312" w:hAnsi="仿宋_GB2312" w:cs="仿宋_GB2312" w:eastAsia="仿宋_GB2312"/>
                      <w:sz w:val="20"/>
                      <w:color w:val="000000"/>
                    </w:rPr>
                    <w:t>防护等级：</w:t>
                  </w:r>
                  <w:r>
                    <w:rPr>
                      <w:rFonts w:ascii="仿宋_GB2312" w:hAnsi="仿宋_GB2312" w:cs="仿宋_GB2312" w:eastAsia="仿宋_GB2312"/>
                      <w:sz w:val="20"/>
                      <w:color w:val="000000"/>
                    </w:rPr>
                    <w:t>≥</w:t>
                  </w:r>
                  <w:r>
                    <w:rPr>
                      <w:rFonts w:ascii="仿宋_GB2312" w:hAnsi="仿宋_GB2312" w:cs="仿宋_GB2312" w:eastAsia="仿宋_GB2312"/>
                      <w:sz w:val="20"/>
                      <w:color w:val="000000"/>
                    </w:rPr>
                    <w:t>IP67，电磁兼容符合GB/T17626.5 四级标准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设备支架</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支架：基于</w:t>
                  </w:r>
                  <w:r>
                    <w:rPr>
                      <w:rFonts w:ascii="仿宋_GB2312" w:hAnsi="仿宋_GB2312" w:cs="仿宋_GB2312" w:eastAsia="仿宋_GB2312"/>
                      <w:sz w:val="20"/>
                    </w:rPr>
                    <w:t>安装位置</w:t>
                  </w:r>
                  <w:r>
                    <w:rPr>
                      <w:rFonts w:ascii="仿宋_GB2312" w:hAnsi="仿宋_GB2312" w:cs="仿宋_GB2312" w:eastAsia="仿宋_GB2312"/>
                      <w:sz w:val="20"/>
                    </w:rPr>
                    <w:t>平台定制摄像机安装支架，</w:t>
                  </w:r>
                  <w:r>
                    <w:br/>
                  </w:r>
                  <w:r>
                    <w:rPr>
                      <w:rFonts w:ascii="仿宋_GB2312" w:hAnsi="仿宋_GB2312" w:cs="仿宋_GB2312" w:eastAsia="仿宋_GB2312"/>
                      <w:sz w:val="20"/>
                    </w:rPr>
                    <w:t>材质：镀锌钢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设备控制箱（含电表）</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内含双路</w:t>
                  </w:r>
                  <w:r>
                    <w:rPr>
                      <w:rFonts w:ascii="仿宋_GB2312" w:hAnsi="仿宋_GB2312" w:cs="仿宋_GB2312" w:eastAsia="仿宋_GB2312"/>
                      <w:sz w:val="20"/>
                    </w:rPr>
                    <w:t>220V电源防雷，双路10A空气开关一个， 3芯插座一个，</w:t>
                  </w:r>
                  <w:r>
                    <w:br/>
                  </w:r>
                  <w:r>
                    <w:rPr>
                      <w:rFonts w:ascii="仿宋_GB2312" w:hAnsi="仿宋_GB2312" w:cs="仿宋_GB2312" w:eastAsia="仿宋_GB2312"/>
                      <w:sz w:val="20"/>
                    </w:rPr>
                    <w:t>结构：整体结构采用拼焊结构，牢固、钢性好、牢固可靠</w:t>
                  </w:r>
                  <w:r>
                    <w:rPr>
                      <w:rFonts w:ascii="仿宋_GB2312" w:hAnsi="仿宋_GB2312" w:cs="仿宋_GB2312" w:eastAsia="仿宋_GB2312"/>
                      <w:sz w:val="20"/>
                    </w:rPr>
                    <w:t>;</w:t>
                  </w:r>
                  <w:r>
                    <w:br/>
                  </w:r>
                  <w:r>
                    <w:rPr>
                      <w:rFonts w:ascii="仿宋_GB2312" w:hAnsi="仿宋_GB2312" w:cs="仿宋_GB2312" w:eastAsia="仿宋_GB2312"/>
                      <w:sz w:val="20"/>
                    </w:rPr>
                    <w:t>机柜采用主体焊接、部分拼装的结构，保证了防护性</w:t>
                  </w:r>
                  <w:r>
                    <w:rPr>
                      <w:rFonts w:ascii="仿宋_GB2312" w:hAnsi="仿宋_GB2312" w:cs="仿宋_GB2312" w:eastAsia="仿宋_GB2312"/>
                      <w:sz w:val="20"/>
                    </w:rPr>
                    <w:t>;</w:t>
                  </w:r>
                  <w:r>
                    <w:br/>
                  </w:r>
                  <w:r>
                    <w:rPr>
                      <w:rFonts w:ascii="仿宋_GB2312" w:hAnsi="仿宋_GB2312" w:cs="仿宋_GB2312" w:eastAsia="仿宋_GB2312"/>
                      <w:sz w:val="20"/>
                    </w:rPr>
                    <w:t>防护等级</w:t>
                  </w:r>
                  <w:r>
                    <w:rPr>
                      <w:rFonts w:ascii="仿宋_GB2312" w:hAnsi="仿宋_GB2312" w:cs="仿宋_GB2312" w:eastAsia="仿宋_GB2312"/>
                      <w:sz w:val="20"/>
                    </w:rPr>
                    <w:t>IP55，保护内部设备不受外界恶劣环境的干扰;</w:t>
                  </w:r>
                  <w:r>
                    <w:br/>
                  </w:r>
                  <w:r>
                    <w:rPr>
                      <w:rFonts w:ascii="仿宋_GB2312" w:hAnsi="仿宋_GB2312" w:cs="仿宋_GB2312" w:eastAsia="仿宋_GB2312"/>
                      <w:sz w:val="20"/>
                    </w:rPr>
                    <w:t>采用的是专用户外柜锁，具有良好的防水、防盗性能</w:t>
                  </w:r>
                  <w:r>
                    <w:rPr>
                      <w:rFonts w:ascii="仿宋_GB2312" w:hAnsi="仿宋_GB2312" w:cs="仿宋_GB2312" w:eastAsia="仿宋_GB2312"/>
                      <w:sz w:val="20"/>
                    </w:rPr>
                    <w:t>;</w:t>
                  </w:r>
                  <w:r>
                    <w:br/>
                  </w:r>
                  <w:r>
                    <w:rPr>
                      <w:rFonts w:ascii="仿宋_GB2312" w:hAnsi="仿宋_GB2312" w:cs="仿宋_GB2312" w:eastAsia="仿宋_GB2312"/>
                      <w:sz w:val="20"/>
                    </w:rPr>
                    <w:t>环境适应性好，能最大限度地降低设备对环境的要求接地系统安全可靠</w:t>
                  </w:r>
                  <w:r>
                    <w:rPr>
                      <w:rFonts w:ascii="仿宋_GB2312" w:hAnsi="仿宋_GB2312" w:cs="仿宋_GB2312" w:eastAsia="仿宋_GB2312"/>
                      <w:sz w:val="20"/>
                    </w:rPr>
                    <w:t>;</w:t>
                  </w:r>
                  <w:r>
                    <w:br/>
                  </w:r>
                  <w:r>
                    <w:rPr>
                      <w:rFonts w:ascii="仿宋_GB2312" w:hAnsi="仿宋_GB2312" w:cs="仿宋_GB2312" w:eastAsia="仿宋_GB2312"/>
                      <w:sz w:val="20"/>
                    </w:rPr>
                    <w:t>机柜底部进出线缆，有效实现防水、防尘</w:t>
                  </w:r>
                  <w:r>
                    <w:rPr>
                      <w:rFonts w:ascii="仿宋_GB2312" w:hAnsi="仿宋_GB2312" w:cs="仿宋_GB2312" w:eastAsia="仿宋_GB2312"/>
                      <w:sz w:val="20"/>
                    </w:rPr>
                    <w:t>;</w:t>
                  </w:r>
                  <w:r>
                    <w:br/>
                  </w:r>
                  <w:r>
                    <w:rPr>
                      <w:rFonts w:ascii="仿宋_GB2312" w:hAnsi="仿宋_GB2312" w:cs="仿宋_GB2312" w:eastAsia="仿宋_GB2312"/>
                      <w:sz w:val="20"/>
                    </w:rPr>
                    <w:t>安装方式：壁挂安装，具有防虫、防鼠功效</w:t>
                  </w:r>
                  <w:r>
                    <w:rPr>
                      <w:rFonts w:ascii="仿宋_GB2312" w:hAnsi="仿宋_GB2312" w:cs="仿宋_GB2312" w:eastAsia="仿宋_GB2312"/>
                      <w:sz w:val="20"/>
                    </w:rPr>
                    <w:t>;</w:t>
                  </w:r>
                  <w:r>
                    <w:br/>
                  </w:r>
                  <w:r>
                    <w:rPr>
                      <w:rFonts w:ascii="仿宋_GB2312" w:hAnsi="仿宋_GB2312" w:cs="仿宋_GB2312" w:eastAsia="仿宋_GB2312"/>
                      <w:sz w:val="20"/>
                    </w:rPr>
                    <w:t>机柜采用</w:t>
                  </w:r>
                  <w:r>
                    <w:rPr>
                      <w:rFonts w:ascii="仿宋_GB2312" w:hAnsi="仿宋_GB2312" w:cs="仿宋_GB2312" w:eastAsia="仿宋_GB2312"/>
                      <w:sz w:val="20"/>
                    </w:rPr>
                    <w:t>1.0厚度热度锌板制作;</w:t>
                  </w:r>
                  <w:r>
                    <w:br/>
                  </w:r>
                  <w:r>
                    <w:rPr>
                      <w:rFonts w:ascii="仿宋_GB2312" w:hAnsi="仿宋_GB2312" w:cs="仿宋_GB2312" w:eastAsia="仿宋_GB2312"/>
                      <w:sz w:val="20"/>
                    </w:rPr>
                    <w:t>600mm(高）*500mm（宽）*350mm（深）（含帽檐）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安装辅材</w:t>
                  </w:r>
                </w:p>
              </w:tc>
              <w:tc>
                <w:tcPr>
                  <w:tcW w:type="dxa" w:w="7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六类千兆双屏蔽网线</w:t>
                  </w:r>
                  <w:r>
                    <w:rPr>
                      <w:rFonts w:ascii="仿宋_GB2312" w:hAnsi="仿宋_GB2312" w:cs="仿宋_GB2312" w:eastAsia="仿宋_GB2312"/>
                      <w:sz w:val="20"/>
                    </w:rPr>
                    <w:t>,0.58±0.008mm纯铜,</w:t>
                  </w:r>
                  <w:r>
                    <w:br/>
                  </w:r>
                  <w:r>
                    <w:rPr>
                      <w:rFonts w:ascii="仿宋_GB2312" w:hAnsi="仿宋_GB2312" w:cs="仿宋_GB2312" w:eastAsia="仿宋_GB2312"/>
                      <w:sz w:val="20"/>
                    </w:rPr>
                    <w:t>供电电缆及控制信号线缆，线缆接头等，</w:t>
                  </w:r>
                  <w:r>
                    <w:br/>
                  </w:r>
                  <w:r>
                    <w:rPr>
                      <w:rFonts w:ascii="仿宋_GB2312" w:hAnsi="仿宋_GB2312" w:cs="仿宋_GB2312" w:eastAsia="仿宋_GB2312"/>
                      <w:sz w:val="20"/>
                    </w:rPr>
                    <w:t>穿线管材，金属软管等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outlineLvl w:val="1"/>
            </w:pPr>
            <w:r>
              <w:rPr>
                <w:rFonts w:ascii="仿宋_GB2312" w:hAnsi="仿宋_GB2312" w:cs="仿宋_GB2312" w:eastAsia="仿宋_GB2312"/>
                <w:sz w:val="20"/>
                <w:b/>
              </w:rPr>
              <w:t>3.传输网络</w:t>
            </w:r>
          </w:p>
          <w:p>
            <w:pPr>
              <w:pStyle w:val="null3"/>
              <w:ind w:firstLine="400"/>
            </w:pPr>
            <w:r>
              <w:rPr>
                <w:rFonts w:ascii="仿宋_GB2312" w:hAnsi="仿宋_GB2312" w:cs="仿宋_GB2312" w:eastAsia="仿宋_GB2312"/>
                <w:sz w:val="20"/>
              </w:rPr>
              <w:t>传输网络包括</w:t>
            </w:r>
            <w:r>
              <w:rPr>
                <w:rFonts w:ascii="仿宋_GB2312" w:hAnsi="仿宋_GB2312" w:cs="仿宋_GB2312" w:eastAsia="仿宋_GB2312"/>
                <w:sz w:val="20"/>
              </w:rPr>
              <w:t>36条前端点监控点位到西安市大数据服务中心（10M）、西安市大数据服务中心到区市秦岭保护局监控中心1条（100M）的数字电路。数据专线的网络由西安市数据局整体部署解决。</w:t>
            </w:r>
          </w:p>
          <w:p>
            <w:pPr>
              <w:pStyle w:val="null3"/>
              <w:ind w:firstLine="400"/>
            </w:pPr>
            <w:r>
              <w:rPr>
                <w:rFonts w:ascii="仿宋_GB2312" w:hAnsi="仿宋_GB2312" w:cs="仿宋_GB2312" w:eastAsia="仿宋_GB2312"/>
                <w:sz w:val="20"/>
              </w:rPr>
              <w:t>本次考虑</w:t>
            </w:r>
            <w:r>
              <w:rPr>
                <w:rFonts w:ascii="仿宋_GB2312" w:hAnsi="仿宋_GB2312" w:cs="仿宋_GB2312" w:eastAsia="仿宋_GB2312"/>
                <w:sz w:val="20"/>
              </w:rPr>
              <w:t>36台前端数据汇聚及出口安全，设备主要性能指标如下表。</w:t>
            </w:r>
          </w:p>
          <w:tbl>
            <w:tblPr>
              <w:tblBorders>
                <w:top w:val="none" w:color="000000" w:sz="4"/>
                <w:left w:val="none" w:color="000000" w:sz="4"/>
                <w:bottom w:val="none" w:color="000000" w:sz="4"/>
                <w:right w:val="none" w:color="000000" w:sz="4"/>
                <w:insideH w:val="none"/>
                <w:insideV w:val="none"/>
              </w:tblBorders>
            </w:tblPr>
            <w:tblGrid>
              <w:gridCol w:w="115"/>
              <w:gridCol w:w="257"/>
              <w:gridCol w:w="1666"/>
              <w:gridCol w:w="257"/>
              <w:gridCol w:w="25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设备及软件名称</w:t>
                  </w:r>
                </w:p>
              </w:tc>
              <w:tc>
                <w:tcPr>
                  <w:tcW w:type="dxa" w:w="1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主要性能指标</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汇聚交换机</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整机交换容量</w:t>
                  </w:r>
                  <w:r>
                    <w:rPr>
                      <w:rFonts w:ascii="仿宋_GB2312" w:hAnsi="仿宋_GB2312" w:cs="仿宋_GB2312" w:eastAsia="仿宋_GB2312"/>
                      <w:sz w:val="20"/>
                      <w:color w:val="000000"/>
                    </w:rPr>
                    <w:t>≥1.8Tbps；包转发率≥216Mpps；</w:t>
                  </w:r>
                  <w:r>
                    <w:br/>
                  </w:r>
                  <w:r>
                    <w:rPr>
                      <w:rFonts w:ascii="仿宋_GB2312" w:hAnsi="仿宋_GB2312" w:cs="仿宋_GB2312" w:eastAsia="仿宋_GB2312"/>
                      <w:sz w:val="20"/>
                      <w:color w:val="000000"/>
                    </w:rPr>
                    <w:t>千兆电接口</w:t>
                  </w:r>
                  <w:r>
                    <w:rPr>
                      <w:rFonts w:ascii="仿宋_GB2312" w:hAnsi="仿宋_GB2312" w:cs="仿宋_GB2312" w:eastAsia="仿宋_GB2312"/>
                      <w:sz w:val="20"/>
                      <w:color w:val="000000"/>
                    </w:rPr>
                    <w:t>≥24个，万兆光接口≥4 个；</w:t>
                  </w:r>
                  <w:r>
                    <w:br/>
                  </w:r>
                  <w:r>
                    <w:rPr>
                      <w:rFonts w:ascii="仿宋_GB2312" w:hAnsi="仿宋_GB2312" w:cs="仿宋_GB2312" w:eastAsia="仿宋_GB2312"/>
                      <w:sz w:val="20"/>
                      <w:color w:val="000000"/>
                    </w:rPr>
                    <w:t>支持三层静态和动态路由协议，支持</w:t>
                  </w:r>
                  <w:r>
                    <w:rPr>
                      <w:rFonts w:ascii="仿宋_GB2312" w:hAnsi="仿宋_GB2312" w:cs="仿宋_GB2312" w:eastAsia="仿宋_GB2312"/>
                      <w:sz w:val="20"/>
                      <w:color w:val="000000"/>
                    </w:rPr>
                    <w:t>IPv4静态路由、RIP；</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IPv6静态路由;</w:t>
                  </w:r>
                  <w:r>
                    <w:br/>
                  </w:r>
                  <w:r>
                    <w:rPr>
                      <w:rFonts w:ascii="仿宋_GB2312" w:hAnsi="仿宋_GB2312" w:cs="仿宋_GB2312" w:eastAsia="仿宋_GB2312"/>
                      <w:sz w:val="20"/>
                      <w:color w:val="000000"/>
                    </w:rPr>
                    <w:t>支持基于</w:t>
                  </w:r>
                  <w:r>
                    <w:rPr>
                      <w:rFonts w:ascii="仿宋_GB2312" w:hAnsi="仿宋_GB2312" w:cs="仿宋_GB2312" w:eastAsia="仿宋_GB2312"/>
                      <w:sz w:val="20"/>
                      <w:color w:val="000000"/>
                    </w:rPr>
                    <w:t>/MAC/协议/IP子网/策略/端口的VLAN；</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OPENFLOW 1.3标准；</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防火墙</w:t>
                  </w:r>
                </w:p>
              </w:tc>
              <w:tc>
                <w:tcPr>
                  <w:tcW w:type="dxa" w:w="1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硬件参数：</w:t>
                  </w:r>
                  <w:r>
                    <w:rPr>
                      <w:rFonts w:ascii="仿宋_GB2312" w:hAnsi="仿宋_GB2312" w:cs="仿宋_GB2312" w:eastAsia="仿宋_GB2312"/>
                      <w:sz w:val="20"/>
                      <w:color w:val="000000"/>
                    </w:rPr>
                    <w:t>1U机型，含交流单电源，1*RJ45串口，1*RJ45管理口，2*USB接口，4*GE电口，1个接口扩展槽位</w:t>
                  </w:r>
                  <w:r>
                    <w:br/>
                  </w:r>
                  <w:r>
                    <w:rPr>
                      <w:rFonts w:ascii="仿宋_GB2312" w:hAnsi="仿宋_GB2312" w:cs="仿宋_GB2312" w:eastAsia="仿宋_GB2312"/>
                      <w:sz w:val="20"/>
                      <w:color w:val="000000"/>
                    </w:rPr>
                    <w:t>性能参数：整机吞吐量</w:t>
                  </w:r>
                  <w:r>
                    <w:rPr>
                      <w:rFonts w:ascii="仿宋_GB2312" w:hAnsi="仿宋_GB2312" w:cs="仿宋_GB2312" w:eastAsia="仿宋_GB2312"/>
                      <w:sz w:val="20"/>
                      <w:color w:val="000000"/>
                    </w:rPr>
                    <w:t>2G,应用层吞吐量600M,新建连接数2万,最大并发连接数50万。</w:t>
                  </w:r>
                  <w:r>
                    <w:br/>
                  </w:r>
                  <w:r>
                    <w:rPr>
                      <w:rFonts w:ascii="仿宋_GB2312" w:hAnsi="仿宋_GB2312" w:cs="仿宋_GB2312" w:eastAsia="仿宋_GB2312"/>
                      <w:sz w:val="20"/>
                      <w:color w:val="000000"/>
                    </w:rPr>
                    <w:t>软件授权：含传统防火墙、流量管理、应用管理、</w:t>
                  </w:r>
                  <w:r>
                    <w:rPr>
                      <w:rFonts w:ascii="仿宋_GB2312" w:hAnsi="仿宋_GB2312" w:cs="仿宋_GB2312" w:eastAsia="仿宋_GB2312"/>
                      <w:sz w:val="20"/>
                      <w:color w:val="000000"/>
                    </w:rPr>
                    <w:t>IPSec VPN、资产识别功能；应用管理模块升级授权，防病毒模块，含病毒特征库</w:t>
                  </w:r>
                  <w:r>
                    <w:br/>
                  </w:r>
                  <w:r>
                    <w:rPr>
                      <w:rFonts w:ascii="仿宋_GB2312" w:hAnsi="仿宋_GB2312" w:cs="仿宋_GB2312" w:eastAsia="仿宋_GB2312"/>
                      <w:sz w:val="20"/>
                      <w:color w:val="000000"/>
                    </w:rPr>
                    <w:t>一体化防护模块，包含入侵防护、</w:t>
                  </w:r>
                  <w:r>
                    <w:rPr>
                      <w:rFonts w:ascii="仿宋_GB2312" w:hAnsi="仿宋_GB2312" w:cs="仿宋_GB2312" w:eastAsia="仿宋_GB2312"/>
                      <w:sz w:val="20"/>
                      <w:color w:val="000000"/>
                    </w:rPr>
                    <w:t>URL过滤、防病毒、内容过滤模块，且含入侵防护特征库、恶意站点库、URL分类库、病毒特征库一年升级</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ind w:firstLine="201"/>
              <w:outlineLvl w:val="1"/>
            </w:pPr>
            <w:r>
              <w:rPr>
                <w:rFonts w:ascii="仿宋_GB2312" w:hAnsi="仿宋_GB2312" w:cs="仿宋_GB2312" w:eastAsia="仿宋_GB2312"/>
                <w:sz w:val="20"/>
                <w:b/>
              </w:rPr>
              <w:t>4.集成服务</w:t>
            </w:r>
          </w:p>
          <w:p>
            <w:pPr>
              <w:pStyle w:val="null3"/>
            </w:pPr>
            <w:r>
              <w:rPr>
                <w:rFonts w:ascii="仿宋_GB2312" w:hAnsi="仿宋_GB2312" w:cs="仿宋_GB2312" w:eastAsia="仿宋_GB2312"/>
                <w:sz w:val="20"/>
              </w:rPr>
              <w:t>集成服务主要包含安装服务、技术服务、运维服务（三年）。</w:t>
            </w:r>
          </w:p>
          <w:tbl>
            <w:tblPr>
              <w:tblInd w:type="dxa" w:w="120"/>
              <w:tblBorders>
                <w:top w:val="none" w:color="000000" w:sz="4"/>
                <w:left w:val="none" w:color="000000" w:sz="4"/>
                <w:bottom w:val="none" w:color="000000" w:sz="4"/>
                <w:right w:val="none" w:color="000000" w:sz="4"/>
                <w:insideH w:val="none"/>
                <w:insideV w:val="none"/>
              </w:tblBorders>
            </w:tblPr>
            <w:tblGrid>
              <w:gridCol w:w="426"/>
              <w:gridCol w:w="172"/>
              <w:gridCol w:w="183"/>
              <w:gridCol w:w="922"/>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服务名称</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集成点</w:t>
                  </w:r>
                </w:p>
              </w:tc>
              <w:tc>
                <w:tcPr>
                  <w:tcW w:type="dxa" w:w="9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服务内容要求</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工程量</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安装服务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设备安装</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1.设备安装及调试(包含：设备安装，电源、网线、管材敷设、配电箱安装等）</w:t>
                  </w:r>
                  <w:r>
                    <w:br/>
                  </w:r>
                  <w:r>
                    <w:rPr>
                      <w:rFonts w:ascii="仿宋_GB2312" w:hAnsi="仿宋_GB2312" w:cs="仿宋_GB2312" w:eastAsia="仿宋_GB2312"/>
                      <w:sz w:val="20"/>
                      <w:color w:val="000000"/>
                    </w:rPr>
                    <w:t>2.挂高资源监测及改造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技术服务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存储虚拟化服务</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1.接入西安市数据服务中心的存储资源，所需中间件与存储资源进行存储节点适配增值服务，含基础运行模块，集群管理、计划管理、索引管理、负载均衡等功能；</w:t>
                  </w:r>
                  <w:r>
                    <w:br/>
                  </w:r>
                  <w:r>
                    <w:rPr>
                      <w:rFonts w:ascii="仿宋_GB2312" w:hAnsi="仿宋_GB2312" w:cs="仿宋_GB2312" w:eastAsia="仿宋_GB2312"/>
                      <w:sz w:val="20"/>
                      <w:color w:val="000000"/>
                    </w:rPr>
                    <w:t>2.提供存储容量的授权模块技术服务；</w:t>
                  </w:r>
                  <w:r>
                    <w:br/>
                  </w:r>
                  <w:r>
                    <w:rPr>
                      <w:rFonts w:ascii="仿宋_GB2312" w:hAnsi="仿宋_GB2312" w:cs="仿宋_GB2312" w:eastAsia="仿宋_GB2312"/>
                      <w:sz w:val="20"/>
                      <w:color w:val="000000"/>
                    </w:rPr>
                    <w:t>3.在异构节点部署在物理服务器或虚拟机环境的部署搭建技术服务。</w:t>
                  </w:r>
                  <w:r>
                    <w:br/>
                  </w:r>
                  <w:r>
                    <w:rPr>
                      <w:rFonts w:ascii="仿宋_GB2312" w:hAnsi="仿宋_GB2312" w:cs="仿宋_GB2312" w:eastAsia="仿宋_GB2312"/>
                      <w:sz w:val="20"/>
                      <w:color w:val="000000"/>
                    </w:rPr>
                    <w:t>4.前端设备的接入中间件的存储支持服务；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72"/>
                  <w:vMerge/>
                  <w:tcBorders>
                    <w:top w:val="none" w:color="000000" w:sz="4"/>
                    <w:left w:val="none" w:color="000000" w:sz="4"/>
                    <w:bottom w:val="single" w:color="000000" w:sz="4"/>
                    <w:right w:val="single" w:color="000000" w:sz="4"/>
                  </w:tcBorders>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存储接入服务</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对视频、图片数据存储在物理机和虚拟机环境上的异构节点技术服务。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72"/>
                  <w:vMerge/>
                  <w:tcBorders>
                    <w:top w:val="none" w:color="000000" w:sz="4"/>
                    <w:left w:val="none" w:color="000000" w:sz="4"/>
                    <w:bottom w:val="single" w:color="000000" w:sz="4"/>
                    <w:right w:val="single" w:color="000000" w:sz="4"/>
                  </w:tcBorders>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烟火点位标定服务</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在设备安装完成后，在设备视角范围内，为火情检测提供参考点，让火点位置信息更加准确可靠，为相关监测和处置工作提供有力支持。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72"/>
                  <w:vMerge/>
                  <w:tcBorders>
                    <w:top w:val="none" w:color="000000" w:sz="4"/>
                    <w:left w:val="none" w:color="000000" w:sz="4"/>
                    <w:bottom w:val="single" w:color="000000" w:sz="4"/>
                    <w:right w:val="single" w:color="000000" w:sz="4"/>
                  </w:tcBorders>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设备接入授权</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对前端编码设备进行集中管理，并提供视频预览、云台控制、录像回放、图片查看等应用。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运维服务（三年）</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挂高</w:t>
                  </w:r>
                  <w:r>
                    <w:rPr>
                      <w:rFonts w:ascii="仿宋_GB2312" w:hAnsi="仿宋_GB2312" w:cs="仿宋_GB2312" w:eastAsia="仿宋_GB2312"/>
                      <w:sz w:val="20"/>
                      <w:color w:val="000000"/>
                    </w:rPr>
                    <w:t>空间占用服务</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由于前端监控点位需布置在山区，因此要求：</w:t>
                  </w:r>
                  <w:r>
                    <w:rPr>
                      <w:rFonts w:ascii="仿宋_GB2312" w:hAnsi="仿宋_GB2312" w:cs="仿宋_GB2312" w:eastAsia="仿宋_GB2312"/>
                      <w:sz w:val="20"/>
                      <w:color w:val="000000"/>
                    </w:rPr>
                    <w:t>1、摄像机安装高度需满足不少于15米的</w:t>
                  </w:r>
                  <w:r>
                    <w:rPr>
                      <w:rFonts w:ascii="仿宋_GB2312" w:hAnsi="仿宋_GB2312" w:cs="仿宋_GB2312" w:eastAsia="仿宋_GB2312"/>
                      <w:sz w:val="20"/>
                      <w:color w:val="000000"/>
                    </w:rPr>
                    <w:t>挂高资源</w:t>
                  </w:r>
                  <w:r>
                    <w:rPr>
                      <w:rFonts w:ascii="仿宋_GB2312" w:hAnsi="仿宋_GB2312" w:cs="仿宋_GB2312" w:eastAsia="仿宋_GB2312"/>
                      <w:sz w:val="20"/>
                      <w:color w:val="000000"/>
                    </w:rPr>
                    <w:t>2、同时满足不少于3KM的远距离监控半径需求3、满足24小时工作，能够承载高空云台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72"/>
                  <w:vMerge/>
                  <w:tcBorders>
                    <w:top w:val="none" w:color="000000" w:sz="4"/>
                    <w:left w:val="none" w:color="000000" w:sz="4"/>
                    <w:bottom w:val="single" w:color="000000" w:sz="4"/>
                    <w:right w:val="single" w:color="000000" w:sz="4"/>
                  </w:tcBorders>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电费代缴</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三年期间所有设备的电力保障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72"/>
                  <w:vMerge/>
                  <w:tcBorders>
                    <w:top w:val="none" w:color="000000" w:sz="4"/>
                    <w:left w:val="none" w:color="000000" w:sz="4"/>
                    <w:bottom w:val="single" w:color="000000" w:sz="4"/>
                    <w:right w:val="single" w:color="000000" w:sz="4"/>
                  </w:tcBorders>
                </w:tc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设备巡检及维护</w:t>
                  </w:r>
                </w:p>
              </w:tc>
              <w:tc>
                <w:tcPr>
                  <w:tcW w:type="dxa" w:w="9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1、前端硬件设备巡检（1次/季度）</w:t>
                  </w:r>
                  <w:r>
                    <w:br/>
                  </w:r>
                  <w:r>
                    <w:rPr>
                      <w:rFonts w:ascii="仿宋_GB2312" w:hAnsi="仿宋_GB2312" w:cs="仿宋_GB2312" w:eastAsia="仿宋_GB2312"/>
                      <w:sz w:val="20"/>
                      <w:color w:val="000000"/>
                    </w:rPr>
                    <w:t>提供每季度一次的设备巡检，（包含冬季除冰、日常杂物处理等），针对设备运行情况、指标、端口利用率等提供详细的报表；</w:t>
                  </w:r>
                  <w:r>
                    <w:br/>
                  </w:r>
                  <w:r>
                    <w:rPr>
                      <w:rFonts w:ascii="仿宋_GB2312" w:hAnsi="仿宋_GB2312" w:cs="仿宋_GB2312" w:eastAsia="仿宋_GB2312"/>
                      <w:sz w:val="20"/>
                      <w:color w:val="000000"/>
                    </w:rPr>
                    <w:t>2、设备维护</w:t>
                  </w:r>
                  <w:r>
                    <w:br/>
                  </w:r>
                  <w:r>
                    <w:rPr>
                      <w:rFonts w:ascii="仿宋_GB2312" w:hAnsi="仿宋_GB2312" w:cs="仿宋_GB2312" w:eastAsia="仿宋_GB2312"/>
                      <w:sz w:val="20"/>
                      <w:color w:val="000000"/>
                    </w:rPr>
                    <w:t>包括智能设备、电表、设备电源、设备箱、线路等运行故障修复服务</w:t>
                  </w:r>
                  <w:r>
                    <w:br/>
                  </w:r>
                  <w:r>
                    <w:rPr>
                      <w:rFonts w:ascii="仿宋_GB2312" w:hAnsi="仿宋_GB2312" w:cs="仿宋_GB2312" w:eastAsia="仿宋_GB2312"/>
                      <w:sz w:val="20"/>
                      <w:color w:val="000000"/>
                    </w:rPr>
                    <w:t>3、备品备件（电源模块、线材及辅材等）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pPr>
              <w:pStyle w:val="null3"/>
              <w:outlineLvl w:val="0"/>
            </w:pPr>
            <w:r>
              <w:rPr>
                <w:rFonts w:ascii="仿宋_GB2312" w:hAnsi="仿宋_GB2312" w:cs="仿宋_GB2312" w:eastAsia="仿宋_GB2312"/>
                <w:sz w:val="20"/>
                <w:b/>
              </w:rPr>
              <w:t>五、培训服务</w:t>
            </w:r>
          </w:p>
          <w:p>
            <w:pPr>
              <w:pStyle w:val="null3"/>
              <w:jc w:val="left"/>
              <w:outlineLvl w:val="1"/>
            </w:pPr>
            <w:r>
              <w:rPr>
                <w:rFonts w:ascii="仿宋_GB2312" w:hAnsi="仿宋_GB2312" w:cs="仿宋_GB2312" w:eastAsia="仿宋_GB2312"/>
                <w:sz w:val="20"/>
                <w:b/>
              </w:rPr>
              <w:t>1. 培训内容</w:t>
            </w:r>
          </w:p>
          <w:p>
            <w:pPr>
              <w:pStyle w:val="null3"/>
              <w:ind w:firstLine="400"/>
              <w:jc w:val="both"/>
            </w:pPr>
            <w:r>
              <w:rPr>
                <w:rFonts w:ascii="仿宋_GB2312" w:hAnsi="仿宋_GB2312" w:cs="仿宋_GB2312" w:eastAsia="仿宋_GB2312"/>
                <w:sz w:val="20"/>
              </w:rPr>
              <w:t>中标方负责提供系统操作人员的培训，培训内容包含但不限于功能介绍、系统调测、设备监控、设备维护、故障处理等。</w:t>
            </w:r>
          </w:p>
          <w:p>
            <w:pPr>
              <w:pStyle w:val="null3"/>
              <w:jc w:val="left"/>
              <w:outlineLvl w:val="1"/>
            </w:pPr>
            <w:r>
              <w:rPr>
                <w:rFonts w:ascii="仿宋_GB2312" w:hAnsi="仿宋_GB2312" w:cs="仿宋_GB2312" w:eastAsia="仿宋_GB2312"/>
                <w:sz w:val="20"/>
                <w:b/>
              </w:rPr>
              <w:t>2. 人员培训</w:t>
            </w:r>
          </w:p>
          <w:p>
            <w:pPr>
              <w:pStyle w:val="null3"/>
              <w:ind w:firstLine="400"/>
              <w:jc w:val="both"/>
            </w:pPr>
            <w:r>
              <w:rPr>
                <w:rFonts w:ascii="仿宋_GB2312" w:hAnsi="仿宋_GB2312" w:cs="仿宋_GB2312" w:eastAsia="仿宋_GB2312"/>
                <w:sz w:val="20"/>
              </w:rPr>
              <w:t>1）.业务人员能够精准运用监测体系及视频监测系统，高效开展秦岭区域生态保护监管工作，提升监管效率和精准度。</w:t>
            </w:r>
          </w:p>
          <w:p>
            <w:pPr>
              <w:pStyle w:val="null3"/>
              <w:ind w:firstLine="400"/>
              <w:jc w:val="both"/>
            </w:pPr>
            <w:r>
              <w:rPr>
                <w:rFonts w:ascii="仿宋_GB2312" w:hAnsi="仿宋_GB2312" w:cs="仿宋_GB2312" w:eastAsia="仿宋_GB2312"/>
                <w:sz w:val="20"/>
              </w:rPr>
              <w:t>2）.技术人员能够熟练进行高点摄像机等硬件设备的安装、调试、故障排查，以及操作系统、数据库管理系统、监控管理软件等软件系统的运行维护，保障系统稳定运行。</w:t>
            </w:r>
          </w:p>
          <w:p>
            <w:pPr>
              <w:pStyle w:val="null3"/>
              <w:ind w:firstLine="400"/>
              <w:jc w:val="both"/>
            </w:pPr>
            <w:r>
              <w:rPr>
                <w:rFonts w:ascii="仿宋_GB2312" w:hAnsi="仿宋_GB2312" w:cs="仿宋_GB2312" w:eastAsia="仿宋_GB2312"/>
                <w:sz w:val="20"/>
              </w:rPr>
              <w:t>3）.建立健全人员能力提升长效机制，确保项目后续运营过程中，相关人员能够持续适应技术更新和业务需求变化，为项目长期稳定发挥作用提供人力资源支撑。</w:t>
            </w:r>
          </w:p>
          <w:p>
            <w:pPr>
              <w:pStyle w:val="null3"/>
              <w:jc w:val="left"/>
              <w:outlineLvl w:val="1"/>
            </w:pPr>
            <w:r>
              <w:rPr>
                <w:rFonts w:ascii="仿宋_GB2312" w:hAnsi="仿宋_GB2312" w:cs="仿宋_GB2312" w:eastAsia="仿宋_GB2312"/>
                <w:sz w:val="20"/>
                <w:b/>
              </w:rPr>
              <w:t>3. 培训时间安排</w:t>
            </w:r>
          </w:p>
          <w:p>
            <w:pPr>
              <w:pStyle w:val="null3"/>
              <w:ind w:firstLine="400"/>
              <w:jc w:val="both"/>
            </w:pPr>
            <w:r>
              <w:rPr>
                <w:rFonts w:ascii="仿宋_GB2312" w:hAnsi="仿宋_GB2312" w:cs="仿宋_GB2312" w:eastAsia="仿宋_GB2312"/>
                <w:sz w:val="20"/>
              </w:rPr>
              <w:t>在系统运行开始后（试运行开始）</w:t>
            </w:r>
            <w:r>
              <w:rPr>
                <w:rFonts w:ascii="仿宋_GB2312" w:hAnsi="仿宋_GB2312" w:cs="仿宋_GB2312" w:eastAsia="仿宋_GB2312"/>
                <w:sz w:val="20"/>
              </w:rPr>
              <w:t>15天内，中标方完成对所有人员的培训。</w:t>
            </w:r>
          </w:p>
          <w:p>
            <w:pPr>
              <w:pStyle w:val="null3"/>
              <w:jc w:val="left"/>
              <w:outlineLvl w:val="0"/>
            </w:pPr>
            <w:r>
              <w:rPr>
                <w:rFonts w:ascii="仿宋_GB2312" w:hAnsi="仿宋_GB2312" w:cs="仿宋_GB2312" w:eastAsia="仿宋_GB2312"/>
                <w:sz w:val="20"/>
                <w:b/>
              </w:rPr>
              <w:t>六、运维保障服务</w:t>
            </w:r>
          </w:p>
          <w:p>
            <w:pPr>
              <w:pStyle w:val="null3"/>
              <w:ind w:firstLine="400"/>
              <w:jc w:val="both"/>
            </w:pPr>
            <w:r>
              <w:rPr>
                <w:rFonts w:ascii="仿宋_GB2312" w:hAnsi="仿宋_GB2312" w:cs="仿宋_GB2312" w:eastAsia="仿宋_GB2312"/>
                <w:sz w:val="20"/>
              </w:rPr>
              <w:t>本项目的设备、材料提供三年的质保，项目验收后三年内提供因设备、材料故障原因导致的施工费及材料费。维护内容包括：</w:t>
            </w:r>
          </w:p>
          <w:p>
            <w:pPr>
              <w:pStyle w:val="null3"/>
              <w:ind w:firstLine="400"/>
              <w:jc w:val="both"/>
            </w:pPr>
            <w:r>
              <w:rPr>
                <w:rFonts w:ascii="仿宋_GB2312" w:hAnsi="仿宋_GB2312" w:cs="仿宋_GB2312" w:eastAsia="仿宋_GB2312"/>
                <w:sz w:val="20"/>
              </w:rPr>
              <w:t>针对所有设备提供日监控及巡检服务：日监控、季巡查（包含冬季除冰、日常杂物处理等），针对设备运行情况、设备指标、端口利用率、传输链路日常维护等提供详细的报表。</w:t>
            </w:r>
          </w:p>
          <w:p>
            <w:pPr>
              <w:pStyle w:val="null3"/>
              <w:ind w:firstLine="400"/>
              <w:jc w:val="both"/>
            </w:pPr>
            <w:r>
              <w:rPr>
                <w:rFonts w:ascii="仿宋_GB2312" w:hAnsi="仿宋_GB2312" w:cs="仿宋_GB2312" w:eastAsia="仿宋_GB2312"/>
                <w:sz w:val="20"/>
              </w:rPr>
              <w:t>故障恢复：发生故障后（包括视频丢失、服务停止、线路断开等异常情况等），相关责任人员应第一时间响应，并前往现场进行修复。</w:t>
            </w:r>
          </w:p>
          <w:p>
            <w:pPr>
              <w:pStyle w:val="null3"/>
              <w:ind w:firstLine="400"/>
              <w:jc w:val="both"/>
            </w:pPr>
            <w:r>
              <w:rPr>
                <w:rFonts w:ascii="仿宋_GB2312" w:hAnsi="仿宋_GB2312" w:cs="仿宋_GB2312" w:eastAsia="仿宋_GB2312"/>
                <w:sz w:val="20"/>
              </w:rPr>
              <w:t>备品备件：前端主设备（摄像机）提供维修服务，配套设施（电源模块、线材及辅材等）提供换新服务。</w:t>
            </w:r>
          </w:p>
          <w:p>
            <w:pPr>
              <w:pStyle w:val="null3"/>
              <w:numPr>
                <w:ilvl w:val="0"/>
                <w:numId w:val="1"/>
              </w:numPr>
              <w:ind w:left="240"/>
              <w:jc w:val="both"/>
            </w:pPr>
            <w:r>
              <w:rPr>
                <w:rFonts w:ascii="仿宋_GB2312" w:hAnsi="仿宋_GB2312" w:cs="仿宋_GB2312" w:eastAsia="仿宋_GB2312"/>
                <w:sz w:val="20"/>
                <w:b/>
              </w:rPr>
              <w:t>故障响应</w:t>
            </w:r>
          </w:p>
          <w:p>
            <w:pPr>
              <w:pStyle w:val="null3"/>
              <w:ind w:firstLine="404"/>
            </w:pPr>
            <w:r>
              <w:rPr>
                <w:rFonts w:ascii="仿宋_GB2312" w:hAnsi="仿宋_GB2312" w:cs="仿宋_GB2312" w:eastAsia="仿宋_GB2312"/>
                <w:sz w:val="20"/>
              </w:rPr>
              <w:t>需要设立针对本项目的技术支持中心及售后服务支持机构，并提供每周七天每天</w:t>
            </w:r>
            <w:r>
              <w:rPr>
                <w:rFonts w:ascii="仿宋_GB2312" w:hAnsi="仿宋_GB2312" w:cs="仿宋_GB2312" w:eastAsia="仿宋_GB2312"/>
                <w:sz w:val="20"/>
              </w:rPr>
              <w:t>24小时的热线电话，接受并处理客户故障申告的服务。客户支持服务中心提供手机、电话、传真、电子邮件和远程拨号等在线支持方式。所有接受到的客户电话、电子邮件和传真等都将记录在案，并被跟踪直至彻底解决，直到客户确认为止。</w:t>
            </w:r>
          </w:p>
          <w:p>
            <w:pPr>
              <w:pStyle w:val="null3"/>
              <w:ind w:firstLine="404"/>
            </w:pPr>
            <w:r>
              <w:rPr>
                <w:rFonts w:ascii="仿宋_GB2312" w:hAnsi="仿宋_GB2312" w:cs="仿宋_GB2312" w:eastAsia="仿宋_GB2312"/>
                <w:sz w:val="20"/>
              </w:rPr>
              <w:t>设立针对本项目的专业维护人员，并提供每周七天每天</w:t>
            </w:r>
            <w:r>
              <w:rPr>
                <w:rFonts w:ascii="仿宋_GB2312" w:hAnsi="仿宋_GB2312" w:cs="仿宋_GB2312" w:eastAsia="仿宋_GB2312"/>
                <w:sz w:val="20"/>
              </w:rPr>
              <w:t>24小时的现场维护服务。</w:t>
            </w:r>
          </w:p>
          <w:p>
            <w:pPr>
              <w:pStyle w:val="null3"/>
              <w:numPr>
                <w:ilvl w:val="0"/>
                <w:numId w:val="1"/>
              </w:numPr>
              <w:ind w:left="240"/>
              <w:jc w:val="both"/>
            </w:pPr>
            <w:r>
              <w:rPr>
                <w:rFonts w:ascii="仿宋_GB2312" w:hAnsi="仿宋_GB2312" w:cs="仿宋_GB2312" w:eastAsia="仿宋_GB2312"/>
                <w:sz w:val="20"/>
                <w:b/>
              </w:rPr>
              <w:t>故障定义</w:t>
            </w:r>
          </w:p>
          <w:p>
            <w:pPr>
              <w:pStyle w:val="null3"/>
              <w:ind w:firstLine="400"/>
            </w:pPr>
            <w:r>
              <w:rPr>
                <w:rFonts w:ascii="仿宋_GB2312" w:hAnsi="仿宋_GB2312" w:cs="仿宋_GB2312" w:eastAsia="仿宋_GB2312"/>
                <w:sz w:val="20"/>
              </w:rPr>
              <w:t>紧急故障：系统瘫痪。</w:t>
            </w:r>
          </w:p>
          <w:p>
            <w:pPr>
              <w:pStyle w:val="null3"/>
              <w:ind w:firstLine="400"/>
            </w:pPr>
            <w:r>
              <w:rPr>
                <w:rFonts w:ascii="仿宋_GB2312" w:hAnsi="仿宋_GB2312" w:cs="仿宋_GB2312" w:eastAsia="仿宋_GB2312"/>
                <w:sz w:val="20"/>
              </w:rPr>
              <w:t>严重故障：某台设备无法正常工作，相应功能丧失。</w:t>
            </w:r>
          </w:p>
          <w:p>
            <w:pPr>
              <w:pStyle w:val="null3"/>
              <w:ind w:firstLine="400"/>
            </w:pPr>
            <w:r>
              <w:rPr>
                <w:rFonts w:ascii="仿宋_GB2312" w:hAnsi="仿宋_GB2312" w:cs="仿宋_GB2312" w:eastAsia="仿宋_GB2312"/>
                <w:sz w:val="20"/>
              </w:rPr>
              <w:t>一般故障：系统仍能运行，但运行不稳定，相应功能未丧失。</w:t>
            </w:r>
          </w:p>
          <w:p>
            <w:pPr>
              <w:pStyle w:val="null3"/>
              <w:ind w:firstLine="400"/>
            </w:pPr>
            <w:r>
              <w:rPr>
                <w:rFonts w:ascii="仿宋_GB2312" w:hAnsi="仿宋_GB2312" w:cs="仿宋_GB2312" w:eastAsia="仿宋_GB2312"/>
                <w:sz w:val="20"/>
              </w:rPr>
              <w:t>技术支持中心和售后服务支持中心在收到客户的故障申告后，委派技术支持工程师通过电话交流、现场勘察等手段进行初步故障定位。对于非设备本身引起的故障，由技术支持工程师负责解决，对于设备本身故障，技术工程师根据故障严重程度协商进行应急处理，同时立即通知设备厂商提供进一步的技术支持。</w:t>
            </w:r>
          </w:p>
          <w:p>
            <w:pPr>
              <w:pStyle w:val="null3"/>
              <w:ind w:firstLine="404"/>
            </w:pPr>
            <w:r>
              <w:rPr>
                <w:rFonts w:ascii="仿宋_GB2312" w:hAnsi="仿宋_GB2312" w:cs="仿宋_GB2312" w:eastAsia="仿宋_GB2312"/>
                <w:sz w:val="20"/>
              </w:rPr>
              <w:t>故障响应</w:t>
            </w:r>
            <w:r>
              <w:rPr>
                <w:rFonts w:ascii="仿宋_GB2312" w:hAnsi="仿宋_GB2312" w:cs="仿宋_GB2312" w:eastAsia="仿宋_GB2312"/>
                <w:sz w:val="20"/>
              </w:rPr>
              <w:t>及修复时间</w:t>
            </w:r>
          </w:p>
          <w:p>
            <w:pPr>
              <w:pStyle w:val="null3"/>
              <w:ind w:firstLine="404"/>
            </w:pPr>
            <w:r>
              <w:rPr>
                <w:rFonts w:ascii="仿宋_GB2312" w:hAnsi="仿宋_GB2312" w:cs="仿宋_GB2312" w:eastAsia="仿宋_GB2312"/>
                <w:sz w:val="20"/>
              </w:rPr>
              <w:t>针对以上故障定义的不同，就故障响应</w:t>
            </w:r>
            <w:r>
              <w:rPr>
                <w:rFonts w:ascii="仿宋_GB2312" w:hAnsi="仿宋_GB2312" w:cs="仿宋_GB2312" w:eastAsia="仿宋_GB2312"/>
                <w:sz w:val="20"/>
              </w:rPr>
              <w:t>及修复</w:t>
            </w:r>
            <w:r>
              <w:rPr>
                <w:rFonts w:ascii="仿宋_GB2312" w:hAnsi="仿宋_GB2312" w:cs="仿宋_GB2312" w:eastAsia="仿宋_GB2312"/>
                <w:sz w:val="20"/>
              </w:rPr>
              <w:t>时间做出以下标准：</w:t>
            </w:r>
          </w:p>
          <w:tbl>
            <w:tblPr>
              <w:tblBorders>
                <w:top w:val="none" w:color="000000" w:sz="4"/>
                <w:left w:val="none" w:color="000000" w:sz="4"/>
                <w:bottom w:val="none" w:color="000000" w:sz="4"/>
                <w:right w:val="none" w:color="000000" w:sz="4"/>
                <w:insideH w:val="none"/>
                <w:insideV w:val="none"/>
              </w:tblBorders>
            </w:tblPr>
            <w:tblGrid>
              <w:gridCol w:w="525"/>
              <w:gridCol w:w="467"/>
              <w:gridCol w:w="691"/>
              <w:gridCol w:w="857"/>
            </w:tblGrid>
            <w:tr>
              <w:tc>
                <w:tcPr>
                  <w:tcW w:type="dxa" w:w="52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故障类型</w:t>
                  </w:r>
                </w:p>
              </w:tc>
              <w:tc>
                <w:tcPr>
                  <w:tcW w:type="dxa" w:w="46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电话响应</w:t>
                  </w:r>
                </w:p>
              </w:tc>
              <w:tc>
                <w:tcPr>
                  <w:tcW w:type="dxa" w:w="69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现场响应</w:t>
                  </w:r>
                </w:p>
              </w:tc>
              <w:tc>
                <w:tcPr>
                  <w:tcW w:type="dxa" w:w="8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现场修复</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紧急故障</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2小时</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24小时</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严重故障</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立即</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3小时</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48小时</w:t>
                  </w:r>
                </w:p>
              </w:tc>
            </w:tr>
            <w:tr>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一般故障</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1小时</w:t>
                  </w:r>
                </w:p>
              </w:tc>
              <w:tc>
                <w:tcPr>
                  <w:tcW w:type="dxa" w:w="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4小时</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72小时</w:t>
                  </w:r>
                </w:p>
              </w:tc>
            </w:tr>
          </w:tbl>
          <w:p>
            <w:pPr>
              <w:pStyle w:val="null3"/>
              <w:ind w:firstLine="400"/>
            </w:pPr>
            <w:r>
              <w:rPr>
                <w:rFonts w:ascii="仿宋_GB2312" w:hAnsi="仿宋_GB2312" w:cs="仿宋_GB2312" w:eastAsia="仿宋_GB2312"/>
                <w:sz w:val="20"/>
              </w:rPr>
              <w:t>注：因特殊天气或其它不可抗拒的因素，修复时间可以相应顺延。</w:t>
            </w:r>
          </w:p>
          <w:p>
            <w:pPr>
              <w:pStyle w:val="null3"/>
              <w:numPr>
                <w:ilvl w:val="0"/>
                <w:numId w:val="1"/>
              </w:numPr>
              <w:ind w:left="240"/>
              <w:jc w:val="both"/>
            </w:pPr>
            <w:r>
              <w:rPr>
                <w:rFonts w:ascii="仿宋_GB2312" w:hAnsi="仿宋_GB2312" w:cs="仿宋_GB2312" w:eastAsia="仿宋_GB2312"/>
                <w:sz w:val="20"/>
                <w:b/>
              </w:rPr>
              <w:t>维护内容</w:t>
            </w:r>
          </w:p>
          <w:p>
            <w:pPr>
              <w:pStyle w:val="null3"/>
              <w:ind w:firstLine="400"/>
            </w:pPr>
            <w:r>
              <w:rPr>
                <w:rFonts w:ascii="仿宋_GB2312" w:hAnsi="仿宋_GB2312" w:cs="仿宋_GB2312" w:eastAsia="仿宋_GB2312"/>
                <w:sz w:val="20"/>
                <w:color w:val="000000"/>
              </w:rPr>
              <w:t>满足摄像机设备成像无遮挡、无干扰；保证云台转幅精度，电源及网络配套稳定安全。</w:t>
            </w:r>
          </w:p>
          <w:p>
            <w:pPr>
              <w:pStyle w:val="null3"/>
              <w:ind w:firstLine="400"/>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按时修复故障。按照</w:t>
            </w:r>
            <w:r>
              <w:rPr>
                <w:rFonts w:ascii="仿宋_GB2312" w:hAnsi="仿宋_GB2312" w:cs="仿宋_GB2312" w:eastAsia="仿宋_GB2312"/>
                <w:sz w:val="20"/>
                <w:color w:val="000000"/>
              </w:rPr>
              <w:t>故障响应时间</w:t>
            </w:r>
            <w:r>
              <w:rPr>
                <w:rFonts w:ascii="仿宋_GB2312" w:hAnsi="仿宋_GB2312" w:cs="仿宋_GB2312" w:eastAsia="仿宋_GB2312"/>
                <w:sz w:val="20"/>
                <w:color w:val="000000"/>
              </w:rPr>
              <w:t>和</w:t>
            </w:r>
            <w:r>
              <w:rPr>
                <w:rFonts w:ascii="仿宋_GB2312" w:hAnsi="仿宋_GB2312" w:cs="仿宋_GB2312" w:eastAsia="仿宋_GB2312"/>
                <w:sz w:val="20"/>
                <w:color w:val="000000"/>
              </w:rPr>
              <w:t>故障修复时间</w:t>
            </w:r>
            <w:r>
              <w:rPr>
                <w:rFonts w:ascii="仿宋_GB2312" w:hAnsi="仿宋_GB2312" w:cs="仿宋_GB2312" w:eastAsia="仿宋_GB2312"/>
                <w:sz w:val="20"/>
                <w:color w:val="000000"/>
              </w:rPr>
              <w:t>按时完成故障修复。</w:t>
            </w:r>
          </w:p>
          <w:p>
            <w:pPr>
              <w:pStyle w:val="null3"/>
              <w:ind w:firstLine="400"/>
            </w:pPr>
            <w:r>
              <w:rPr>
                <w:rFonts w:ascii="仿宋_GB2312" w:hAnsi="仿宋_GB2312" w:cs="仿宋_GB2312" w:eastAsia="仿宋_GB2312"/>
                <w:sz w:val="20"/>
                <w:color w:val="000000"/>
              </w:rPr>
              <w:t>2）季巡查。做好巡检计划，每季度至少巡视站点1次，并做好巡查记录。要求至少完成以下工作：</w:t>
            </w:r>
          </w:p>
          <w:p>
            <w:pPr>
              <w:pStyle w:val="null3"/>
              <w:numPr>
                <w:ilvl w:val="0"/>
                <w:numId w:val="2"/>
              </w:numPr>
              <w:ind w:left="375"/>
            </w:pPr>
            <w:r>
              <w:rPr>
                <w:rFonts w:ascii="仿宋_GB2312" w:hAnsi="仿宋_GB2312" w:cs="仿宋_GB2312" w:eastAsia="仿宋_GB2312"/>
                <w:sz w:val="20"/>
                <w:color w:val="000000"/>
              </w:rPr>
              <w:t>摄像机类镜头清洗（带雨刷功能摄像机可适当延长）；</w:t>
            </w:r>
          </w:p>
          <w:p>
            <w:pPr>
              <w:pStyle w:val="null3"/>
              <w:numPr>
                <w:ilvl w:val="0"/>
                <w:numId w:val="2"/>
              </w:numPr>
              <w:ind w:left="375"/>
            </w:pPr>
            <w:r>
              <w:rPr>
                <w:rFonts w:ascii="仿宋_GB2312" w:hAnsi="仿宋_GB2312" w:cs="仿宋_GB2312" w:eastAsia="仿宋_GB2312"/>
                <w:sz w:val="20"/>
                <w:color w:val="000000"/>
              </w:rPr>
              <w:t>监测类耗材维护，如线缆、通信线缆等；</w:t>
            </w:r>
          </w:p>
          <w:p>
            <w:pPr>
              <w:pStyle w:val="null3"/>
              <w:numPr>
                <w:ilvl w:val="0"/>
                <w:numId w:val="2"/>
              </w:numPr>
              <w:ind w:left="375"/>
            </w:pPr>
            <w:r>
              <w:rPr>
                <w:rFonts w:ascii="仿宋_GB2312" w:hAnsi="仿宋_GB2312" w:cs="仿宋_GB2312" w:eastAsia="仿宋_GB2312"/>
                <w:sz w:val="20"/>
                <w:color w:val="000000"/>
              </w:rPr>
              <w:t>云台设备密封性检查、保养。</w:t>
            </w:r>
          </w:p>
          <w:p>
            <w:pPr>
              <w:pStyle w:val="null3"/>
              <w:ind w:firstLine="400"/>
            </w:pPr>
            <w:r>
              <w:rPr>
                <w:rFonts w:ascii="仿宋_GB2312" w:hAnsi="仿宋_GB2312" w:cs="仿宋_GB2312" w:eastAsia="仿宋_GB2312"/>
                <w:sz w:val="20"/>
                <w:color w:val="000000"/>
              </w:rPr>
              <w:t>3）视频资源共享。</w:t>
            </w:r>
          </w:p>
          <w:p>
            <w:pPr>
              <w:pStyle w:val="null3"/>
              <w:numPr>
                <w:ilvl w:val="0"/>
                <w:numId w:val="1"/>
              </w:numPr>
              <w:ind w:left="240"/>
              <w:jc w:val="both"/>
            </w:pPr>
            <w:r>
              <w:rPr>
                <w:rFonts w:ascii="仿宋_GB2312" w:hAnsi="仿宋_GB2312" w:cs="仿宋_GB2312" w:eastAsia="仿宋_GB2312"/>
                <w:sz w:val="20"/>
                <w:b/>
              </w:rPr>
              <w:t>运维绩效考核</w:t>
            </w:r>
          </w:p>
          <w:p>
            <w:pPr>
              <w:pStyle w:val="null3"/>
              <w:ind w:firstLine="480"/>
            </w:pPr>
            <w:r>
              <w:rPr>
                <w:rFonts w:ascii="仿宋_GB2312" w:hAnsi="仿宋_GB2312" w:cs="仿宋_GB2312" w:eastAsia="仿宋_GB2312"/>
                <w:sz w:val="20"/>
              </w:rPr>
              <w:t>为确保该项目的服务质量，需按时提交月考核及年度考核资料，考核按照如下标准进行。</w:t>
            </w:r>
          </w:p>
          <w:p>
            <w:pPr>
              <w:pStyle w:val="null3"/>
              <w:ind w:firstLine="480"/>
            </w:pPr>
            <w:r>
              <w:rPr>
                <w:rFonts w:ascii="仿宋_GB2312" w:hAnsi="仿宋_GB2312" w:cs="仿宋_GB2312" w:eastAsia="仿宋_GB2312"/>
                <w:sz w:val="20"/>
              </w:rPr>
              <w:t>设备完好率：每月正常运行的高点像机数量与设备总数的比值，目标值</w:t>
            </w:r>
            <w:r>
              <w:rPr>
                <w:rFonts w:ascii="仿宋_GB2312" w:hAnsi="仿宋_GB2312" w:cs="仿宋_GB2312" w:eastAsia="仿宋_GB2312"/>
                <w:sz w:val="20"/>
              </w:rPr>
              <w:t>≥95%。</w:t>
            </w:r>
          </w:p>
          <w:p>
            <w:pPr>
              <w:pStyle w:val="null3"/>
              <w:ind w:firstLine="480"/>
            </w:pPr>
            <w:r>
              <w:rPr>
                <w:rFonts w:ascii="仿宋_GB2312" w:hAnsi="仿宋_GB2312" w:cs="仿宋_GB2312" w:eastAsia="仿宋_GB2312"/>
                <w:sz w:val="20"/>
              </w:rPr>
              <w:t>监控数据传输及时率：实时传输至监管平台的有效数据量与总采集数据量的比值，目标值</w:t>
            </w:r>
            <w:r>
              <w:rPr>
                <w:rFonts w:ascii="仿宋_GB2312" w:hAnsi="仿宋_GB2312" w:cs="仿宋_GB2312" w:eastAsia="仿宋_GB2312"/>
                <w:sz w:val="20"/>
              </w:rPr>
              <w:t>≥98%。</w:t>
            </w:r>
          </w:p>
          <w:p>
            <w:pPr>
              <w:pStyle w:val="null3"/>
              <w:ind w:firstLine="480"/>
            </w:pPr>
            <w:r>
              <w:rPr>
                <w:rFonts w:ascii="仿宋_GB2312" w:hAnsi="仿宋_GB2312" w:cs="仿宋_GB2312" w:eastAsia="仿宋_GB2312"/>
                <w:sz w:val="20"/>
              </w:rPr>
              <w:t>故障响应及时率：运维团队接到故障报警后，在规定时间到达现场的次数与总故障次数的比值，目标值</w:t>
            </w:r>
            <w:r>
              <w:rPr>
                <w:rFonts w:ascii="仿宋_GB2312" w:hAnsi="仿宋_GB2312" w:cs="仿宋_GB2312" w:eastAsia="仿宋_GB2312"/>
                <w:sz w:val="20"/>
              </w:rPr>
              <w:t>≥90%。</w:t>
            </w:r>
          </w:p>
          <w:p>
            <w:pPr>
              <w:pStyle w:val="null3"/>
              <w:ind w:firstLine="480"/>
            </w:pPr>
            <w:r>
              <w:rPr>
                <w:rFonts w:ascii="仿宋_GB2312" w:hAnsi="仿宋_GB2312" w:cs="仿宋_GB2312" w:eastAsia="仿宋_GB2312"/>
                <w:sz w:val="20"/>
              </w:rPr>
              <w:t>故障修复率：成功修复的故障数量与总故障数量的比值，目标值</w:t>
            </w:r>
            <w:r>
              <w:rPr>
                <w:rFonts w:ascii="仿宋_GB2312" w:hAnsi="仿宋_GB2312" w:cs="仿宋_GB2312" w:eastAsia="仿宋_GB2312"/>
                <w:sz w:val="20"/>
              </w:rPr>
              <w:t>≥98%。</w:t>
            </w:r>
          </w:p>
          <w:p>
            <w:pPr>
              <w:pStyle w:val="null3"/>
              <w:ind w:firstLine="480"/>
            </w:pPr>
            <w:r>
              <w:rPr>
                <w:rFonts w:ascii="仿宋_GB2312" w:hAnsi="仿宋_GB2312" w:cs="仿宋_GB2312" w:eastAsia="仿宋_GB2312"/>
                <w:sz w:val="20"/>
              </w:rPr>
              <w:t>发现及时率：通过项目监测系统发现的火点及生态破坏事件数量与实际发生的生态破坏事件数量的比值，目标值</w:t>
            </w:r>
            <w:r>
              <w:rPr>
                <w:rFonts w:ascii="仿宋_GB2312" w:hAnsi="仿宋_GB2312" w:cs="仿宋_GB2312" w:eastAsia="仿宋_GB2312"/>
                <w:sz w:val="20"/>
              </w:rPr>
              <w:t>≥90%。</w:t>
            </w:r>
          </w:p>
          <w:p>
            <w:pPr>
              <w:pStyle w:val="null3"/>
              <w:numPr>
                <w:ilvl w:val="0"/>
                <w:numId w:val="1"/>
              </w:numPr>
              <w:ind w:left="240"/>
              <w:jc w:val="both"/>
            </w:pPr>
            <w:r>
              <w:rPr>
                <w:rFonts w:ascii="仿宋_GB2312" w:hAnsi="仿宋_GB2312" w:cs="仿宋_GB2312" w:eastAsia="仿宋_GB2312"/>
                <w:sz w:val="20"/>
                <w:b/>
              </w:rPr>
              <w:t>应急保障</w:t>
            </w:r>
          </w:p>
          <w:p>
            <w:pPr>
              <w:pStyle w:val="null3"/>
              <w:ind w:firstLine="480"/>
            </w:pPr>
            <w:r>
              <w:rPr>
                <w:rFonts w:ascii="仿宋_GB2312" w:hAnsi="仿宋_GB2312" w:cs="仿宋_GB2312" w:eastAsia="仿宋_GB2312"/>
                <w:sz w:val="20"/>
              </w:rPr>
              <w:t>为有效防范与处置各类突发风险，需建立健全应急响应机制，重点围绕安全事件、重保管理、突发事件三大核心场景，制定针对性强、流程清晰的详细应急预案。</w:t>
            </w:r>
          </w:p>
          <w:p>
            <w:pPr>
              <w:pStyle w:val="null3"/>
              <w:ind w:firstLine="480"/>
            </w:pPr>
            <w:r>
              <w:rPr>
                <w:rFonts w:ascii="仿宋_GB2312" w:hAnsi="仿宋_GB2312" w:cs="仿宋_GB2312" w:eastAsia="仿宋_GB2312"/>
                <w:sz w:val="20"/>
              </w:rPr>
              <w:t>当安全事件发生时，需第一时间启动应急响应流程：优先对受影响的设备及网络区域实施隔离，阻断风险传导路径；同时严格确保故障响应时间符合运维服务标准，以快速控制事态发展，坚决防止事件进一步扩散，最大限度降低负面影响。</w:t>
            </w:r>
          </w:p>
          <w:p>
            <w:pPr>
              <w:pStyle w:val="null3"/>
              <w:jc w:val="left"/>
              <w:outlineLvl w:val="0"/>
            </w:pPr>
            <w:r>
              <w:rPr>
                <w:rFonts w:ascii="仿宋_GB2312" w:hAnsi="仿宋_GB2312" w:cs="仿宋_GB2312" w:eastAsia="仿宋_GB2312"/>
                <w:sz w:val="20"/>
                <w:b/>
              </w:rPr>
              <w:t>七、建设周期</w:t>
            </w:r>
          </w:p>
          <w:p>
            <w:pPr>
              <w:pStyle w:val="null3"/>
              <w:ind w:firstLine="404"/>
            </w:pPr>
            <w:r>
              <w:rPr>
                <w:rFonts w:ascii="仿宋_GB2312" w:hAnsi="仿宋_GB2312" w:cs="仿宋_GB2312" w:eastAsia="仿宋_GB2312"/>
                <w:sz w:val="20"/>
              </w:rPr>
              <w:t>签订合同后</w:t>
            </w:r>
            <w:r>
              <w:rPr>
                <w:rFonts w:ascii="仿宋_GB2312" w:hAnsi="仿宋_GB2312" w:cs="仿宋_GB2312" w:eastAsia="仿宋_GB2312"/>
                <w:sz w:val="20"/>
              </w:rPr>
              <w:t>6</w:t>
            </w:r>
            <w:r>
              <w:rPr>
                <w:rFonts w:ascii="仿宋_GB2312" w:hAnsi="仿宋_GB2312" w:cs="仿宋_GB2312" w:eastAsia="仿宋_GB2312"/>
                <w:sz w:val="20"/>
              </w:rPr>
              <w:t>0天（自然日）内完成</w:t>
            </w:r>
            <w:r>
              <w:rPr>
                <w:rFonts w:ascii="仿宋_GB2312" w:hAnsi="仿宋_GB2312" w:cs="仿宋_GB2312" w:eastAsia="仿宋_GB2312"/>
                <w:sz w:val="20"/>
              </w:rPr>
              <w:t>36</w:t>
            </w:r>
            <w:r>
              <w:rPr>
                <w:rFonts w:ascii="仿宋_GB2312" w:hAnsi="仿宋_GB2312" w:cs="仿宋_GB2312" w:eastAsia="仿宋_GB2312"/>
                <w:sz w:val="20"/>
              </w:rPr>
              <w:t>个</w:t>
            </w:r>
            <w:r>
              <w:rPr>
                <w:rFonts w:ascii="仿宋_GB2312" w:hAnsi="仿宋_GB2312" w:cs="仿宋_GB2312" w:eastAsia="仿宋_GB2312"/>
                <w:sz w:val="20"/>
              </w:rPr>
              <w:t>监控点设备的采购，安装，调测，并交付使用</w:t>
            </w:r>
            <w:r>
              <w:rPr>
                <w:rFonts w:ascii="仿宋_GB2312" w:hAnsi="仿宋_GB2312" w:cs="仿宋_GB2312" w:eastAsia="仿宋_GB2312"/>
                <w:sz w:val="20"/>
              </w:rPr>
              <w:t>。</w:t>
            </w:r>
          </w:p>
          <w:p>
            <w:pPr>
              <w:pStyle w:val="null3"/>
              <w:jc w:val="both"/>
            </w:pP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20"/>
                <w:b/>
              </w:rPr>
              <w:t>八、监控区域信息表</w:t>
            </w:r>
          </w:p>
          <w:tbl>
            <w:tblPr>
              <w:tblInd w:type="dxa" w:w="135"/>
              <w:tblBorders>
                <w:top w:val="none" w:color="000000" w:sz="4"/>
                <w:left w:val="none" w:color="000000" w:sz="4"/>
                <w:bottom w:val="none" w:color="000000" w:sz="4"/>
                <w:right w:val="none" w:color="000000" w:sz="4"/>
                <w:insideH w:val="none"/>
                <w:insideV w:val="none"/>
              </w:tblBorders>
            </w:tblPr>
            <w:tblGrid>
              <w:gridCol w:w="260"/>
              <w:gridCol w:w="614"/>
              <w:gridCol w:w="1672"/>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区县</w:t>
                  </w:r>
                </w:p>
              </w:tc>
              <w:tc>
                <w:tcPr>
                  <w:tcW w:type="dxa" w:w="16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点位名称</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曹家滩村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三河村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马鞍桥</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双庙村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三兴村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观音庙</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庙沟村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老庄子</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钓鱼台村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钓鱼台村一组</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花耳坪村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官庄村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13</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共兴村（</w:t>
                  </w:r>
                  <w:r>
                    <w:rPr>
                      <w:rFonts w:ascii="仿宋_GB2312" w:hAnsi="仿宋_GB2312" w:cs="仿宋_GB2312" w:eastAsia="仿宋_GB2312"/>
                      <w:sz w:val="20"/>
                      <w:color w:val="000000"/>
                    </w:rPr>
                    <w:t>108国道1400公里）</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14</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周至县</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板房子镇</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15</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光头山</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16</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太乙宫</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17</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喂子坪村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18</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黎园坪</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19</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太平村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20</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南豆角村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21</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小峪河四组</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22</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地质八队</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23</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蛟峪山</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24</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大峪水库</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25</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皇峪寺</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26</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石砭峪口</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27</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长安区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凤翔沟村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28</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鄠邑区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朱雀画眉岭</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29</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鄠邑区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教场村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30</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鄠邑区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朱雀收费站</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31</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鄠邑区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大庄坪村</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32</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鄠邑区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太平森林公园入口</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33</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灞桥区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岳家沟</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34</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临潼区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芋坡村仁宗中心小学</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35</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临潼区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庄王村芋东岳机关</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36</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临潼区</w:t>
                  </w:r>
                </w:p>
              </w:tc>
              <w:tc>
                <w:tcPr>
                  <w:tcW w:type="dxa" w:w="167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0000"/>
                    </w:rPr>
                    <w:t>玉川村</w:t>
                  </w:r>
                </w:p>
              </w:tc>
            </w:tr>
          </w:tbl>
          <w:p>
            <w:pPr>
              <w:pStyle w:val="null3"/>
              <w:jc w:val="both"/>
            </w:pPr>
            <w:r>
              <w:rPr>
                <w:rFonts w:ascii="仿宋_GB2312" w:hAnsi="仿宋_GB2312" w:cs="仿宋_GB2312" w:eastAsia="仿宋_GB2312"/>
                <w:sz w:val="20"/>
              </w:rPr>
              <w:t>备注：</w:t>
            </w:r>
            <w:r>
              <w:rPr>
                <w:rFonts w:ascii="仿宋_GB2312" w:hAnsi="仿宋_GB2312" w:cs="仿宋_GB2312" w:eastAsia="仿宋_GB2312"/>
                <w:sz w:val="20"/>
              </w:rPr>
              <w:t>1.具体建设点位，以本项目实际需求为准。</w:t>
            </w:r>
          </w:p>
          <w:p>
            <w:pPr>
              <w:pStyle w:val="null3"/>
              <w:jc w:val="both"/>
            </w:pPr>
            <w:r>
              <w:rPr>
                <w:rFonts w:ascii="仿宋_GB2312" w:hAnsi="仿宋_GB2312" w:cs="仿宋_GB2312" w:eastAsia="仿宋_GB2312"/>
                <w:sz w:val="20"/>
              </w:rPr>
              <w:t xml:space="preserve">              2.</w:t>
            </w:r>
            <w:r>
              <w:rPr>
                <w:rFonts w:ascii="仿宋_GB2312" w:hAnsi="仿宋_GB2312" w:cs="仿宋_GB2312" w:eastAsia="仿宋_GB2312"/>
                <w:sz w:val="20"/>
              </w:rPr>
              <w:t>信息表既定区域内，目标监控、监测为近林区域烟火易发地。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标的名称：完成西安市秦岭区域生态保护管理补盲项目监理服务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150"/>
              <w:jc w:val="center"/>
            </w:pPr>
            <w:r>
              <w:rPr>
                <w:rFonts w:ascii="仿宋_GB2312" w:hAnsi="仿宋_GB2312" w:cs="仿宋_GB2312" w:eastAsia="仿宋_GB2312"/>
                <w:sz w:val="22"/>
                <w:b/>
              </w:rPr>
              <w:t>监理服务内容和要求</w:t>
            </w:r>
          </w:p>
          <w:p>
            <w:pPr>
              <w:pStyle w:val="null3"/>
              <w:ind w:firstLine="472"/>
              <w:jc w:val="both"/>
            </w:pPr>
            <w:r>
              <w:rPr>
                <w:rFonts w:ascii="仿宋_GB2312" w:hAnsi="仿宋_GB2312" w:cs="仿宋_GB2312" w:eastAsia="仿宋_GB2312"/>
                <w:sz w:val="20"/>
              </w:rPr>
              <w:t>本</w:t>
            </w:r>
            <w:r>
              <w:rPr>
                <w:rFonts w:ascii="仿宋_GB2312" w:hAnsi="仿宋_GB2312" w:cs="仿宋_GB2312" w:eastAsia="仿宋_GB2312"/>
                <w:sz w:val="20"/>
              </w:rPr>
              <w:t>项目监理服务内容及要求</w:t>
            </w:r>
            <w:r>
              <w:rPr>
                <w:rFonts w:ascii="仿宋_GB2312" w:hAnsi="仿宋_GB2312" w:cs="仿宋_GB2312" w:eastAsia="仿宋_GB2312"/>
                <w:sz w:val="20"/>
              </w:rPr>
              <w:t>是对</w:t>
            </w:r>
            <w:r>
              <w:rPr>
                <w:rFonts w:ascii="仿宋_GB2312" w:hAnsi="仿宋_GB2312" w:cs="仿宋_GB2312" w:eastAsia="仿宋_GB2312"/>
                <w:sz w:val="20"/>
              </w:rPr>
              <w:t>西安市秦岭区域生态保护监管补盲项目（一期）</w:t>
            </w:r>
            <w:r>
              <w:rPr>
                <w:rFonts w:ascii="仿宋_GB2312" w:hAnsi="仿宋_GB2312" w:cs="仿宋_GB2312" w:eastAsia="仿宋_GB2312"/>
                <w:sz w:val="20"/>
              </w:rPr>
              <w:t>项目，工程设计阶段、工程实施阶段和工程验收阶段的质量控制、进度控制、投资控制、变更控制，合同管理、文档资料管理、信息安全管理、工作关系协调，以及全程咨询、技术指导、项目评估等服务提出的最低要求，并与投标响应文件一起作为合同附件。</w:t>
            </w:r>
          </w:p>
          <w:p>
            <w:pPr>
              <w:pStyle w:val="null3"/>
              <w:ind w:firstLine="472"/>
              <w:jc w:val="both"/>
            </w:pPr>
            <w:r>
              <w:rPr>
                <w:rFonts w:ascii="仿宋_GB2312" w:hAnsi="仿宋_GB2312" w:cs="仿宋_GB2312" w:eastAsia="仿宋_GB2312"/>
                <w:sz w:val="20"/>
              </w:rPr>
              <w:t>其中，工程设计阶段包括集成工程深化设计和施工图设计等活动；项目实施阶段包括硬件设备材料和系统软件采购、基础施工、设备安装调试等活动；项目验收阶段包括验收测试、项目初验、系统试运行、用户培训、竣工终验等活动。</w:t>
            </w:r>
          </w:p>
          <w:p>
            <w:pPr>
              <w:pStyle w:val="null3"/>
              <w:ind w:firstLine="472"/>
              <w:jc w:val="both"/>
            </w:pPr>
            <w:r>
              <w:rPr>
                <w:rFonts w:ascii="仿宋_GB2312" w:hAnsi="仿宋_GB2312" w:cs="仿宋_GB2312" w:eastAsia="仿宋_GB2312"/>
                <w:sz w:val="20"/>
              </w:rPr>
              <w:t>供应商为</w:t>
            </w:r>
            <w:r>
              <w:rPr>
                <w:rFonts w:ascii="仿宋_GB2312" w:hAnsi="仿宋_GB2312" w:cs="仿宋_GB2312" w:eastAsia="仿宋_GB2312"/>
                <w:sz w:val="20"/>
              </w:rPr>
              <w:t>西安市秦岭区域生态保护监管补盲项目（一期）</w:t>
            </w:r>
            <w:r>
              <w:rPr>
                <w:rFonts w:ascii="仿宋_GB2312" w:hAnsi="仿宋_GB2312" w:cs="仿宋_GB2312" w:eastAsia="仿宋_GB2312"/>
                <w:sz w:val="20"/>
              </w:rPr>
              <w:t>项目提供的项目监理、全程咨询、技术指导和项目评估等服务范围包括但不限于工程设计阶段、工程实施阶段、工程验收阶段。供应商提供的服务必须满足本监理服务内容及要求的全部服务内容，以及本监理服务内容及要求中可能遗漏但在服务过程中所必须的服务。</w:t>
            </w:r>
          </w:p>
          <w:p>
            <w:pPr>
              <w:pStyle w:val="null3"/>
              <w:ind w:firstLine="472"/>
              <w:jc w:val="both"/>
            </w:pPr>
            <w:r>
              <w:rPr>
                <w:rFonts w:ascii="仿宋_GB2312" w:hAnsi="仿宋_GB2312" w:cs="仿宋_GB2312" w:eastAsia="仿宋_GB2312"/>
                <w:sz w:val="20"/>
              </w:rPr>
              <w:t>供应商的投标总价应包含</w:t>
            </w:r>
            <w:r>
              <w:rPr>
                <w:rFonts w:ascii="仿宋_GB2312" w:hAnsi="仿宋_GB2312" w:cs="仿宋_GB2312" w:eastAsia="仿宋_GB2312"/>
                <w:sz w:val="20"/>
              </w:rPr>
              <w:t>西安市秦岭区域生态保护监管补盲项目（一期）</w:t>
            </w:r>
            <w:r>
              <w:rPr>
                <w:rFonts w:ascii="仿宋_GB2312" w:hAnsi="仿宋_GB2312" w:cs="仿宋_GB2312" w:eastAsia="仿宋_GB2312"/>
                <w:sz w:val="20"/>
              </w:rPr>
              <w:t>项目的工程设计、项目实施、项目验收等阶段的全部监理服务报价，以及本监理服务内容及要求中可能遗漏但在服务过程中所必须服务的全部费用。</w:t>
            </w:r>
          </w:p>
          <w:p>
            <w:pPr>
              <w:pStyle w:val="null3"/>
              <w:numPr>
                <w:ilvl w:val="0"/>
                <w:numId w:val="2"/>
              </w:numPr>
              <w:spacing w:before="150" w:after="150"/>
              <w:jc w:val="left"/>
            </w:pPr>
            <w:r>
              <w:rPr>
                <w:rFonts w:ascii="仿宋_GB2312" w:hAnsi="仿宋_GB2312" w:cs="仿宋_GB2312" w:eastAsia="仿宋_GB2312"/>
                <w:sz w:val="20"/>
                <w:b/>
              </w:rPr>
              <w:t>采购清单</w:t>
            </w:r>
          </w:p>
          <w:tbl>
            <w:tblPr>
              <w:tblBorders>
                <w:top w:val="none" w:color="000000" w:sz="4"/>
                <w:left w:val="none" w:color="000000" w:sz="4"/>
                <w:bottom w:val="none" w:color="000000" w:sz="4"/>
                <w:right w:val="none" w:color="000000" w:sz="4"/>
                <w:insideH w:val="none"/>
                <w:insideV w:val="none"/>
              </w:tblBorders>
            </w:tblPr>
            <w:tblGrid>
              <w:gridCol w:w="171"/>
              <w:gridCol w:w="666"/>
              <w:gridCol w:w="666"/>
              <w:gridCol w:w="188"/>
              <w:gridCol w:w="188"/>
              <w:gridCol w:w="375"/>
              <w:gridCol w:w="300"/>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0"/>
                      <w:b/>
                      <w:color w:val="000000"/>
                    </w:rPr>
                    <w:t>序号</w:t>
                  </w:r>
                </w:p>
              </w:tc>
              <w:tc>
                <w:tcPr>
                  <w:tcW w:type="dxa" w:w="133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0"/>
                      <w:b/>
                      <w:color w:val="000000"/>
                    </w:rPr>
                    <w:t>数量</w:t>
                  </w:r>
                </w:p>
              </w:tc>
              <w:tc>
                <w:tcPr>
                  <w:tcW w:type="dxa" w:w="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0"/>
                      <w:b/>
                      <w:color w:val="000000"/>
                    </w:rPr>
                    <w:t>单位</w:t>
                  </w:r>
                </w:p>
              </w:tc>
              <w:tc>
                <w:tcPr>
                  <w:tcW w:type="dxa" w:w="3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要求</w:t>
                  </w:r>
                  <w:r>
                    <w:rPr>
                      <w:rFonts w:ascii="仿宋_GB2312" w:hAnsi="仿宋_GB2312" w:cs="仿宋_GB2312" w:eastAsia="仿宋_GB2312"/>
                      <w:sz w:val="20"/>
                      <w:b/>
                      <w:color w:val="000000"/>
                    </w:rPr>
                    <w:t>/备注</w:t>
                  </w:r>
                </w:p>
              </w:tc>
              <w:tc>
                <w:tcPr>
                  <w:tcW w:type="dxa" w:w="3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0"/>
                      <w:b/>
                      <w:color w:val="000000"/>
                    </w:rPr>
                    <w:t>项目类型</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33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西安市秦岭区域生态保护监管补盲项目（一期）</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0"/>
                    </w:rPr>
                    <w:t>全过程监理</w:t>
                  </w:r>
                </w:p>
              </w:tc>
              <w:tc>
                <w:tcPr>
                  <w:tcW w:type="dxa" w:w="3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5" w:right="-45"/>
                    <w:jc w:val="center"/>
                  </w:pPr>
                  <w:r>
                    <w:rPr>
                      <w:rFonts w:ascii="仿宋_GB2312" w:hAnsi="仿宋_GB2312" w:cs="仿宋_GB2312" w:eastAsia="仿宋_GB2312"/>
                      <w:sz w:val="20"/>
                    </w:rPr>
                    <w:t>服务</w:t>
                  </w:r>
                </w:p>
              </w:tc>
            </w:tr>
            <w:tr>
              <w:tc>
                <w:tcPr>
                  <w:tcW w:type="dxa" w:w="8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 w:right="-45"/>
                    <w:jc w:val="both"/>
                  </w:pPr>
                  <w:r>
                    <w:rPr>
                      <w:rFonts w:ascii="仿宋_GB2312" w:hAnsi="仿宋_GB2312" w:cs="仿宋_GB2312" w:eastAsia="仿宋_GB2312"/>
                      <w:sz w:val="20"/>
                    </w:rPr>
                    <w:t>监理服务周期</w:t>
                  </w:r>
                </w:p>
              </w:tc>
              <w:tc>
                <w:tcPr>
                  <w:tcW w:type="dxa" w:w="1717"/>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left"/>
                  </w:pPr>
                  <w:r>
                    <w:rPr>
                      <w:rFonts w:ascii="仿宋_GB2312" w:hAnsi="仿宋_GB2312" w:cs="仿宋_GB2312" w:eastAsia="仿宋_GB2312"/>
                      <w:sz w:val="20"/>
                    </w:rPr>
                    <w:t>自监理服务合同签订之日起，到整体项目最终验收止。</w:t>
                  </w:r>
                </w:p>
              </w:tc>
            </w:tr>
          </w:tbl>
          <w:p>
            <w:pPr>
              <w:pStyle w:val="null3"/>
              <w:numPr>
                <w:ilvl w:val="0"/>
                <w:numId w:val="2"/>
              </w:numPr>
              <w:spacing w:before="150" w:after="150"/>
              <w:jc w:val="left"/>
            </w:pPr>
            <w:r>
              <w:rPr>
                <w:rFonts w:ascii="仿宋_GB2312" w:hAnsi="仿宋_GB2312" w:cs="仿宋_GB2312" w:eastAsia="仿宋_GB2312"/>
                <w:sz w:val="20"/>
                <w:b/>
              </w:rPr>
              <w:t>项目简介</w:t>
            </w:r>
          </w:p>
          <w:tbl>
            <w:tblPr>
              <w:tblBorders>
                <w:top w:val="none" w:color="000000" w:sz="4"/>
                <w:left w:val="none" w:color="000000" w:sz="4"/>
                <w:bottom w:val="none" w:color="000000" w:sz="4"/>
                <w:right w:val="none" w:color="000000" w:sz="4"/>
                <w:insideH w:val="none"/>
                <w:insideV w:val="none"/>
              </w:tblBorders>
            </w:tblPr>
            <w:tblGrid>
              <w:gridCol w:w="186"/>
              <w:gridCol w:w="151"/>
              <w:gridCol w:w="2216"/>
            </w:tblGrid>
            <w:tr>
              <w:tc>
                <w:tcPr>
                  <w:tcW w:type="dxa" w:w="18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内容</w:t>
                  </w:r>
                </w:p>
              </w:tc>
              <w:tc>
                <w:tcPr>
                  <w:tcW w:type="dxa" w:w="22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left="255"/>
                    <w:jc w:val="center"/>
                  </w:pPr>
                  <w:r>
                    <w:rPr>
                      <w:rFonts w:ascii="仿宋_GB2312" w:hAnsi="仿宋_GB2312" w:cs="仿宋_GB2312" w:eastAsia="仿宋_GB2312"/>
                      <w:sz w:val="20"/>
                      <w:b/>
                    </w:rPr>
                    <w:t>说</w:t>
                  </w:r>
                  <w:r>
                    <w:rPr>
                      <w:rFonts w:ascii="仿宋_GB2312" w:hAnsi="仿宋_GB2312" w:cs="仿宋_GB2312" w:eastAsia="仿宋_GB2312"/>
                      <w:sz w:val="20"/>
                      <w:b/>
                    </w:rPr>
                    <w:t xml:space="preserve">   </w:t>
                  </w:r>
                  <w:r>
                    <w:rPr>
                      <w:rFonts w:ascii="仿宋_GB2312" w:hAnsi="仿宋_GB2312" w:cs="仿宋_GB2312" w:eastAsia="仿宋_GB2312"/>
                      <w:sz w:val="20"/>
                      <w:b/>
                    </w:rPr>
                    <w:t>明</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项目背景</w:t>
                  </w:r>
                </w:p>
              </w:tc>
              <w:tc>
                <w:tcPr>
                  <w:tcW w:type="dxa" w:w="2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rPr>
                    <w:t>深入学习贯彻党的二十届三中全会精神，贯通落实党中央生态文明思想和总书记历次来陕考察重要讲话重要指示精神，深刻汲取秦岭北麓西安境内违建别墅问题教训，落实党中央、国务院决策部署，增强</w:t>
                  </w:r>
                  <w:r>
                    <w:rPr>
                      <w:rFonts w:ascii="仿宋_GB2312" w:hAnsi="仿宋_GB2312" w:cs="仿宋_GB2312" w:eastAsia="仿宋_GB2312"/>
                      <w:sz w:val="20"/>
                    </w:rPr>
                    <w:t>“四个意识”，坚定“四个自信”，做到“两个维护”，坚持新发展理念，践行“绿水青山就是金山银山”理念，统筹山水林田湖草生命共同体综合治理。坚持保护优先、绿色发展，坚持人与自然和谐共生，优化秦岭保护空间开发格局，把秦岭生态环境保护融入经济社会发展各方面和全过程，优先发展循环经济和低碳经济，增强秦岭生态系统稳定性，提升秦岭生态系统功能。</w:t>
                  </w:r>
                </w:p>
                <w:p>
                  <w:pPr>
                    <w:pStyle w:val="null3"/>
                    <w:ind w:firstLine="400"/>
                    <w:jc w:val="left"/>
                  </w:pPr>
                  <w:r>
                    <w:rPr>
                      <w:rFonts w:ascii="仿宋_GB2312" w:hAnsi="仿宋_GB2312" w:cs="仿宋_GB2312" w:eastAsia="仿宋_GB2312"/>
                      <w:sz w:val="20"/>
                    </w:rPr>
                    <w:t>全面落实省委省政府部署要求，强化秦岭生态环境保护，深化生态文明体制改革，加快推进生态环境保护在重点攻坚上实现新突破，为创新推进中国式现代化西安实践提供良好生态支撑。在秦岭生态环境保护上，要深刻汲取教训、牢记</w:t>
                  </w:r>
                  <w:r>
                    <w:rPr>
                      <w:rFonts w:ascii="仿宋_GB2312" w:hAnsi="仿宋_GB2312" w:cs="仿宋_GB2312" w:eastAsia="仿宋_GB2312"/>
                      <w:sz w:val="20"/>
                    </w:rPr>
                    <w:t>“国之大者”、扛起政治责任，系统治、综合管，常态化开展“五乱”问题排查整治，持续规范农家乐、民宿、旅游景区运营管理，健全生态产品价值实现机制，抓好峪道峪口综合治理和防汛备汛工作，守牢生态保护红线和安全底线。</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建设目标</w:t>
                  </w:r>
                </w:p>
              </w:tc>
              <w:tc>
                <w:tcPr>
                  <w:tcW w:type="dxa" w:w="2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建设内容</w:t>
                  </w:r>
                </w:p>
              </w:tc>
              <w:tc>
                <w:tcPr>
                  <w:tcW w:type="dxa" w:w="2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本阶段项目以市级和各区县秦岭生态环境保护管理局前期建设为基础，补充完善资源管控监测体系，对保护区内监测监控盲点区域进行补充覆盖，同步完善供电及数据传输网络。结合各区域场景特征及设备监控能力，本次共规划设置</w:t>
                  </w:r>
                  <w:r>
                    <w:rPr>
                      <w:rFonts w:ascii="仿宋_GB2312" w:hAnsi="仿宋_GB2312" w:cs="仿宋_GB2312" w:eastAsia="仿宋_GB2312"/>
                      <w:sz w:val="20"/>
                    </w:rPr>
                    <w:t>36个高点监控点位。本次采购内容摄像机36台、交换机1台、防火墙1台、其它配套设施1批及系统集成实施服务。对秦岭保护区内近林居民聚集地、人员活动频繁区域、高危林区等重点区域的监测覆盖。系统建设主要对西安数字秦岭智慧化综合监管平台的前端监控设备进行补充。具体清单详见技术指标及要求。</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项目规模</w:t>
                  </w:r>
                </w:p>
              </w:tc>
              <w:tc>
                <w:tcPr>
                  <w:tcW w:type="dxa" w:w="2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rPr>
                    <w:t>前端建设内容主要负责对被监控区域现场视频信息进行采集、编码及上传，并通过客户端平台预置的规则进行自动化联动。规划建设高点监控点位</w:t>
                  </w:r>
                  <w:r>
                    <w:rPr>
                      <w:rFonts w:ascii="仿宋_GB2312" w:hAnsi="仿宋_GB2312" w:cs="仿宋_GB2312" w:eastAsia="仿宋_GB2312"/>
                      <w:sz w:val="20"/>
                    </w:rPr>
                    <w:t>36个。</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项目工期</w:t>
                  </w:r>
                </w:p>
              </w:tc>
              <w:tc>
                <w:tcPr>
                  <w:tcW w:type="dxa" w:w="2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rPr>
                    <w:t>60天内完成设备的采购，安装，调测，并交付使用；项目整体服务期为3年。</w:t>
                  </w:r>
                </w:p>
              </w:tc>
            </w:tr>
            <w:tr>
              <w:tc>
                <w:tcPr>
                  <w:tcW w:type="dxa" w:w="1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0"/>
                    </w:rPr>
                    <w:t>6</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质量标准</w:t>
                  </w:r>
                </w:p>
              </w:tc>
              <w:tc>
                <w:tcPr>
                  <w:tcW w:type="dxa" w:w="2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rPr>
                    <w:t>合格</w:t>
                  </w:r>
                </w:p>
              </w:tc>
            </w:tr>
          </w:tbl>
          <w:p>
            <w:pPr>
              <w:pStyle w:val="null3"/>
              <w:numPr>
                <w:ilvl w:val="0"/>
                <w:numId w:val="2"/>
              </w:numPr>
              <w:spacing w:before="150" w:after="150"/>
              <w:jc w:val="left"/>
            </w:pPr>
            <w:r>
              <w:rPr>
                <w:rFonts w:ascii="仿宋_GB2312" w:hAnsi="仿宋_GB2312" w:cs="仿宋_GB2312" w:eastAsia="仿宋_GB2312"/>
                <w:sz w:val="20"/>
                <w:b/>
              </w:rPr>
              <w:t>服务要求</w:t>
            </w:r>
          </w:p>
          <w:tbl>
            <w:tblPr>
              <w:tblBorders>
                <w:top w:val="none" w:color="000000" w:sz="4"/>
                <w:left w:val="none" w:color="000000" w:sz="4"/>
                <w:bottom w:val="none" w:color="000000" w:sz="4"/>
                <w:right w:val="none" w:color="000000" w:sz="4"/>
                <w:insideH w:val="none"/>
                <w:insideV w:val="none"/>
              </w:tblBorders>
            </w:tblPr>
            <w:tblGrid>
              <w:gridCol w:w="183"/>
              <w:gridCol w:w="191"/>
              <w:gridCol w:w="2178"/>
            </w:tblGrid>
            <w:tr>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序号</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服务要求</w:t>
                  </w:r>
                </w:p>
              </w:tc>
              <w:tc>
                <w:tcPr>
                  <w:tcW w:type="dxa" w:w="2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75"/>
                    <w:jc w:val="center"/>
                  </w:pPr>
                  <w:r>
                    <w:rPr>
                      <w:rFonts w:ascii="仿宋_GB2312" w:hAnsi="仿宋_GB2312" w:cs="仿宋_GB2312" w:eastAsia="仿宋_GB2312"/>
                      <w:sz w:val="20"/>
                      <w:b/>
                    </w:rPr>
                    <w:t>详细描述</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监理依据</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1.国家相关法律、法规、政策</w:t>
                  </w:r>
                </w:p>
                <w:p>
                  <w:pPr>
                    <w:pStyle w:val="null3"/>
                    <w:ind w:left="90" w:right="-45" w:firstLine="400"/>
                    <w:jc w:val="left"/>
                  </w:pPr>
                  <w:r>
                    <w:rPr>
                      <w:rFonts w:ascii="仿宋_GB2312" w:hAnsi="仿宋_GB2312" w:cs="仿宋_GB2312" w:eastAsia="仿宋_GB2312"/>
                      <w:sz w:val="20"/>
                    </w:rPr>
                    <w:t>2.本项目招标文件、投标文件、中标通知书</w:t>
                  </w:r>
                </w:p>
                <w:p>
                  <w:pPr>
                    <w:pStyle w:val="null3"/>
                    <w:ind w:left="90" w:right="-45" w:firstLine="400"/>
                    <w:jc w:val="left"/>
                  </w:pPr>
                  <w:r>
                    <w:rPr>
                      <w:rFonts w:ascii="仿宋_GB2312" w:hAnsi="仿宋_GB2312" w:cs="仿宋_GB2312" w:eastAsia="仿宋_GB2312"/>
                      <w:sz w:val="20"/>
                    </w:rPr>
                    <w:t>4.本项目承建合同、监理委托合同</w:t>
                  </w:r>
                </w:p>
                <w:p>
                  <w:pPr>
                    <w:pStyle w:val="null3"/>
                    <w:ind w:left="90" w:right="-45" w:firstLine="400"/>
                    <w:jc w:val="left"/>
                  </w:pPr>
                  <w:r>
                    <w:rPr>
                      <w:rFonts w:ascii="仿宋_GB2312" w:hAnsi="仿宋_GB2312" w:cs="仿宋_GB2312" w:eastAsia="仿宋_GB2312"/>
                      <w:sz w:val="20"/>
                    </w:rPr>
                    <w:t>5.本项目工程（深化）设计、施工组织设计</w:t>
                  </w:r>
                </w:p>
                <w:p>
                  <w:pPr>
                    <w:pStyle w:val="null3"/>
                    <w:ind w:left="90" w:right="-45" w:firstLine="400"/>
                    <w:jc w:val="left"/>
                  </w:pPr>
                  <w:r>
                    <w:rPr>
                      <w:rFonts w:ascii="仿宋_GB2312" w:hAnsi="仿宋_GB2312" w:cs="仿宋_GB2312" w:eastAsia="仿宋_GB2312"/>
                      <w:sz w:val="20"/>
                    </w:rPr>
                    <w:t>6.国家相关标准、规范</w:t>
                  </w:r>
                </w:p>
                <w:p>
                  <w:pPr>
                    <w:pStyle w:val="null3"/>
                    <w:ind w:left="90" w:right="-45" w:firstLine="400"/>
                    <w:jc w:val="left"/>
                  </w:pPr>
                  <w:r>
                    <w:rPr>
                      <w:rFonts w:ascii="仿宋_GB2312" w:hAnsi="仿宋_GB2312" w:cs="仿宋_GB2312" w:eastAsia="仿宋_GB2312"/>
                      <w:sz w:val="20"/>
                    </w:rPr>
                    <w:t>7.行业标准和规范、指南</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监理范围</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供应商应提供该项目部署实施阶段</w:t>
                  </w:r>
                  <w:r>
                    <w:rPr>
                      <w:rFonts w:ascii="仿宋_GB2312" w:hAnsi="仿宋_GB2312" w:cs="仿宋_GB2312" w:eastAsia="仿宋_GB2312"/>
                      <w:sz w:val="20"/>
                    </w:rPr>
                    <w:t>(合同签订、工程设计、项目实施)、项目验收阶段(交付验收或初步验收、试运行、技术培训、最终验收或竣工验收、成果移交)等阶段的质量控制、进度控制、投资控制、变更控制、风险控制(建设风险、合规性风险)，合同管理、信息管理、安全保密管理、知识产权保护管理、项目资产管理，以及组织协调等监理服务。</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总体要求</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1.供应商应当采用适应本项目特点和建设内容的项目管理和监理方法，提供监理范围内的相关项目咨询、技术指导、项目监理</w:t>
                  </w:r>
                  <w:r>
                    <w:rPr>
                      <w:rFonts w:ascii="仿宋_GB2312" w:hAnsi="仿宋_GB2312" w:cs="仿宋_GB2312" w:eastAsia="仿宋_GB2312"/>
                      <w:sz w:val="20"/>
                    </w:rPr>
                    <w:t>、项目评估等服务。</w:t>
                  </w:r>
                </w:p>
                <w:p>
                  <w:pPr>
                    <w:pStyle w:val="null3"/>
                    <w:ind w:left="90" w:right="-45" w:firstLine="400"/>
                    <w:jc w:val="left"/>
                  </w:pPr>
                  <w:r>
                    <w:rPr>
                      <w:rFonts w:ascii="仿宋_GB2312" w:hAnsi="仿宋_GB2312" w:cs="仿宋_GB2312" w:eastAsia="仿宋_GB2312"/>
                      <w:sz w:val="20"/>
                    </w:rPr>
                    <w:t>2.供应商提供的全程咨询、技术指导、项目监理、项目评估等服务必须满足本次采购内容的全部需求，以及本次采购内容及要求中可能遗漏但在服务过程中所必须的服务。</w:t>
                  </w:r>
                </w:p>
                <w:p>
                  <w:pPr>
                    <w:pStyle w:val="null3"/>
                    <w:ind w:left="90" w:right="-45" w:firstLine="400"/>
                    <w:jc w:val="left"/>
                  </w:pPr>
                  <w:r>
                    <w:rPr>
                      <w:rFonts w:ascii="仿宋_GB2312" w:hAnsi="仿宋_GB2312" w:cs="仿宋_GB2312" w:eastAsia="仿宋_GB2312"/>
                      <w:sz w:val="20"/>
                    </w:rPr>
                    <w:t>3.供应商应对监理范围内各个层面进行全方位控制、管理与协调，达到本项目的质量目标、进度目标、投资目标和预期的建设效果。</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color w:val="000000"/>
                    </w:rPr>
                    <w:t>监理机构</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1.监理机构应设置总监理工程师、专业监理工程师和技术专家等岗位，实行专业监理工程师-总监理工程师-技术专家三级管理和总监理工程师负责制。不允许只有程序性监理，而无实质性监理。</w:t>
                  </w:r>
                </w:p>
                <w:p>
                  <w:pPr>
                    <w:pStyle w:val="null3"/>
                    <w:ind w:left="90" w:right="-45" w:firstLine="400"/>
                    <w:jc w:val="left"/>
                  </w:pPr>
                  <w:r>
                    <w:rPr>
                      <w:rFonts w:ascii="仿宋_GB2312" w:hAnsi="仿宋_GB2312" w:cs="仿宋_GB2312" w:eastAsia="仿宋_GB2312"/>
                      <w:sz w:val="20"/>
                    </w:rPr>
                    <w:t>2.拟派总监理工程师应具有国家行政管理部门颁发的信息系统监理师证书和信息系统项目管理经验。审核、监督、巡查、签署应按照国家相关规定和规范要求的必须由总监理工程师完成的工作，并承担过似项目的监理工作。</w:t>
                  </w:r>
                </w:p>
                <w:p>
                  <w:pPr>
                    <w:pStyle w:val="null3"/>
                    <w:ind w:left="90" w:right="-45" w:firstLine="400"/>
                    <w:jc w:val="left"/>
                  </w:pPr>
                  <w:r>
                    <w:rPr>
                      <w:rFonts w:ascii="仿宋_GB2312" w:hAnsi="仿宋_GB2312" w:cs="仿宋_GB2312" w:eastAsia="仿宋_GB2312"/>
                      <w:sz w:val="20"/>
                    </w:rPr>
                    <w:t>供应商应保证总监理工程师在关键节点，以及出现监理工程师不能解决的问题时，及时到现场提供咨询、监理、评审、评估等服务。</w:t>
                  </w:r>
                </w:p>
                <w:p>
                  <w:pPr>
                    <w:pStyle w:val="null3"/>
                    <w:ind w:left="90" w:right="-45" w:firstLine="400"/>
                    <w:jc w:val="left"/>
                  </w:pPr>
                  <w:r>
                    <w:rPr>
                      <w:rFonts w:ascii="仿宋_GB2312" w:hAnsi="仿宋_GB2312" w:cs="仿宋_GB2312" w:eastAsia="仿宋_GB2312"/>
                      <w:sz w:val="20"/>
                    </w:rPr>
                    <w:t>3.拟派本项目专业监理工程师至少于4名。应具备国家行政管理部门颁发的信息系统监理师证书；全程参与监理工作，组织或者协助采购人组织召开首次会议、监理例会，及技术评审、专题会议、验收会议等；应熟悉行业业务、系统集成、应用开发等工作，及国家相关法律法规和标准规范。</w:t>
                  </w:r>
                </w:p>
                <w:p>
                  <w:pPr>
                    <w:pStyle w:val="null3"/>
                    <w:ind w:left="90" w:right="-45" w:firstLine="400"/>
                    <w:jc w:val="left"/>
                  </w:pPr>
                  <w:r>
                    <w:rPr>
                      <w:rFonts w:ascii="仿宋_GB2312" w:hAnsi="仿宋_GB2312" w:cs="仿宋_GB2312" w:eastAsia="仿宋_GB2312"/>
                      <w:sz w:val="20"/>
                    </w:rPr>
                    <w:t>4.监理机构应为本项目配备至少1名技术专家，负责为本项目提供建设全过程合规性、建设风险、投资风险和高阶项目管理等咨询及技术指导服务，应具备丰富的全程咨询、项目投资、项目评估等经验。</w:t>
                  </w:r>
                </w:p>
                <w:p>
                  <w:pPr>
                    <w:pStyle w:val="null3"/>
                    <w:ind w:left="90" w:right="-45" w:firstLine="400"/>
                    <w:jc w:val="left"/>
                  </w:pPr>
                  <w:r>
                    <w:rPr>
                      <w:rFonts w:ascii="仿宋_GB2312" w:hAnsi="仿宋_GB2312" w:cs="仿宋_GB2312" w:eastAsia="仿宋_GB2312"/>
                      <w:sz w:val="20"/>
                    </w:rPr>
                    <w:t>供应商应保证技术专家在关键节点及出现监理工程师、总监理工程师不能解决的问题时，及时到现场提供技术和管理指导、项目咨询、技术评审、项目评估等服务。</w:t>
                  </w:r>
                </w:p>
                <w:p>
                  <w:pPr>
                    <w:pStyle w:val="null3"/>
                    <w:ind w:left="90" w:right="-45" w:firstLine="400"/>
                    <w:jc w:val="left"/>
                  </w:pPr>
                  <w:r>
                    <w:rPr>
                      <w:rFonts w:ascii="仿宋_GB2312" w:hAnsi="仿宋_GB2312" w:cs="仿宋_GB2312" w:eastAsia="仿宋_GB2312"/>
                      <w:sz w:val="20"/>
                    </w:rPr>
                    <w:t>5.总监理工程师、专业监理工程师和技术专家在项目实施期间不得随意更换，供应商确需更换监理人员的，至少提前以书面形式通知采购人，并将拟更换的监理人员资料一并上报，经采购人同意后方可更换。</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服务质量</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400"/>
                    <w:jc w:val="left"/>
                  </w:pPr>
                  <w:r>
                    <w:rPr>
                      <w:rFonts w:ascii="仿宋_GB2312" w:hAnsi="仿宋_GB2312" w:cs="仿宋_GB2312" w:eastAsia="仿宋_GB2312"/>
                      <w:sz w:val="20"/>
                    </w:rPr>
                    <w:t>1.供应商应充分理解本项目的建设目标、建设内容、项目特点、难点和重点等，有针对性、有重点的实施全程咨询、技术指导、项目监理、项目评估等服务。</w:t>
                  </w:r>
                </w:p>
                <w:p>
                  <w:pPr>
                    <w:pStyle w:val="null3"/>
                    <w:ind w:right="-45" w:firstLine="400"/>
                    <w:jc w:val="left"/>
                  </w:pPr>
                  <w:r>
                    <w:rPr>
                      <w:rFonts w:ascii="仿宋_GB2312" w:hAnsi="仿宋_GB2312" w:cs="仿宋_GB2312" w:eastAsia="仿宋_GB2312"/>
                      <w:sz w:val="20"/>
                    </w:rPr>
                    <w:t>2.监理服务质量应达到“三到位”、“四落实”。即监理工作到位、监理人员到位、监理措施到位；监理机构落实、监理制度落实、监理方法和措施落实，监理体系落实。</w:t>
                  </w:r>
                </w:p>
                <w:p>
                  <w:pPr>
                    <w:pStyle w:val="null3"/>
                    <w:ind w:right="-45" w:firstLine="400"/>
                    <w:jc w:val="left"/>
                  </w:pPr>
                  <w:r>
                    <w:rPr>
                      <w:rFonts w:ascii="仿宋_GB2312" w:hAnsi="仿宋_GB2312" w:cs="仿宋_GB2312" w:eastAsia="仿宋_GB2312"/>
                      <w:sz w:val="20"/>
                    </w:rPr>
                    <w:t>3.质量控制应坚持“一个原则”、“两个重点”、“三个阶段”。</w:t>
                  </w:r>
                </w:p>
                <w:p>
                  <w:pPr>
                    <w:pStyle w:val="null3"/>
                    <w:ind w:right="-45" w:firstLine="400"/>
                    <w:jc w:val="left"/>
                  </w:pPr>
                  <w:r>
                    <w:rPr>
                      <w:rFonts w:ascii="仿宋_GB2312" w:hAnsi="仿宋_GB2312" w:cs="仿宋_GB2312" w:eastAsia="仿宋_GB2312"/>
                      <w:sz w:val="20"/>
                    </w:rPr>
                    <w:t>(1)监理原则</w:t>
                  </w:r>
                </w:p>
                <w:p>
                  <w:pPr>
                    <w:pStyle w:val="null3"/>
                    <w:ind w:right="-45" w:firstLine="400"/>
                    <w:jc w:val="left"/>
                  </w:pPr>
                  <w:r>
                    <w:rPr>
                      <w:rFonts w:ascii="仿宋_GB2312" w:hAnsi="仿宋_GB2312" w:cs="仿宋_GB2312" w:eastAsia="仿宋_GB2312"/>
                      <w:sz w:val="20"/>
                    </w:rPr>
                    <w:t>监理机构应监督承建单位严格按合同约定、工程设计、技术规范进行项目实施。</w:t>
                  </w:r>
                </w:p>
                <w:p>
                  <w:pPr>
                    <w:pStyle w:val="null3"/>
                    <w:ind w:right="-45" w:firstLine="400"/>
                    <w:jc w:val="left"/>
                  </w:pPr>
                  <w:r>
                    <w:rPr>
                      <w:rFonts w:ascii="仿宋_GB2312" w:hAnsi="仿宋_GB2312" w:cs="仿宋_GB2312" w:eastAsia="仿宋_GB2312"/>
                      <w:sz w:val="20"/>
                    </w:rPr>
                    <w:t>(2)两个重点</w:t>
                  </w:r>
                </w:p>
                <w:p>
                  <w:pPr>
                    <w:pStyle w:val="null3"/>
                    <w:ind w:right="-45" w:firstLine="400"/>
                    <w:jc w:val="left"/>
                  </w:pPr>
                  <w:r>
                    <w:rPr>
                      <w:rFonts w:ascii="仿宋_GB2312" w:hAnsi="仿宋_GB2312" w:cs="仿宋_GB2312" w:eastAsia="仿宋_GB2312"/>
                      <w:sz w:val="20"/>
                    </w:rPr>
                    <w:t>以工程设计审核</w:t>
                  </w:r>
                  <w:r>
                    <w:rPr>
                      <w:rFonts w:ascii="仿宋_GB2312" w:hAnsi="仿宋_GB2312" w:cs="仿宋_GB2312" w:eastAsia="仿宋_GB2312"/>
                      <w:sz w:val="20"/>
                    </w:rPr>
                    <w:t>(评审)和系统集成开发为重点，以软件部署和软件测试(系统测试、验收测试)为重点。</w:t>
                  </w:r>
                </w:p>
                <w:p>
                  <w:pPr>
                    <w:pStyle w:val="null3"/>
                    <w:ind w:right="-45" w:firstLine="400"/>
                    <w:jc w:val="left"/>
                  </w:pPr>
                  <w:r>
                    <w:rPr>
                      <w:rFonts w:ascii="仿宋_GB2312" w:hAnsi="仿宋_GB2312" w:cs="仿宋_GB2312" w:eastAsia="仿宋_GB2312"/>
                      <w:sz w:val="20"/>
                    </w:rPr>
                    <w:t>(3)三个阶段</w:t>
                  </w:r>
                </w:p>
                <w:p>
                  <w:pPr>
                    <w:pStyle w:val="null3"/>
                    <w:ind w:right="-45" w:firstLine="400"/>
                    <w:jc w:val="left"/>
                  </w:pPr>
                  <w:r>
                    <w:rPr>
                      <w:rFonts w:ascii="仿宋_GB2312" w:hAnsi="仿宋_GB2312" w:cs="仿宋_GB2312" w:eastAsia="仿宋_GB2312"/>
                      <w:sz w:val="20"/>
                    </w:rPr>
                    <w:t>1)工程设计阶段</w:t>
                  </w:r>
                </w:p>
                <w:p>
                  <w:pPr>
                    <w:pStyle w:val="null3"/>
                    <w:ind w:right="-45" w:firstLine="400"/>
                    <w:jc w:val="left"/>
                  </w:pPr>
                  <w:r>
                    <w:rPr>
                      <w:rFonts w:ascii="仿宋_GB2312" w:hAnsi="仿宋_GB2312" w:cs="仿宋_GB2312" w:eastAsia="仿宋_GB2312"/>
                      <w:sz w:val="20"/>
                    </w:rPr>
                    <w:t>严格控制需求分析质量、系统设计质量。保证设计成果的完整性、规范性、严谨性、合规性和设计深度符合合同、标准规范等要求，满足用户实际业务需求。</w:t>
                  </w:r>
                </w:p>
                <w:p>
                  <w:pPr>
                    <w:pStyle w:val="null3"/>
                    <w:ind w:right="-45" w:firstLine="400"/>
                    <w:jc w:val="left"/>
                  </w:pPr>
                  <w:r>
                    <w:rPr>
                      <w:rFonts w:ascii="仿宋_GB2312" w:hAnsi="仿宋_GB2312" w:cs="仿宋_GB2312" w:eastAsia="仿宋_GB2312"/>
                      <w:sz w:val="20"/>
                    </w:rPr>
                    <w:t>2)项目施工阶段</w:t>
                  </w:r>
                </w:p>
                <w:p>
                  <w:pPr>
                    <w:pStyle w:val="null3"/>
                    <w:ind w:right="-45" w:firstLine="400"/>
                    <w:jc w:val="left"/>
                  </w:pPr>
                  <w:r>
                    <w:rPr>
                      <w:rFonts w:ascii="仿宋_GB2312" w:hAnsi="仿宋_GB2312" w:cs="仿宋_GB2312" w:eastAsia="仿宋_GB2312"/>
                      <w:sz w:val="20"/>
                    </w:rPr>
                    <w:t>严格关键节点、关键工序和阶段成果的审核</w:t>
                  </w:r>
                  <w:r>
                    <w:rPr>
                      <w:rFonts w:ascii="仿宋_GB2312" w:hAnsi="仿宋_GB2312" w:cs="仿宋_GB2312" w:eastAsia="仿宋_GB2312"/>
                      <w:sz w:val="20"/>
                    </w:rPr>
                    <w:t>(评审)、旁站、测试、抽查，保证阶段成果符合设计和合同要求，满足实际使用要求。</w:t>
                  </w:r>
                </w:p>
                <w:p>
                  <w:pPr>
                    <w:pStyle w:val="null3"/>
                    <w:ind w:right="-45" w:firstLine="400"/>
                    <w:jc w:val="left"/>
                  </w:pPr>
                  <w:r>
                    <w:rPr>
                      <w:rFonts w:ascii="仿宋_GB2312" w:hAnsi="仿宋_GB2312" w:cs="仿宋_GB2312" w:eastAsia="仿宋_GB2312"/>
                      <w:sz w:val="20"/>
                    </w:rPr>
                    <w:t>3)项目验收阶段</w:t>
                  </w:r>
                </w:p>
                <w:p>
                  <w:pPr>
                    <w:pStyle w:val="null3"/>
                    <w:ind w:right="-45" w:firstLine="400"/>
                    <w:jc w:val="left"/>
                  </w:pPr>
                  <w:r>
                    <w:rPr>
                      <w:rFonts w:ascii="仿宋_GB2312" w:hAnsi="仿宋_GB2312" w:cs="仿宋_GB2312" w:eastAsia="仿宋_GB2312"/>
                      <w:sz w:val="20"/>
                    </w:rPr>
                    <w:t>严格按照法律法规、政策文件、标准规范，进行验收测试、初步验收或交付验收、系统试运行监督、技术培训评估、文档资料验收、竣工验收或最终验收。</w:t>
                  </w:r>
                </w:p>
              </w:tc>
            </w:tr>
            <w:tr>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安全实施目标要求</w:t>
                  </w:r>
                </w:p>
              </w:tc>
              <w:tc>
                <w:tcPr>
                  <w:tcW w:type="dxa" w:w="2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400"/>
                    <w:jc w:val="left"/>
                  </w:pPr>
                  <w:r>
                    <w:rPr>
                      <w:rFonts w:ascii="仿宋_GB2312" w:hAnsi="仿宋_GB2312" w:cs="仿宋_GB2312" w:eastAsia="仿宋_GB2312"/>
                      <w:sz w:val="20"/>
                    </w:rPr>
                    <w:t>1）从工程实施开始至工程最终验收期间无人身安全事故。</w:t>
                  </w:r>
                </w:p>
                <w:p>
                  <w:pPr>
                    <w:pStyle w:val="null3"/>
                    <w:ind w:right="-45" w:firstLine="400"/>
                    <w:jc w:val="left"/>
                  </w:pPr>
                  <w:r>
                    <w:rPr>
                      <w:rFonts w:ascii="仿宋_GB2312" w:hAnsi="仿宋_GB2312" w:cs="仿宋_GB2312" w:eastAsia="仿宋_GB2312"/>
                      <w:sz w:val="20"/>
                    </w:rPr>
                    <w:t>2）从工程实施开始至工程最终验收期间无信息安全、设备安全事故。</w:t>
                  </w:r>
                </w:p>
              </w:tc>
            </w:tr>
          </w:tbl>
          <w:p>
            <w:pPr>
              <w:pStyle w:val="null3"/>
              <w:numPr>
                <w:ilvl w:val="0"/>
                <w:numId w:val="2"/>
              </w:numPr>
              <w:spacing w:before="150" w:after="150"/>
              <w:jc w:val="left"/>
            </w:pPr>
            <w:r>
              <w:rPr>
                <w:rFonts w:ascii="仿宋_GB2312" w:hAnsi="仿宋_GB2312" w:cs="仿宋_GB2312" w:eastAsia="仿宋_GB2312"/>
                <w:sz w:val="20"/>
                <w:b/>
              </w:rPr>
              <w:t>监理服务内容</w:t>
            </w:r>
          </w:p>
          <w:tbl>
            <w:tblPr>
              <w:tblBorders>
                <w:top w:val="none" w:color="000000" w:sz="4"/>
                <w:left w:val="none" w:color="000000" w:sz="4"/>
                <w:bottom w:val="none" w:color="000000" w:sz="4"/>
                <w:right w:val="none" w:color="000000" w:sz="4"/>
                <w:insideH w:val="none"/>
                <w:insideV w:val="none"/>
              </w:tblBorders>
            </w:tblPr>
            <w:tblGrid>
              <w:gridCol w:w="171"/>
              <w:gridCol w:w="171"/>
              <w:gridCol w:w="179"/>
              <w:gridCol w:w="2033"/>
            </w:tblGrid>
            <w:tr>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60"/>
                    <w:jc w:val="both"/>
                  </w:pPr>
                  <w:r>
                    <w:rPr>
                      <w:rFonts w:ascii="仿宋_GB2312" w:hAnsi="仿宋_GB2312" w:cs="仿宋_GB2312" w:eastAsia="仿宋_GB2312"/>
                      <w:sz w:val="20"/>
                      <w:b/>
                    </w:rPr>
                    <w:t>序号</w:t>
                  </w:r>
                </w:p>
              </w:tc>
              <w:tc>
                <w:tcPr>
                  <w:tcW w:type="dxa" w:w="35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服务内容</w:t>
                  </w:r>
                </w:p>
              </w:tc>
              <w:tc>
                <w:tcPr>
                  <w:tcW w:type="dxa" w:w="2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jc w:val="center"/>
                  </w:pPr>
                  <w:r>
                    <w:rPr>
                      <w:rFonts w:ascii="仿宋_GB2312" w:hAnsi="仿宋_GB2312" w:cs="仿宋_GB2312" w:eastAsia="仿宋_GB2312"/>
                      <w:sz w:val="20"/>
                      <w:b/>
                    </w:rPr>
                    <w:t>服务描述</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全程咨询</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全程咨询服务内容要求如下：</w:t>
                  </w:r>
                </w:p>
                <w:p>
                  <w:pPr>
                    <w:pStyle w:val="null3"/>
                    <w:ind w:left="90" w:right="-45" w:firstLine="400"/>
                    <w:jc w:val="left"/>
                  </w:pPr>
                  <w:r>
                    <w:rPr>
                      <w:rFonts w:ascii="仿宋_GB2312" w:hAnsi="仿宋_GB2312" w:cs="仿宋_GB2312" w:eastAsia="仿宋_GB2312"/>
                      <w:sz w:val="20"/>
                    </w:rPr>
                    <w:t>1.项目建设全过程，为采购人提供存在或可能存在的合规性风险、质量风险、变更风险、技术风险、投资风险、工期风险等管理咨询。</w:t>
                  </w:r>
                </w:p>
                <w:p>
                  <w:pPr>
                    <w:pStyle w:val="null3"/>
                    <w:ind w:left="90" w:right="-45" w:firstLine="400"/>
                    <w:jc w:val="left"/>
                  </w:pPr>
                  <w:r>
                    <w:rPr>
                      <w:rFonts w:ascii="仿宋_GB2312" w:hAnsi="仿宋_GB2312" w:cs="仿宋_GB2312" w:eastAsia="仿宋_GB2312"/>
                      <w:sz w:val="20"/>
                    </w:rPr>
                    <w:t>2.工程设计过程中，为采购人提供系统架构、技术实现、功能指标、性能指标、软件接口(内部接口、外部接口)、系统集成(界面集成、应用集成、业务集成、数据集成、技术集成)等技术咨询和方案建议。</w:t>
                  </w:r>
                </w:p>
                <w:p>
                  <w:pPr>
                    <w:pStyle w:val="null3"/>
                    <w:ind w:left="90" w:right="-45" w:firstLine="400"/>
                    <w:jc w:val="left"/>
                  </w:pPr>
                  <w:r>
                    <w:rPr>
                      <w:rFonts w:ascii="仿宋_GB2312" w:hAnsi="仿宋_GB2312" w:cs="仿宋_GB2312" w:eastAsia="仿宋_GB2312"/>
                      <w:sz w:val="20"/>
                    </w:rPr>
                    <w:t>3.项目实施过程中，为采购人提供软件部署、上线运行，设备调试和系统集成联动等技术咨询或者方案建议。</w:t>
                  </w:r>
                </w:p>
                <w:p>
                  <w:pPr>
                    <w:pStyle w:val="null3"/>
                    <w:ind w:left="90" w:right="-45" w:firstLine="400"/>
                    <w:jc w:val="left"/>
                  </w:pPr>
                  <w:r>
                    <w:rPr>
                      <w:rFonts w:ascii="仿宋_GB2312" w:hAnsi="仿宋_GB2312" w:cs="仿宋_GB2312" w:eastAsia="仿宋_GB2312"/>
                      <w:sz w:val="20"/>
                    </w:rPr>
                    <w:t>4.项目建设全过程，为采购人提供技术实现方法、项目质量、实施进度、投资成效等评估服务。</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技术指导</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技术指导服务内容要求如下：</w:t>
                  </w:r>
                </w:p>
                <w:p>
                  <w:pPr>
                    <w:pStyle w:val="null3"/>
                    <w:ind w:left="90" w:right="-45" w:firstLine="400"/>
                    <w:jc w:val="left"/>
                  </w:pPr>
                  <w:r>
                    <w:rPr>
                      <w:rFonts w:ascii="仿宋_GB2312" w:hAnsi="仿宋_GB2312" w:cs="仿宋_GB2312" w:eastAsia="仿宋_GB2312"/>
                      <w:sz w:val="20"/>
                    </w:rPr>
                    <w:t>1.合同签订和工程设计过程中，为采购人和承建单位提供合同商务条款、技术条款，以及系统架构、业务逻辑、功能定义、技术实现方法、内/外部接口、软件部署、系统集成等方面的必要的技术指导服务。确保合同技术条款和商务条款的完整性、规范性、合规性、严谨性和约束力，以及设计文件的完整性、规范性和设计深度。</w:t>
                  </w:r>
                </w:p>
                <w:p>
                  <w:pPr>
                    <w:pStyle w:val="null3"/>
                    <w:ind w:left="90" w:right="-45" w:firstLine="400"/>
                    <w:jc w:val="left"/>
                  </w:pPr>
                  <w:r>
                    <w:rPr>
                      <w:rFonts w:ascii="仿宋_GB2312" w:hAnsi="仿宋_GB2312" w:cs="仿宋_GB2312" w:eastAsia="仿宋_GB2312"/>
                      <w:sz w:val="20"/>
                    </w:rPr>
                    <w:t>2.项目实施和项目验收过程中，为采购人和承建单位提供解决阶段成果技术实现缺陷问题的技术指导。</w:t>
                  </w:r>
                </w:p>
                <w:p>
                  <w:pPr>
                    <w:pStyle w:val="null3"/>
                    <w:ind w:left="90" w:right="-45" w:firstLine="400"/>
                    <w:jc w:val="left"/>
                  </w:pPr>
                  <w:r>
                    <w:rPr>
                      <w:rFonts w:ascii="仿宋_GB2312" w:hAnsi="仿宋_GB2312" w:cs="仿宋_GB2312" w:eastAsia="仿宋_GB2312"/>
                      <w:sz w:val="20"/>
                    </w:rPr>
                    <w:t>3.项目实施和项目验收过程中，为采购人和承建单位提供项目文档和档案编制技术指导</w:t>
                  </w:r>
                  <w:r>
                    <w:rPr>
                      <w:rFonts w:ascii="仿宋_GB2312" w:hAnsi="仿宋_GB2312" w:cs="仿宋_GB2312" w:eastAsia="仿宋_GB2312"/>
                      <w:sz w:val="20"/>
                      <w:b/>
                    </w:rPr>
                    <w:t>。</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监理服务</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监理范围</w:t>
                  </w:r>
                </w:p>
              </w:tc>
              <w:tc>
                <w:tcPr>
                  <w:tcW w:type="dxa" w:w="20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both"/>
                  </w:pPr>
                  <w:r>
                    <w:rPr>
                      <w:rFonts w:ascii="仿宋_GB2312" w:hAnsi="仿宋_GB2312" w:cs="仿宋_GB2312" w:eastAsia="仿宋_GB2312"/>
                      <w:sz w:val="20"/>
                    </w:rPr>
                    <w:t>部署实施（工程设计、项目实施）、项目验收</w:t>
                  </w:r>
                  <w:r>
                    <w:rPr>
                      <w:rFonts w:ascii="仿宋_GB2312" w:hAnsi="仿宋_GB2312" w:cs="仿宋_GB2312" w:eastAsia="仿宋_GB2312"/>
                      <w:sz w:val="20"/>
                    </w:rPr>
                    <w:t>(交付验收或初步验收、试运行、技术培训、最终验收或竣工验收、成果移交)、运行维护阶段全过程等全过程的质量、进度、投资、变更、风险等控制；合同、信息、信息安全、知识产权、资产等管理；项目相关各方外部关系、监理机构内部关系的组织协调。</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质量控制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400"/>
                    <w:jc w:val="left"/>
                  </w:pPr>
                  <w:r>
                    <w:rPr>
                      <w:rFonts w:ascii="仿宋_GB2312" w:hAnsi="仿宋_GB2312" w:cs="仿宋_GB2312" w:eastAsia="仿宋_GB2312"/>
                      <w:sz w:val="20"/>
                    </w:rPr>
                    <w:t>质量控制内容要求如下：</w:t>
                  </w:r>
                </w:p>
                <w:p>
                  <w:pPr>
                    <w:pStyle w:val="null3"/>
                    <w:ind w:firstLine="402"/>
                    <w:jc w:val="left"/>
                  </w:pPr>
                  <w:r>
                    <w:rPr>
                      <w:rFonts w:ascii="仿宋_GB2312" w:hAnsi="仿宋_GB2312" w:cs="仿宋_GB2312" w:eastAsia="仿宋_GB2312"/>
                      <w:sz w:val="20"/>
                      <w:b/>
                    </w:rPr>
                    <w:t>1.合同签订阶段的质量控制</w:t>
                  </w:r>
                </w:p>
                <w:p>
                  <w:pPr>
                    <w:pStyle w:val="null3"/>
                    <w:ind w:firstLine="400"/>
                    <w:jc w:val="left"/>
                  </w:pPr>
                  <w:r>
                    <w:rPr>
                      <w:rFonts w:ascii="仿宋_GB2312" w:hAnsi="仿宋_GB2312" w:cs="仿宋_GB2312" w:eastAsia="仿宋_GB2312"/>
                      <w:sz w:val="20"/>
                    </w:rPr>
                    <w:t>审查合同条款合规性、内容完整性、商务条款严谨性、技术附件严谨性，并向采购人提出建议，保证合同的约束力。</w:t>
                  </w:r>
                </w:p>
                <w:p>
                  <w:pPr>
                    <w:pStyle w:val="null3"/>
                    <w:ind w:firstLine="402"/>
                    <w:jc w:val="left"/>
                  </w:pPr>
                  <w:r>
                    <w:rPr>
                      <w:rFonts w:ascii="仿宋_GB2312" w:hAnsi="仿宋_GB2312" w:cs="仿宋_GB2312" w:eastAsia="仿宋_GB2312"/>
                      <w:sz w:val="20"/>
                      <w:b/>
                    </w:rPr>
                    <w:t>(1)合同条款合规性审查</w:t>
                  </w:r>
                </w:p>
                <w:p>
                  <w:pPr>
                    <w:pStyle w:val="null3"/>
                    <w:ind w:firstLine="400"/>
                    <w:jc w:val="left"/>
                  </w:pPr>
                  <w:r>
                    <w:rPr>
                      <w:rFonts w:ascii="仿宋_GB2312" w:hAnsi="仿宋_GB2312" w:cs="仿宋_GB2312" w:eastAsia="仿宋_GB2312"/>
                      <w:sz w:val="20"/>
                    </w:rPr>
                    <w:t>协助采购人审查合同条款是否符合相关法律、法规和政策性文件的要求。</w:t>
                  </w:r>
                </w:p>
                <w:p>
                  <w:pPr>
                    <w:pStyle w:val="null3"/>
                    <w:ind w:firstLine="402"/>
                    <w:jc w:val="left"/>
                  </w:pPr>
                  <w:r>
                    <w:rPr>
                      <w:rFonts w:ascii="仿宋_GB2312" w:hAnsi="仿宋_GB2312" w:cs="仿宋_GB2312" w:eastAsia="仿宋_GB2312"/>
                      <w:sz w:val="20"/>
                      <w:b/>
                    </w:rPr>
                    <w:t>(2)合同内容完整性审查</w:t>
                  </w:r>
                </w:p>
                <w:p>
                  <w:pPr>
                    <w:pStyle w:val="null3"/>
                    <w:ind w:firstLine="400"/>
                    <w:jc w:val="left"/>
                  </w:pPr>
                  <w:r>
                    <w:rPr>
                      <w:rFonts w:ascii="仿宋_GB2312" w:hAnsi="仿宋_GB2312" w:cs="仿宋_GB2312" w:eastAsia="仿宋_GB2312"/>
                      <w:sz w:val="20"/>
                    </w:rPr>
                    <w:t>协助采购人审核合同价款组成及付款方式、系统功能、系统性能、技术实现、测试标准、验收标准和方式、工程质量、知识产权、保密约定、阶段成果及交付期限、用户培训、系统维护期、质量责任、合同终止、违约责任等条款的完整性。</w:t>
                  </w:r>
                </w:p>
                <w:p>
                  <w:pPr>
                    <w:pStyle w:val="null3"/>
                    <w:ind w:firstLine="402"/>
                    <w:jc w:val="left"/>
                  </w:pPr>
                  <w:r>
                    <w:rPr>
                      <w:rFonts w:ascii="仿宋_GB2312" w:hAnsi="仿宋_GB2312" w:cs="仿宋_GB2312" w:eastAsia="仿宋_GB2312"/>
                      <w:sz w:val="20"/>
                      <w:b/>
                    </w:rPr>
                    <w:t>(3)商务条款严谨性审查</w:t>
                  </w:r>
                </w:p>
                <w:p>
                  <w:pPr>
                    <w:pStyle w:val="null3"/>
                    <w:ind w:firstLine="400"/>
                    <w:jc w:val="left"/>
                  </w:pPr>
                  <w:r>
                    <w:rPr>
                      <w:rFonts w:ascii="仿宋_GB2312" w:hAnsi="仿宋_GB2312" w:cs="仿宋_GB2312" w:eastAsia="仿宋_GB2312"/>
                      <w:sz w:val="20"/>
                    </w:rPr>
                    <w:t>协助采购人对承建合同相关商务条款进行审查，其中包括知识产权归属、款项支付、成果交付、缺陷责任期和质量保证期、合同变更、违约责任和合同终止等条款的严谨性。</w:t>
                  </w:r>
                </w:p>
                <w:p>
                  <w:pPr>
                    <w:pStyle w:val="null3"/>
                    <w:ind w:firstLine="402"/>
                    <w:jc w:val="left"/>
                  </w:pPr>
                  <w:r>
                    <w:rPr>
                      <w:rFonts w:ascii="仿宋_GB2312" w:hAnsi="仿宋_GB2312" w:cs="仿宋_GB2312" w:eastAsia="仿宋_GB2312"/>
                      <w:sz w:val="20"/>
                      <w:b/>
                    </w:rPr>
                    <w:t>(4)技术条款严谨性审查</w:t>
                  </w:r>
                </w:p>
                <w:p>
                  <w:pPr>
                    <w:pStyle w:val="null3"/>
                    <w:ind w:firstLine="400"/>
                    <w:jc w:val="left"/>
                  </w:pPr>
                  <w:r>
                    <w:rPr>
                      <w:rFonts w:ascii="仿宋_GB2312" w:hAnsi="仿宋_GB2312" w:cs="仿宋_GB2312" w:eastAsia="仿宋_GB2312"/>
                      <w:sz w:val="20"/>
                    </w:rPr>
                    <w:t>协助采购人分析和审查承建合同技术条款中，设备和材料的名称、品牌</w:t>
                  </w:r>
                  <w:r>
                    <w:rPr>
                      <w:rFonts w:ascii="仿宋_GB2312" w:hAnsi="仿宋_GB2312" w:cs="仿宋_GB2312" w:eastAsia="仿宋_GB2312"/>
                      <w:sz w:val="20"/>
                    </w:rPr>
                    <w:t>/型号、技术规格、数量(或者数量的计算方法)、规范准确的单位、单价、合计等要素。</w:t>
                  </w:r>
                </w:p>
                <w:p>
                  <w:pPr>
                    <w:pStyle w:val="null3"/>
                    <w:ind w:firstLine="400"/>
                    <w:jc w:val="left"/>
                  </w:pPr>
                  <w:r>
                    <w:rPr>
                      <w:rFonts w:ascii="仿宋_GB2312" w:hAnsi="仿宋_GB2312" w:cs="仿宋_GB2312" w:eastAsia="仿宋_GB2312"/>
                      <w:sz w:val="20"/>
                    </w:rPr>
                    <w:t>协助采购人分析和审查承建合同技术条款中，商业化软件正式名称、版本与使用授权许可方式、数量、单位、单价、合计。</w:t>
                  </w:r>
                </w:p>
                <w:p>
                  <w:pPr>
                    <w:pStyle w:val="null3"/>
                    <w:ind w:firstLine="400"/>
                    <w:jc w:val="left"/>
                  </w:pPr>
                  <w:r>
                    <w:rPr>
                      <w:rFonts w:ascii="仿宋_GB2312" w:hAnsi="仿宋_GB2312" w:cs="仿宋_GB2312" w:eastAsia="仿宋_GB2312"/>
                      <w:sz w:val="20"/>
                    </w:rPr>
                    <w:t>协助采购人分析和审查承建合同技术条款中，行为或服务内容、方式及标准、单价和总价。</w:t>
                  </w:r>
                </w:p>
                <w:p>
                  <w:pPr>
                    <w:pStyle w:val="null3"/>
                    <w:ind w:firstLine="400"/>
                    <w:jc w:val="left"/>
                  </w:pPr>
                  <w:r>
                    <w:rPr>
                      <w:rFonts w:ascii="仿宋_GB2312" w:hAnsi="仿宋_GB2312" w:cs="仿宋_GB2312" w:eastAsia="仿宋_GB2312"/>
                      <w:sz w:val="20"/>
                    </w:rPr>
                    <w:t>协助采购人审查承建合同附件名称与合同中所附附件的一致性。</w:t>
                  </w:r>
                </w:p>
                <w:p>
                  <w:pPr>
                    <w:pStyle w:val="null3"/>
                    <w:ind w:firstLine="402"/>
                    <w:jc w:val="left"/>
                  </w:pPr>
                  <w:r>
                    <w:rPr>
                      <w:rFonts w:ascii="仿宋_GB2312" w:hAnsi="仿宋_GB2312" w:cs="仿宋_GB2312" w:eastAsia="仿宋_GB2312"/>
                      <w:sz w:val="20"/>
                      <w:b/>
                    </w:rPr>
                    <w:t>2.工程设计阶段的质量控制</w:t>
                  </w:r>
                </w:p>
                <w:p>
                  <w:pPr>
                    <w:pStyle w:val="null3"/>
                    <w:ind w:firstLine="400"/>
                    <w:jc w:val="left"/>
                  </w:pPr>
                  <w:r>
                    <w:rPr>
                      <w:rFonts w:ascii="仿宋_GB2312" w:hAnsi="仿宋_GB2312" w:cs="仿宋_GB2312" w:eastAsia="仿宋_GB2312"/>
                      <w:sz w:val="20"/>
                    </w:rPr>
                    <w:t>审查项目实施计划和工程设计文件，并向采购人和承建单位提出建议。</w:t>
                  </w:r>
                </w:p>
                <w:p>
                  <w:pPr>
                    <w:pStyle w:val="null3"/>
                    <w:ind w:firstLine="402"/>
                    <w:jc w:val="left"/>
                  </w:pPr>
                  <w:r>
                    <w:rPr>
                      <w:rFonts w:ascii="仿宋_GB2312" w:hAnsi="仿宋_GB2312" w:cs="仿宋_GB2312" w:eastAsia="仿宋_GB2312"/>
                      <w:sz w:val="20"/>
                      <w:b/>
                    </w:rPr>
                    <w:t>(1)项目实施计划审核与确认</w:t>
                  </w:r>
                </w:p>
                <w:p>
                  <w:pPr>
                    <w:pStyle w:val="null3"/>
                    <w:ind w:firstLine="400"/>
                    <w:jc w:val="left"/>
                  </w:pPr>
                  <w:r>
                    <w:rPr>
                      <w:rFonts w:ascii="仿宋_GB2312" w:hAnsi="仿宋_GB2312" w:cs="仿宋_GB2312" w:eastAsia="仿宋_GB2312"/>
                      <w:sz w:val="20"/>
                    </w:rPr>
                    <w:t>审核承建单位提交的《项目实施计划》，包括进度计划、采购计划、资源配置计划、质量保证计划的符合性、一致性、合理性、可行性和可验证性。</w:t>
                  </w:r>
                </w:p>
                <w:p>
                  <w:pPr>
                    <w:pStyle w:val="null3"/>
                    <w:ind w:firstLine="402"/>
                    <w:jc w:val="left"/>
                  </w:pPr>
                  <w:r>
                    <w:rPr>
                      <w:rFonts w:ascii="仿宋_GB2312" w:hAnsi="仿宋_GB2312" w:cs="仿宋_GB2312" w:eastAsia="仿宋_GB2312"/>
                      <w:sz w:val="20"/>
                      <w:b/>
                    </w:rPr>
                    <w:t>(2)集成设计和施工图设计审核与确认</w:t>
                  </w:r>
                </w:p>
                <w:p>
                  <w:pPr>
                    <w:pStyle w:val="null3"/>
                    <w:ind w:firstLine="400"/>
                    <w:jc w:val="left"/>
                  </w:pPr>
                  <w:r>
                    <w:rPr>
                      <w:rFonts w:ascii="仿宋_GB2312" w:hAnsi="仿宋_GB2312" w:cs="仿宋_GB2312" w:eastAsia="仿宋_GB2312"/>
                      <w:sz w:val="20"/>
                    </w:rPr>
                    <w:t>审核或评审深化设计、施工图设计质量，包括设计内容的完整性、设计深度和设计文件的规范性。</w:t>
                  </w:r>
                </w:p>
                <w:p>
                  <w:pPr>
                    <w:pStyle w:val="null3"/>
                    <w:ind w:firstLine="400"/>
                    <w:jc w:val="left"/>
                  </w:pPr>
                  <w:r>
                    <w:rPr>
                      <w:rFonts w:ascii="仿宋_GB2312" w:hAnsi="仿宋_GB2312" w:cs="仿宋_GB2312" w:eastAsia="仿宋_GB2312"/>
                      <w:sz w:val="20"/>
                    </w:rPr>
                    <w:t>审核或评审设计变更，依据投标文件、承建合同，审核设计的范围、内容、产品和服务，控制设计变更，对可能的投资变化，提出监理意见。</w:t>
                  </w:r>
                </w:p>
                <w:p>
                  <w:pPr>
                    <w:pStyle w:val="null3"/>
                    <w:ind w:firstLine="400"/>
                    <w:jc w:val="left"/>
                  </w:pPr>
                  <w:r>
                    <w:rPr>
                      <w:rFonts w:ascii="仿宋_GB2312" w:hAnsi="仿宋_GB2312" w:cs="仿宋_GB2312" w:eastAsia="仿宋_GB2312"/>
                      <w:sz w:val="20"/>
                    </w:rPr>
                    <w:t>审核和评估实施风险，审查现场调试方案、试运行方案的合理性、可行性、可操作性，以及应急预案，确保项目实施风险和对现有系统的影响降到最低。</w:t>
                  </w:r>
                </w:p>
                <w:p>
                  <w:pPr>
                    <w:pStyle w:val="null3"/>
                    <w:ind w:firstLine="402"/>
                    <w:jc w:val="left"/>
                  </w:pPr>
                  <w:r>
                    <w:rPr>
                      <w:rFonts w:ascii="仿宋_GB2312" w:hAnsi="仿宋_GB2312" w:cs="仿宋_GB2312" w:eastAsia="仿宋_GB2312"/>
                      <w:sz w:val="20"/>
                      <w:b/>
                    </w:rPr>
                    <w:t>3.项目实施阶段的质量控制</w:t>
                  </w:r>
                </w:p>
                <w:p>
                  <w:pPr>
                    <w:pStyle w:val="null3"/>
                    <w:ind w:firstLine="400"/>
                    <w:jc w:val="left"/>
                  </w:pPr>
                  <w:r>
                    <w:rPr>
                      <w:rFonts w:ascii="仿宋_GB2312" w:hAnsi="仿宋_GB2312" w:cs="仿宋_GB2312" w:eastAsia="仿宋_GB2312"/>
                      <w:sz w:val="20"/>
                    </w:rPr>
                    <w:t>审查项目实施组织，采取评审、测试、旁站、抽查，目标规划、动态控制、度量估算、统计分析等监理方法，以及组织、经济、合同、技术等监理措施，控制项目建设质量，并按合同约定，定期向采购人报告监理工作。</w:t>
                  </w:r>
                </w:p>
                <w:p>
                  <w:pPr>
                    <w:pStyle w:val="null3"/>
                    <w:ind w:firstLine="402"/>
                    <w:jc w:val="left"/>
                  </w:pPr>
                  <w:r>
                    <w:rPr>
                      <w:rFonts w:ascii="仿宋_GB2312" w:hAnsi="仿宋_GB2312" w:cs="仿宋_GB2312" w:eastAsia="仿宋_GB2312"/>
                      <w:sz w:val="20"/>
                      <w:b/>
                    </w:rPr>
                    <w:t>(1)项目实施组织设计审核</w:t>
                  </w:r>
                </w:p>
                <w:p>
                  <w:pPr>
                    <w:pStyle w:val="null3"/>
                    <w:ind w:firstLine="400"/>
                    <w:jc w:val="left"/>
                  </w:pPr>
                  <w:r>
                    <w:rPr>
                      <w:rFonts w:ascii="仿宋_GB2312" w:hAnsi="仿宋_GB2312" w:cs="仿宋_GB2312" w:eastAsia="仿宋_GB2312"/>
                      <w:sz w:val="20"/>
                    </w:rPr>
                    <w:t>审核项目实施组织设计，包括审核项目管理计划和项目实施方案的可行性、合理性、合规性，以及与合同要求、用户需求的一致性。</w:t>
                  </w:r>
                </w:p>
                <w:p>
                  <w:pPr>
                    <w:pStyle w:val="null3"/>
                    <w:ind w:firstLine="402"/>
                    <w:jc w:val="left"/>
                  </w:pPr>
                  <w:r>
                    <w:rPr>
                      <w:rFonts w:ascii="仿宋_GB2312" w:hAnsi="仿宋_GB2312" w:cs="仿宋_GB2312" w:eastAsia="仿宋_GB2312"/>
                      <w:sz w:val="20"/>
                      <w:b/>
                    </w:rPr>
                    <w:t>(2)项目实施准备和开工报审</w:t>
                  </w:r>
                </w:p>
                <w:p>
                  <w:pPr>
                    <w:pStyle w:val="null3"/>
                    <w:ind w:firstLine="400"/>
                    <w:jc w:val="left"/>
                  </w:pPr>
                  <w:r>
                    <w:rPr>
                      <w:rFonts w:ascii="仿宋_GB2312" w:hAnsi="仿宋_GB2312" w:cs="仿宋_GB2312" w:eastAsia="仿宋_GB2312"/>
                      <w:sz w:val="20"/>
                    </w:rPr>
                    <w:t>协助采购人组织实施准备会议、建立实施协调机制、实施准备情况检查。</w:t>
                  </w:r>
                </w:p>
                <w:p>
                  <w:pPr>
                    <w:pStyle w:val="null3"/>
                    <w:ind w:firstLine="400"/>
                    <w:jc w:val="left"/>
                  </w:pPr>
                  <w:r>
                    <w:rPr>
                      <w:rFonts w:ascii="仿宋_GB2312" w:hAnsi="仿宋_GB2312" w:cs="仿宋_GB2312" w:eastAsia="仿宋_GB2312"/>
                      <w:sz w:val="20"/>
                    </w:rPr>
                    <w:t>审核开工申请和资料，审批承建单位的开工申请，明确开工日期，了解施工条件准备情况；审核开工报验资料，签发开工令。</w:t>
                  </w:r>
                </w:p>
                <w:p>
                  <w:pPr>
                    <w:pStyle w:val="null3"/>
                    <w:ind w:firstLine="402"/>
                    <w:jc w:val="left"/>
                  </w:pPr>
                  <w:r>
                    <w:rPr>
                      <w:rFonts w:ascii="仿宋_GB2312" w:hAnsi="仿宋_GB2312" w:cs="仿宋_GB2312" w:eastAsia="仿宋_GB2312"/>
                      <w:sz w:val="20"/>
                      <w:b/>
                    </w:rPr>
                    <w:t>(3)设备材料和商业软件到货验收</w:t>
                  </w:r>
                </w:p>
                <w:p>
                  <w:pPr>
                    <w:pStyle w:val="null3"/>
                    <w:ind w:firstLine="400"/>
                    <w:jc w:val="left"/>
                  </w:pPr>
                  <w:r>
                    <w:rPr>
                      <w:rFonts w:ascii="仿宋_GB2312" w:hAnsi="仿宋_GB2312" w:cs="仿宋_GB2312" w:eastAsia="仿宋_GB2312"/>
                      <w:sz w:val="20"/>
                    </w:rPr>
                    <w:t>组织或协助采购人进行设备材料和系统软件到货验收，包括点箱收货、开箱检查、合同符合性、加电自检测试、相关质量证明文件等。</w:t>
                  </w:r>
                </w:p>
                <w:p>
                  <w:pPr>
                    <w:pStyle w:val="null3"/>
                    <w:ind w:firstLine="400"/>
                    <w:jc w:val="left"/>
                  </w:pPr>
                  <w:r>
                    <w:rPr>
                      <w:rFonts w:ascii="仿宋_GB2312" w:hAnsi="仿宋_GB2312" w:cs="仿宋_GB2312" w:eastAsia="仿宋_GB2312"/>
                      <w:sz w:val="20"/>
                    </w:rPr>
                    <w:t>组织或协助采购人对商业软件产品进行验收。检查现货软件产品与合同要求、系统需求、文档资料、知识产权要求的符合性。商业软件到货验收包括软件包装、软件介质、软件授权证书或许可协议、文件资料应齐全，与随机清单一致。</w:t>
                  </w:r>
                </w:p>
                <w:p>
                  <w:pPr>
                    <w:pStyle w:val="null3"/>
                    <w:ind w:firstLine="402"/>
                    <w:jc w:val="left"/>
                  </w:pPr>
                  <w:r>
                    <w:rPr>
                      <w:rFonts w:ascii="仿宋_GB2312" w:hAnsi="仿宋_GB2312" w:cs="仿宋_GB2312" w:eastAsia="仿宋_GB2312"/>
                      <w:sz w:val="20"/>
                      <w:b/>
                    </w:rPr>
                    <w:t>(4)隐蔽工程监理验收</w:t>
                  </w:r>
                </w:p>
                <w:p>
                  <w:pPr>
                    <w:pStyle w:val="null3"/>
                    <w:ind w:firstLine="400"/>
                    <w:jc w:val="left"/>
                  </w:pPr>
                  <w:r>
                    <w:rPr>
                      <w:rFonts w:ascii="仿宋_GB2312" w:hAnsi="仿宋_GB2312" w:cs="仿宋_GB2312" w:eastAsia="仿宋_GB2312"/>
                      <w:sz w:val="20"/>
                    </w:rPr>
                    <w:t>涉及建筑工程和安装工程的隐蔽工程施工过程中，应对隐蔽工程进行旁站监督。应督促承建单位及时检查验收已完成的隐蔽工程，未经验收的不得擅自隐蔽。</w:t>
                  </w:r>
                </w:p>
                <w:p>
                  <w:pPr>
                    <w:pStyle w:val="null3"/>
                    <w:ind w:firstLine="402"/>
                    <w:jc w:val="left"/>
                  </w:pPr>
                  <w:r>
                    <w:rPr>
                      <w:rFonts w:ascii="仿宋_GB2312" w:hAnsi="仿宋_GB2312" w:cs="仿宋_GB2312" w:eastAsia="仿宋_GB2312"/>
                      <w:sz w:val="20"/>
                      <w:b/>
                    </w:rPr>
                    <w:t>(5)实施过程的监督管理</w:t>
                  </w:r>
                </w:p>
                <w:p>
                  <w:pPr>
                    <w:pStyle w:val="null3"/>
                    <w:ind w:firstLine="400"/>
                    <w:jc w:val="left"/>
                  </w:pPr>
                  <w:r>
                    <w:rPr>
                      <w:rFonts w:ascii="仿宋_GB2312" w:hAnsi="仿宋_GB2312" w:cs="仿宋_GB2312" w:eastAsia="仿宋_GB2312"/>
                      <w:sz w:val="20"/>
                    </w:rPr>
                    <w:t>审核关键环节实施方案；检查和监督基础施工工艺；抽查检测阶段施工质量；处理工程质量事故和工程质量隐患；检查设备安装工艺和质量、设备调试质量、系统配置质量等。</w:t>
                  </w:r>
                </w:p>
                <w:p>
                  <w:pPr>
                    <w:pStyle w:val="null3"/>
                    <w:ind w:firstLine="402"/>
                    <w:jc w:val="left"/>
                  </w:pPr>
                  <w:r>
                    <w:rPr>
                      <w:rFonts w:ascii="仿宋_GB2312" w:hAnsi="仿宋_GB2312" w:cs="仿宋_GB2312" w:eastAsia="仿宋_GB2312"/>
                      <w:sz w:val="20"/>
                      <w:b/>
                    </w:rPr>
                    <w:t>4.项目验收阶段的质量控制</w:t>
                  </w:r>
                </w:p>
                <w:p>
                  <w:pPr>
                    <w:pStyle w:val="null3"/>
                    <w:ind w:firstLine="402"/>
                    <w:jc w:val="left"/>
                  </w:pPr>
                  <w:r>
                    <w:rPr>
                      <w:rFonts w:ascii="仿宋_GB2312" w:hAnsi="仿宋_GB2312" w:cs="仿宋_GB2312" w:eastAsia="仿宋_GB2312"/>
                      <w:sz w:val="20"/>
                      <w:b/>
                    </w:rPr>
                    <w:t>(1)用户培训</w:t>
                  </w:r>
                </w:p>
                <w:p>
                  <w:pPr>
                    <w:pStyle w:val="null3"/>
                    <w:ind w:firstLine="400"/>
                    <w:jc w:val="left"/>
                  </w:pPr>
                  <w:r>
                    <w:rPr>
                      <w:rFonts w:ascii="仿宋_GB2312" w:hAnsi="仿宋_GB2312" w:cs="仿宋_GB2312" w:eastAsia="仿宋_GB2312"/>
                      <w:sz w:val="20"/>
                    </w:rPr>
                    <w:t>监督承建单位按照合同约定，确定培训对象、培训方式、培训目标，审查承建单位提交的培训方案和计划。</w:t>
                  </w:r>
                </w:p>
                <w:p>
                  <w:pPr>
                    <w:pStyle w:val="null3"/>
                    <w:ind w:firstLine="400"/>
                    <w:jc w:val="left"/>
                  </w:pPr>
                  <w:r>
                    <w:rPr>
                      <w:rFonts w:ascii="仿宋_GB2312" w:hAnsi="仿宋_GB2312" w:cs="仿宋_GB2312" w:eastAsia="仿宋_GB2312"/>
                      <w:sz w:val="20"/>
                    </w:rPr>
                    <w:t>监督承建单位按照培训方案和培训计划，开展用户培训活动。审查并确认培训效果。</w:t>
                  </w:r>
                </w:p>
                <w:p>
                  <w:pPr>
                    <w:pStyle w:val="null3"/>
                    <w:ind w:firstLine="402"/>
                    <w:jc w:val="left"/>
                  </w:pPr>
                  <w:r>
                    <w:rPr>
                      <w:rFonts w:ascii="仿宋_GB2312" w:hAnsi="仿宋_GB2312" w:cs="仿宋_GB2312" w:eastAsia="仿宋_GB2312"/>
                      <w:sz w:val="20"/>
                      <w:b/>
                    </w:rPr>
                    <w:t>(2)验收测试和初步验收(或交付验收)</w:t>
                  </w:r>
                </w:p>
                <w:p>
                  <w:pPr>
                    <w:pStyle w:val="null3"/>
                    <w:ind w:firstLine="400"/>
                    <w:jc w:val="left"/>
                  </w:pPr>
                  <w:r>
                    <w:rPr>
                      <w:rFonts w:ascii="仿宋_GB2312" w:hAnsi="仿宋_GB2312" w:cs="仿宋_GB2312" w:eastAsia="仿宋_GB2312"/>
                      <w:sz w:val="20"/>
                    </w:rPr>
                    <w:t>审查承建单位的系统测试</w:t>
                  </w:r>
                  <w:r>
                    <w:rPr>
                      <w:rFonts w:ascii="仿宋_GB2312" w:hAnsi="仿宋_GB2312" w:cs="仿宋_GB2312" w:eastAsia="仿宋_GB2312"/>
                      <w:sz w:val="20"/>
                    </w:rPr>
                    <w:t>(自检自验)报告和验收测试方案、系统初步验收申请，并确认是否具备验收测试、初步验收或交付验收条件。</w:t>
                  </w:r>
                </w:p>
                <w:p>
                  <w:pPr>
                    <w:pStyle w:val="null3"/>
                    <w:ind w:firstLine="400"/>
                    <w:jc w:val="left"/>
                  </w:pPr>
                  <w:r>
                    <w:rPr>
                      <w:rFonts w:ascii="仿宋_GB2312" w:hAnsi="仿宋_GB2312" w:cs="仿宋_GB2312" w:eastAsia="仿宋_GB2312"/>
                      <w:sz w:val="20"/>
                    </w:rPr>
                    <w:t>检查、审核或评审承建单位提交的项目文档</w:t>
                  </w:r>
                  <w:r>
                    <w:rPr>
                      <w:rFonts w:ascii="仿宋_GB2312" w:hAnsi="仿宋_GB2312" w:cs="仿宋_GB2312" w:eastAsia="仿宋_GB2312"/>
                      <w:sz w:val="20"/>
                    </w:rPr>
                    <w:t>/文件/档案、软件产品，并提出监理意见。</w:t>
                  </w:r>
                </w:p>
                <w:p>
                  <w:pPr>
                    <w:pStyle w:val="null3"/>
                    <w:ind w:firstLine="400"/>
                    <w:jc w:val="left"/>
                  </w:pPr>
                  <w:r>
                    <w:rPr>
                      <w:rFonts w:ascii="仿宋_GB2312" w:hAnsi="仿宋_GB2312" w:cs="仿宋_GB2312" w:eastAsia="仿宋_GB2312"/>
                      <w:sz w:val="20"/>
                    </w:rPr>
                    <w:t>组织或协助采购人按照确认的验收测试方案、验收策略和验收准则，对可交付软件产品或服务进行验收测试和初步验收，并对项目建设过程、成果质量、项目进度、项目投资、项目变更、项目风险等进行客观评价，提出建设性意见或建议。</w:t>
                  </w:r>
                </w:p>
                <w:p>
                  <w:pPr>
                    <w:pStyle w:val="null3"/>
                    <w:ind w:firstLine="400"/>
                    <w:jc w:val="left"/>
                  </w:pPr>
                  <w:r>
                    <w:rPr>
                      <w:rFonts w:ascii="仿宋_GB2312" w:hAnsi="仿宋_GB2312" w:cs="仿宋_GB2312" w:eastAsia="仿宋_GB2312"/>
                      <w:sz w:val="20"/>
                    </w:rPr>
                    <w:t>跟踪监督承建单位及时整改验收测试和初步验收或交付验收过程中发现的问题和不合格项，并形成监理意见。</w:t>
                  </w:r>
                </w:p>
                <w:p>
                  <w:pPr>
                    <w:pStyle w:val="null3"/>
                    <w:ind w:firstLine="402"/>
                    <w:jc w:val="left"/>
                  </w:pPr>
                  <w:r>
                    <w:rPr>
                      <w:rFonts w:ascii="仿宋_GB2312" w:hAnsi="仿宋_GB2312" w:cs="仿宋_GB2312" w:eastAsia="仿宋_GB2312"/>
                      <w:sz w:val="20"/>
                      <w:b/>
                    </w:rPr>
                    <w:t>(3)系统试运行</w:t>
                  </w:r>
                </w:p>
                <w:p>
                  <w:pPr>
                    <w:pStyle w:val="null3"/>
                    <w:ind w:firstLine="400"/>
                    <w:jc w:val="left"/>
                  </w:pPr>
                  <w:r>
                    <w:rPr>
                      <w:rFonts w:ascii="仿宋_GB2312" w:hAnsi="仿宋_GB2312" w:cs="仿宋_GB2312" w:eastAsia="仿宋_GB2312"/>
                      <w:sz w:val="20"/>
                    </w:rPr>
                    <w:t>监督和审核承建单位关于系统试运行过程的记录和试运行报告。</w:t>
                  </w:r>
                </w:p>
                <w:p>
                  <w:pPr>
                    <w:pStyle w:val="null3"/>
                    <w:ind w:firstLine="400"/>
                    <w:jc w:val="left"/>
                  </w:pPr>
                  <w:r>
                    <w:rPr>
                      <w:rFonts w:ascii="仿宋_GB2312" w:hAnsi="仿宋_GB2312" w:cs="仿宋_GB2312" w:eastAsia="仿宋_GB2312"/>
                      <w:sz w:val="20"/>
                    </w:rPr>
                    <w:t>跟踪监督承建单位解决系统试运行过程中发现的问题和不合格项，并形成监理意见。</w:t>
                  </w:r>
                </w:p>
                <w:p>
                  <w:pPr>
                    <w:pStyle w:val="null3"/>
                    <w:ind w:firstLine="402"/>
                    <w:jc w:val="left"/>
                  </w:pPr>
                  <w:r>
                    <w:rPr>
                      <w:rFonts w:ascii="仿宋_GB2312" w:hAnsi="仿宋_GB2312" w:cs="仿宋_GB2312" w:eastAsia="仿宋_GB2312"/>
                      <w:sz w:val="20"/>
                      <w:b/>
                    </w:rPr>
                    <w:t>(4)项目竣工验收(或最终验收)</w:t>
                  </w:r>
                </w:p>
                <w:p>
                  <w:pPr>
                    <w:pStyle w:val="null3"/>
                    <w:ind w:firstLine="400"/>
                    <w:jc w:val="left"/>
                  </w:pPr>
                  <w:r>
                    <w:rPr>
                      <w:rFonts w:ascii="仿宋_GB2312" w:hAnsi="仿宋_GB2312" w:cs="仿宋_GB2312" w:eastAsia="仿宋_GB2312"/>
                      <w:sz w:val="20"/>
                    </w:rPr>
                    <w:t>审核和确认项目竣工验收条件，协助采购人组织项目最终验收或竣工验收活动。</w:t>
                  </w:r>
                </w:p>
                <w:p>
                  <w:pPr>
                    <w:pStyle w:val="null3"/>
                    <w:ind w:firstLine="400"/>
                    <w:jc w:val="left"/>
                  </w:pPr>
                  <w:r>
                    <w:rPr>
                      <w:rFonts w:ascii="仿宋_GB2312" w:hAnsi="仿宋_GB2312" w:cs="仿宋_GB2312" w:eastAsia="仿宋_GB2312"/>
                      <w:sz w:val="20"/>
                    </w:rPr>
                    <w:t>协助采购人和承建单位处理工程决算及相关事宜，并进行资产和工程文档移交。</w:t>
                  </w:r>
                </w:p>
                <w:p>
                  <w:pPr>
                    <w:pStyle w:val="null3"/>
                    <w:ind w:firstLine="400"/>
                    <w:jc w:val="left"/>
                  </w:pPr>
                  <w:r>
                    <w:rPr>
                      <w:rFonts w:ascii="仿宋_GB2312" w:hAnsi="仿宋_GB2312" w:cs="仿宋_GB2312" w:eastAsia="仿宋_GB2312"/>
                      <w:sz w:val="20"/>
                    </w:rPr>
                    <w:t>跟踪监督承建单位解决项目最终验收或竣工验收过程中发现的问题和不合格项，并形成监理意见。</w:t>
                  </w:r>
                </w:p>
                <w:p>
                  <w:pPr>
                    <w:pStyle w:val="null3"/>
                    <w:ind w:firstLine="400"/>
                    <w:jc w:val="left"/>
                  </w:pPr>
                  <w:r>
                    <w:rPr>
                      <w:rFonts w:ascii="仿宋_GB2312" w:hAnsi="仿宋_GB2312" w:cs="仿宋_GB2312" w:eastAsia="仿宋_GB2312"/>
                      <w:sz w:val="20"/>
                    </w:rPr>
                    <w:t>审核承建单位的缺陷责任期服务方案，编写、整理、移交监理总结报告和监理资料。</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b/>
                    </w:rPr>
                    <w:t>5</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进度控制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45" w:firstLine="400"/>
                    <w:jc w:val="left"/>
                  </w:pPr>
                  <w:r>
                    <w:rPr>
                      <w:rFonts w:ascii="仿宋_GB2312" w:hAnsi="仿宋_GB2312" w:cs="仿宋_GB2312" w:eastAsia="仿宋_GB2312"/>
                      <w:sz w:val="20"/>
                    </w:rPr>
                    <w:t>进度控制内容要求如下：</w:t>
                  </w:r>
                </w:p>
                <w:p>
                  <w:pPr>
                    <w:pStyle w:val="null3"/>
                    <w:ind w:right="-45" w:firstLine="400"/>
                    <w:jc w:val="left"/>
                  </w:pPr>
                  <w:r>
                    <w:rPr>
                      <w:rFonts w:ascii="仿宋_GB2312" w:hAnsi="仿宋_GB2312" w:cs="仿宋_GB2312" w:eastAsia="仿宋_GB2312"/>
                      <w:sz w:val="20"/>
                    </w:rPr>
                    <w:t>1.审核承建单位的进度计划分解，确认分解计划可以保证总体计划目标，审查和分析影响工期的关键线路；审查和分析阶段/分项/周进度计划，并提出监理意见。</w:t>
                  </w:r>
                </w:p>
                <w:p>
                  <w:pPr>
                    <w:pStyle w:val="null3"/>
                    <w:ind w:right="-45" w:firstLine="400"/>
                    <w:jc w:val="left"/>
                  </w:pPr>
                  <w:r>
                    <w:rPr>
                      <w:rFonts w:ascii="仿宋_GB2312" w:hAnsi="仿宋_GB2312" w:cs="仿宋_GB2312" w:eastAsia="仿宋_GB2312"/>
                      <w:sz w:val="20"/>
                    </w:rPr>
                    <w:t>2.实时跟踪实施进度，并督促承建单位对进度计划进行动态调整，以确保项目的阶段和总体进度目标的实现。当工期目标严重偏离时，应及时指出并提出对策建议，同时督促承建单位纠偏。</w:t>
                  </w:r>
                </w:p>
                <w:p>
                  <w:pPr>
                    <w:pStyle w:val="null3"/>
                    <w:ind w:right="-45" w:firstLine="400"/>
                    <w:jc w:val="left"/>
                  </w:pPr>
                  <w:r>
                    <w:rPr>
                      <w:rFonts w:ascii="仿宋_GB2312" w:hAnsi="仿宋_GB2312" w:cs="仿宋_GB2312" w:eastAsia="仿宋_GB2312"/>
                      <w:sz w:val="20"/>
                    </w:rPr>
                    <w:t>3.分析承建单位提交的阶段性进度报告、进度月报、进度调整报告，并形成进度监理报告。</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6</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投资控制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投资控制内容要求如下：</w:t>
                  </w:r>
                </w:p>
                <w:p>
                  <w:pPr>
                    <w:pStyle w:val="null3"/>
                    <w:ind w:left="90" w:right="-45" w:firstLine="400"/>
                    <w:jc w:val="left"/>
                  </w:pPr>
                  <w:r>
                    <w:rPr>
                      <w:rFonts w:ascii="仿宋_GB2312" w:hAnsi="仿宋_GB2312" w:cs="仿宋_GB2312" w:eastAsia="仿宋_GB2312"/>
                      <w:sz w:val="20"/>
                    </w:rPr>
                    <w:t>1.审核需求变更、设计变更、实施变更申请，分析评估变更产生或可能产生的投资变化，并提出监理意见。</w:t>
                  </w:r>
                </w:p>
                <w:p>
                  <w:pPr>
                    <w:pStyle w:val="null3"/>
                    <w:ind w:left="90" w:right="-45" w:firstLine="400"/>
                    <w:jc w:val="left"/>
                  </w:pPr>
                  <w:r>
                    <w:rPr>
                      <w:rFonts w:ascii="仿宋_GB2312" w:hAnsi="仿宋_GB2312" w:cs="仿宋_GB2312" w:eastAsia="仿宋_GB2312"/>
                      <w:sz w:val="20"/>
                    </w:rPr>
                    <w:t>2.审核承建单位的工程阶段报告和阶段付款申请，并提出监理意见。</w:t>
                  </w:r>
                </w:p>
                <w:p>
                  <w:pPr>
                    <w:pStyle w:val="null3"/>
                    <w:ind w:left="90" w:right="-45" w:firstLine="400"/>
                    <w:jc w:val="left"/>
                  </w:pPr>
                  <w:r>
                    <w:rPr>
                      <w:rFonts w:ascii="仿宋_GB2312" w:hAnsi="仿宋_GB2312" w:cs="仿宋_GB2312" w:eastAsia="仿宋_GB2312"/>
                      <w:sz w:val="20"/>
                    </w:rPr>
                    <w:t>3.协助采购人审核工程结算报告，并提出监理意见。</w:t>
                  </w:r>
                </w:p>
                <w:p>
                  <w:pPr>
                    <w:pStyle w:val="null3"/>
                    <w:ind w:left="90" w:right="-45" w:firstLine="400"/>
                    <w:jc w:val="left"/>
                  </w:pPr>
                  <w:r>
                    <w:rPr>
                      <w:rFonts w:ascii="仿宋_GB2312" w:hAnsi="仿宋_GB2312" w:cs="仿宋_GB2312" w:eastAsia="仿宋_GB2312"/>
                      <w:sz w:val="20"/>
                    </w:rPr>
                    <w:t>4.协助采购人处理工程索赔申请，并提出监理意见。</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7</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变更控制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变更控制内容要求如下：</w:t>
                  </w:r>
                </w:p>
                <w:p>
                  <w:pPr>
                    <w:pStyle w:val="null3"/>
                    <w:ind w:left="90" w:right="-45" w:firstLine="400"/>
                    <w:jc w:val="left"/>
                  </w:pPr>
                  <w:r>
                    <w:rPr>
                      <w:rFonts w:ascii="仿宋_GB2312" w:hAnsi="仿宋_GB2312" w:cs="仿宋_GB2312" w:eastAsia="仿宋_GB2312"/>
                      <w:sz w:val="20"/>
                    </w:rPr>
                    <w:t>1.审核需求变更、设计变更、实施变更的必要性(变更理由的充要性)，分析和评估变更对质量、进度和投资可能产生的影响，以及存在的技术风险和合规性风险。</w:t>
                  </w:r>
                </w:p>
                <w:p>
                  <w:pPr>
                    <w:pStyle w:val="null3"/>
                    <w:ind w:left="90" w:right="-45" w:firstLine="400"/>
                    <w:jc w:val="left"/>
                  </w:pPr>
                  <w:r>
                    <w:rPr>
                      <w:rFonts w:ascii="仿宋_GB2312" w:hAnsi="仿宋_GB2312" w:cs="仿宋_GB2312" w:eastAsia="仿宋_GB2312"/>
                      <w:sz w:val="20"/>
                    </w:rPr>
                    <w:t>2.审核需求变更、设计变更、实施变更等申请，评估变更价格来源的合规性，参与认质认价，并提出监理意见。</w:t>
                  </w:r>
                </w:p>
                <w:p>
                  <w:pPr>
                    <w:pStyle w:val="null3"/>
                    <w:ind w:left="90" w:right="-45" w:firstLine="400"/>
                    <w:jc w:val="left"/>
                  </w:pPr>
                  <w:r>
                    <w:rPr>
                      <w:rFonts w:ascii="仿宋_GB2312" w:hAnsi="仿宋_GB2312" w:cs="仿宋_GB2312" w:eastAsia="仿宋_GB2312"/>
                      <w:sz w:val="20"/>
                    </w:rPr>
                    <w:t>3.审核和处理进度变更申请，提出监理意见，并签署开/停/复工令。</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8</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建设风险与合规性风险控制</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建设风险与合规性风险控制内容要求如下：</w:t>
                  </w:r>
                </w:p>
                <w:p>
                  <w:pPr>
                    <w:pStyle w:val="null3"/>
                    <w:ind w:left="90" w:right="-45" w:firstLine="400"/>
                    <w:jc w:val="left"/>
                  </w:pPr>
                  <w:r>
                    <w:rPr>
                      <w:rFonts w:ascii="仿宋_GB2312" w:hAnsi="仿宋_GB2312" w:cs="仿宋_GB2312" w:eastAsia="仿宋_GB2312"/>
                      <w:sz w:val="20"/>
                    </w:rPr>
                    <w:t>1.协助采购人进行管理、技术、数据、安全等建设过程中的风险预测和评估，制定风险对策，消除的不确定性因素，确保质量、工期、投资、功能和性能等达到预期的效果和目标。</w:t>
                  </w:r>
                </w:p>
                <w:p>
                  <w:pPr>
                    <w:pStyle w:val="null3"/>
                    <w:ind w:left="90" w:right="-45" w:firstLine="400"/>
                    <w:jc w:val="left"/>
                  </w:pPr>
                  <w:r>
                    <w:rPr>
                      <w:rFonts w:ascii="仿宋_GB2312" w:hAnsi="仿宋_GB2312" w:cs="仿宋_GB2312" w:eastAsia="仿宋_GB2312"/>
                      <w:sz w:val="20"/>
                    </w:rPr>
                    <w:t>2.协助采购人对合同签订、实施、进度、质量、投资、变更、验收、档案、财务、结算、决算、审计、资产移交、项目后评价等合规性控制。</w:t>
                  </w:r>
                </w:p>
                <w:p>
                  <w:pPr>
                    <w:pStyle w:val="null3"/>
                    <w:ind w:left="90" w:right="-45" w:firstLine="400"/>
                    <w:jc w:val="left"/>
                  </w:pPr>
                  <w:r>
                    <w:rPr>
                      <w:rFonts w:ascii="仿宋_GB2312" w:hAnsi="仿宋_GB2312" w:cs="仿宋_GB2312" w:eastAsia="仿宋_GB2312"/>
                      <w:sz w:val="20"/>
                    </w:rPr>
                    <w:t>3.协助采购人进行合规性评估、合规性监督等，有效降低合规性风险。确保项目建设全过程符合组织外部的法律、规则或标准，符合项目内部以及组织内部的规则或要求。</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9</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合同管理</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合同管理内容要求如下：</w:t>
                  </w:r>
                </w:p>
                <w:p>
                  <w:pPr>
                    <w:pStyle w:val="null3"/>
                    <w:ind w:left="90" w:right="-45" w:firstLine="400"/>
                    <w:jc w:val="left"/>
                  </w:pPr>
                  <w:r>
                    <w:rPr>
                      <w:rFonts w:ascii="仿宋_GB2312" w:hAnsi="仿宋_GB2312" w:cs="仿宋_GB2312" w:eastAsia="仿宋_GB2312"/>
                      <w:sz w:val="20"/>
                    </w:rPr>
                    <w:t>1.协助采购人审核承建合同条款的合规性、内容的完整性、商务条款的严谨性、技术条款的严谨性，并向采购人提出建议。</w:t>
                  </w:r>
                </w:p>
                <w:p>
                  <w:pPr>
                    <w:pStyle w:val="null3"/>
                    <w:ind w:left="90" w:right="-45" w:firstLine="400"/>
                    <w:jc w:val="left"/>
                  </w:pPr>
                  <w:r>
                    <w:rPr>
                      <w:rFonts w:ascii="仿宋_GB2312" w:hAnsi="仿宋_GB2312" w:cs="仿宋_GB2312" w:eastAsia="仿宋_GB2312"/>
                      <w:sz w:val="20"/>
                    </w:rPr>
                    <w:t>2.监督和跟踪项目合同规定的工期、质量、知识产权归属、服务、资金及其它条款的执行情况。</w:t>
                  </w:r>
                </w:p>
                <w:p>
                  <w:pPr>
                    <w:pStyle w:val="null3"/>
                    <w:ind w:left="90" w:right="-45" w:firstLine="400"/>
                    <w:jc w:val="left"/>
                  </w:pPr>
                  <w:r>
                    <w:rPr>
                      <w:rFonts w:ascii="仿宋_GB2312" w:hAnsi="仿宋_GB2312" w:cs="仿宋_GB2312" w:eastAsia="仿宋_GB2312"/>
                      <w:sz w:val="20"/>
                    </w:rPr>
                    <w:t>3.协助采购人处理合同执行过程中可能发生的合同纠纷。</w:t>
                  </w:r>
                </w:p>
                <w:p>
                  <w:pPr>
                    <w:pStyle w:val="null3"/>
                    <w:ind w:left="90" w:right="-45" w:firstLine="400"/>
                    <w:jc w:val="left"/>
                  </w:pPr>
                  <w:r>
                    <w:rPr>
                      <w:rFonts w:ascii="仿宋_GB2312" w:hAnsi="仿宋_GB2312" w:cs="仿宋_GB2312" w:eastAsia="仿宋_GB2312"/>
                      <w:sz w:val="20"/>
                    </w:rPr>
                    <w:t>4.审核合同执行情况，及时处理采购人或承建单位合同变更、需求变更，保持合同、协议及其附件内容的时效性和一致性。</w:t>
                  </w:r>
                </w:p>
                <w:p>
                  <w:pPr>
                    <w:pStyle w:val="null3"/>
                    <w:ind w:left="90" w:right="-45" w:firstLine="400"/>
                    <w:jc w:val="left"/>
                  </w:pPr>
                  <w:r>
                    <w:rPr>
                      <w:rFonts w:ascii="仿宋_GB2312" w:hAnsi="仿宋_GB2312" w:cs="仿宋_GB2312" w:eastAsia="仿宋_GB2312"/>
                      <w:sz w:val="20"/>
                    </w:rPr>
                    <w:t>5.监督和跟踪承建单位提供的技术服务，核实合同约定的建设内容和实际交付内容，提出监理意见和建议。</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10</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文档管理</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left"/>
                  </w:pPr>
                  <w:r>
                    <w:rPr>
                      <w:rFonts w:ascii="仿宋_GB2312" w:hAnsi="仿宋_GB2312" w:cs="仿宋_GB2312" w:eastAsia="仿宋_GB2312"/>
                      <w:sz w:val="20"/>
                    </w:rPr>
                    <w:t>文档管理的内容要求如下：</w:t>
                  </w:r>
                </w:p>
                <w:p>
                  <w:pPr>
                    <w:pStyle w:val="null3"/>
                    <w:ind w:firstLine="400"/>
                    <w:jc w:val="left"/>
                  </w:pPr>
                  <w:r>
                    <w:rPr>
                      <w:rFonts w:ascii="仿宋_GB2312" w:hAnsi="仿宋_GB2312" w:cs="仿宋_GB2312" w:eastAsia="仿宋_GB2312"/>
                      <w:sz w:val="20"/>
                    </w:rPr>
                    <w:t>1.按照国家相关法律、法规和政策文件的要求，以及采购人的特定要求，审核项目文档资料的完整性、规范性、真实性和有效性，应能真实准确反映项目建设管理过程和建设成果。</w:t>
                  </w:r>
                </w:p>
                <w:p>
                  <w:pPr>
                    <w:pStyle w:val="null3"/>
                    <w:ind w:firstLine="400"/>
                    <w:jc w:val="left"/>
                  </w:pPr>
                  <w:r>
                    <w:rPr>
                      <w:rFonts w:ascii="仿宋_GB2312" w:hAnsi="仿宋_GB2312" w:cs="仿宋_GB2312" w:eastAsia="仿宋_GB2312"/>
                      <w:sz w:val="20"/>
                    </w:rPr>
                    <w:t>2.按照国家和行业的相关标准规范和工程项目管理、审计等要求，编制监理文档。</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11</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安全保密管理</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安全保密管理的内容如下：</w:t>
                  </w:r>
                </w:p>
                <w:p>
                  <w:pPr>
                    <w:pStyle w:val="null3"/>
                    <w:ind w:left="90" w:right="-45" w:firstLine="400"/>
                    <w:jc w:val="left"/>
                  </w:pPr>
                  <w:r>
                    <w:rPr>
                      <w:rFonts w:ascii="仿宋_GB2312" w:hAnsi="仿宋_GB2312" w:cs="仿宋_GB2312" w:eastAsia="仿宋_GB2312"/>
                      <w:sz w:val="20"/>
                    </w:rPr>
                    <w:t>1.监督承建单位确保所系统的可用性、保密性、完整性，符合国家相关规定要求。</w:t>
                  </w:r>
                </w:p>
                <w:p>
                  <w:pPr>
                    <w:pStyle w:val="null3"/>
                    <w:ind w:left="90" w:right="-45" w:firstLine="400"/>
                    <w:jc w:val="left"/>
                  </w:pPr>
                  <w:r>
                    <w:rPr>
                      <w:rFonts w:ascii="仿宋_GB2312" w:hAnsi="仿宋_GB2312" w:cs="仿宋_GB2312" w:eastAsia="仿宋_GB2312"/>
                      <w:sz w:val="20"/>
                    </w:rPr>
                    <w:t>2.监督承建单位确保系统的安全性与可维护性在技术上无冲突。</w:t>
                  </w:r>
                </w:p>
                <w:p>
                  <w:pPr>
                    <w:pStyle w:val="null3"/>
                    <w:ind w:left="90" w:right="-45" w:firstLine="400"/>
                    <w:jc w:val="left"/>
                  </w:pPr>
                  <w:r>
                    <w:rPr>
                      <w:rFonts w:ascii="仿宋_GB2312" w:hAnsi="仿宋_GB2312" w:cs="仿宋_GB2312" w:eastAsia="仿宋_GB2312"/>
                      <w:sz w:val="20"/>
                    </w:rPr>
                    <w:t>3.监督承建单位在成本控制的前提下，确保系统设计没有漏洞。</w:t>
                  </w:r>
                </w:p>
                <w:p>
                  <w:pPr>
                    <w:pStyle w:val="null3"/>
                    <w:ind w:left="90" w:right="-45" w:firstLine="400"/>
                    <w:jc w:val="left"/>
                  </w:pPr>
                  <w:r>
                    <w:rPr>
                      <w:rFonts w:ascii="仿宋_GB2312" w:hAnsi="仿宋_GB2312" w:cs="仿宋_GB2312" w:eastAsia="仿宋_GB2312"/>
                      <w:sz w:val="20"/>
                    </w:rPr>
                    <w:t>4.检查系统设计、实施、部署是否存在安全隐患行为或现象，并对可能的信息安全问题进行跟踪。</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12</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知识产权管理</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知识产权管理内容如下：</w:t>
                  </w:r>
                </w:p>
                <w:p>
                  <w:pPr>
                    <w:pStyle w:val="null3"/>
                    <w:ind w:left="90" w:right="-45" w:firstLine="400"/>
                    <w:jc w:val="left"/>
                  </w:pPr>
                  <w:r>
                    <w:rPr>
                      <w:rFonts w:ascii="仿宋_GB2312" w:hAnsi="仿宋_GB2312" w:cs="仿宋_GB2312" w:eastAsia="仿宋_GB2312"/>
                      <w:sz w:val="20"/>
                    </w:rPr>
                    <w:t>1.检查并控制本系统所使用的商业化软件、硬件设备、文档资料等产品均为合法获得，严防非正版产品、非正规渠道进关产品、非针对本项目产品进场。</w:t>
                  </w:r>
                </w:p>
                <w:p>
                  <w:pPr>
                    <w:pStyle w:val="null3"/>
                    <w:ind w:left="90" w:right="-45" w:firstLine="400"/>
                    <w:jc w:val="left"/>
                  </w:pPr>
                  <w:r>
                    <w:rPr>
                      <w:rFonts w:ascii="仿宋_GB2312" w:hAnsi="仿宋_GB2312" w:cs="仿宋_GB2312" w:eastAsia="仿宋_GB2312"/>
                      <w:sz w:val="20"/>
                    </w:rPr>
                    <w:t>2.促使采购人和承建单位在项目建设过程中无违反知识产权或侵犯第三方知识产权的行为。</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13</w:t>
                  </w:r>
                </w:p>
              </w:tc>
              <w:tc>
                <w:tcPr>
                  <w:tcW w:type="dxa" w:w="171"/>
                  <w:vMerge/>
                  <w:tcBorders>
                    <w:top w:val="none" w:color="000000" w:sz="4"/>
                    <w:left w:val="none" w:color="000000" w:sz="4"/>
                    <w:bottom w:val="single" w:color="000000" w:sz="4"/>
                    <w:right w:val="single" w:color="000000" w:sz="4"/>
                  </w:tcBorders>
                </w:tc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组织协调</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组织协调内容如下：</w:t>
                  </w:r>
                </w:p>
                <w:p>
                  <w:pPr>
                    <w:pStyle w:val="null3"/>
                    <w:ind w:left="90" w:right="-45" w:firstLine="400"/>
                    <w:jc w:val="left"/>
                  </w:pPr>
                  <w:r>
                    <w:rPr>
                      <w:rFonts w:ascii="仿宋_GB2312" w:hAnsi="仿宋_GB2312" w:cs="仿宋_GB2312" w:eastAsia="仿宋_GB2312"/>
                      <w:sz w:val="20"/>
                    </w:rPr>
                    <w:t>1.通过口头、会议、书面或其他多种手段，协调承建单位、采购人、厂商之间的工作关系，保障服务的顺利开展。</w:t>
                  </w:r>
                </w:p>
                <w:p>
                  <w:pPr>
                    <w:pStyle w:val="null3"/>
                    <w:ind w:left="90" w:right="-45" w:firstLine="400"/>
                    <w:jc w:val="left"/>
                  </w:pPr>
                  <w:r>
                    <w:rPr>
                      <w:rFonts w:ascii="仿宋_GB2312" w:hAnsi="仿宋_GB2312" w:cs="仿宋_GB2312" w:eastAsia="仿宋_GB2312"/>
                      <w:sz w:val="20"/>
                    </w:rPr>
                    <w:t>2.主持召开工程例会、协调会、专题会并做好会议纪要，调解有关工程建设各种合同争议，处理索赔事项。</w:t>
                  </w:r>
                </w:p>
              </w:tc>
            </w:tr>
            <w:tr>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5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right="-75"/>
                    <w:jc w:val="center"/>
                  </w:pPr>
                  <w:r>
                    <w:rPr>
                      <w:rFonts w:ascii="仿宋_GB2312" w:hAnsi="仿宋_GB2312" w:cs="仿宋_GB2312" w:eastAsia="仿宋_GB2312"/>
                      <w:sz w:val="20"/>
                    </w:rPr>
                    <w:t>评估服务</w:t>
                  </w:r>
                </w:p>
              </w:tc>
              <w:tc>
                <w:tcPr>
                  <w:tcW w:type="dxa" w:w="20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90" w:right="-45" w:firstLine="400"/>
                    <w:jc w:val="left"/>
                  </w:pPr>
                  <w:r>
                    <w:rPr>
                      <w:rFonts w:ascii="仿宋_GB2312" w:hAnsi="仿宋_GB2312" w:cs="仿宋_GB2312" w:eastAsia="仿宋_GB2312"/>
                      <w:sz w:val="20"/>
                    </w:rPr>
                    <w:t>必要时，协助采购人进行项目评估。</w:t>
                  </w:r>
                </w:p>
                <w:p>
                  <w:pPr>
                    <w:pStyle w:val="null3"/>
                    <w:ind w:left="90" w:right="-45" w:firstLine="400"/>
                    <w:jc w:val="left"/>
                  </w:pPr>
                  <w:r>
                    <w:rPr>
                      <w:rFonts w:ascii="仿宋_GB2312" w:hAnsi="仿宋_GB2312" w:cs="仿宋_GB2312" w:eastAsia="仿宋_GB2312"/>
                      <w:sz w:val="20"/>
                    </w:rPr>
                    <w:t>1.协助采购人检查或返查项目建设全过程的合规性。</w:t>
                  </w:r>
                </w:p>
                <w:p>
                  <w:pPr>
                    <w:pStyle w:val="null3"/>
                    <w:ind w:left="90" w:right="-45" w:firstLine="400"/>
                    <w:jc w:val="left"/>
                  </w:pPr>
                  <w:r>
                    <w:rPr>
                      <w:rFonts w:ascii="仿宋_GB2312" w:hAnsi="仿宋_GB2312" w:cs="仿宋_GB2312" w:eastAsia="仿宋_GB2312"/>
                      <w:sz w:val="20"/>
                    </w:rPr>
                    <w:t>2.协助采购人编制项目绩效自评工作方案，制定评价指标体系。</w:t>
                  </w:r>
                </w:p>
                <w:p>
                  <w:pPr>
                    <w:pStyle w:val="null3"/>
                    <w:ind w:left="90" w:right="-45" w:firstLine="400"/>
                    <w:jc w:val="left"/>
                  </w:pPr>
                  <w:r>
                    <w:rPr>
                      <w:rFonts w:ascii="仿宋_GB2312" w:hAnsi="仿宋_GB2312" w:cs="仿宋_GB2312" w:eastAsia="仿宋_GB2312"/>
                      <w:sz w:val="20"/>
                    </w:rPr>
                    <w:t>3.协助采购人系统客观的分析评价已建成的项目目标、实施过程、效益、作用和影响等。</w:t>
                  </w:r>
                </w:p>
                <w:p>
                  <w:pPr>
                    <w:pStyle w:val="null3"/>
                    <w:ind w:left="90" w:right="-45" w:firstLine="400"/>
                    <w:jc w:val="left"/>
                  </w:pPr>
                  <w:r>
                    <w:rPr>
                      <w:rFonts w:ascii="仿宋_GB2312" w:hAnsi="仿宋_GB2312" w:cs="仿宋_GB2312" w:eastAsia="仿宋_GB2312"/>
                      <w:sz w:val="20"/>
                    </w:rPr>
                    <w:t>4.协助采购人自评，编制绩效自评报告，针对自评中出现的问题进行整改。</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详见采购需求及评分标准。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详见采购需求及评分标准。</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详见以上内容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详见以上内容</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60天内完成设备的采购，安装，调测，并交付使用；项目整体服务期为3年。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自监理服务合同签订之日起，到项目最终验收合格止（60日历天）。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满足采购人及招标文件要求。 2.验收方法： ①本项目验收费用，由乙方自行承担。 ②服务期满后，由乙方向甲方递交验收通知书，经甲方确认后，组织乙方进行系统验收（必要时招标人可委托具有相关资质的第三方检测机构/技术专家对本次服务进行系统验收，需要国家法定检验部门进行检验或验收的由乙方负责联系）。验收合格后，填写政府采购项目验收单作为对本次服务的最终认可。 ③验收依据：招标文件、中标人的投标文件及澄清（承诺）函、合同及国家相应的标准、规范等。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满足采购人及招标文件要求。 2.验收方法： ①本项目验收费用，由乙方自行承担。 ②服务期满后，由乙方向甲方递交验收通知书，经甲方确认后，组织乙方进行系统验收（必要时招标人可委托具有相关资质的第三方检测机构/技术专家对本次服务进行系统验收，需要国家法定检验部门进行检验或验收的由乙方负责联系）。验收合格后，填写政府采购项目验收单作为对本次服务的最终认可。 ③验收依据：招标文件、中标人的投标文件及澄清（承诺）函、合同及国家相应的标准、规范等。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合同签订后经实施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监理人员和设备同时进场后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整体项目最终验收合格后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合同签订后经实施</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设备进场后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整体项目最终验收合格后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本合同在履行过程中发生的争议，由甲、乙双方当事人协商解决，协商不成的按下列第（二）种方式解决: （一）提交西安仲裁委员会仲裁; （二）依法向甲方所在地人民法院起诉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本合同在履行过程中发生的争议，由甲、乙双方当事人协商解决，协商不成的按下列第（二）种方式解决: （一）提交西安仲裁委员会仲裁; （二）依法向甲方所在地人民法院起诉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 1.本项目所属行业为：软件和信息技术服务业。 2.中标/成交供应商在中标结果发布后3个工作日内，需提交与电子化平台提交内容一致的签字盖章后的纸质版投标文件，正本壹份、副本壹份，纸质投标文件标明供应商名称。若线上电子投标文件与纸质投标文件不一致的，以线上电子投标文件为准；若正本和副本不符，以正本为准。3.本项目实施过程中所产生（包括但不限于知识产权、数据资料、装备、设备、固定资产等）归采购方所有。 采购包2：1.本项目所属行业为：软件和信息技术服务业。 2.中标/成交供应商在中标结果发布后3个工作日内，需提交与电子化平台提交内容一致的签字盖章后的纸质版投标文件，正本壹份、副本壹份，纸质投标文件标明供应商名称。若线上电子投标文件与纸质投标文件不一致的，以线上电子投标文件为准；若正本和副本不符，以正本为准。3.本项目实施过程中所产生（包括但不限于知识产权、数据资料、装备、设备、固定资产等）归采购方所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营业执照等主体资格证明文件：供应商应是独立承担民事责任能力的法人、其他组织或自然人，法人、其他组织须提供合法有效的营业执照(或事业单位法人证书)等证明资料，自然人须提供身份证明。 注：分支机构在参与投标时，须提供总公司（总所）出具的授权书，总公司（总所）只能授权一家分支机构。经总公司（总所）授权后，总公司（总所）取得的相关资质证书对分支机构有效（法律法规或行业另有规定的除外）。</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提供2024年度经审计的财务报告或开标日期前三个月内其基本存款账户开户银行出具的资信证明及基本存款账户开户许可证（基本账户信息表）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具备履行合同技术能力书面声明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三年无重大违法记录书面声明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投标人未被列入信用中国网站(www.creditchina.gov.cn)“失信被执行人、重大税收违法失信主体”；不处于中国政府采购网(www.ccgp.gov.cn)“政府采购严重违法失信行为信息记录”中被财政部门禁止参加政府采购活动。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法定代表人（或单位负责人）直接参加投标，须出具法定代表人（或单位负责人）身份证，非法定代表人（或单位负责人）参加投标，须出具法定代表人（或单位负责人）授权书及被授权人身份证。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营业执照等主体资格证明文件：供应商应是独立承担民事责任能力的法人、其他组织或自然人，法人、其他组织须提供合法有效的营业执照(或事业单位法人证书)等证明资料，自然人须提供身份证明。 注：分支机构在参与投标时，须提供总公司（总所）出具的授权书，总公司（总所）只能授权一家分支机构。经总公司（总所）授权后，总公司（总所）取得的相关资质证书对分支机构有效（法律法规或行业另有规定的除外）。</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提供2024年度经审计的财务报告或开标日期前三个月内其基本存款账户开户银行出具的资信证明及基本存款账户开户许可证（基本账户信息表）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提供2024年8月至今已缴纳的至少一个月的纳税证明，依法免税的单位应提供相关证明材料。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具备履行合同技术能力书面声明</w:t>
            </w:r>
          </w:p>
        </w:tc>
        <w:tc>
          <w:tcPr>
            <w:tcW w:type="dxa" w:w="3322"/>
          </w:tcPr>
          <w:p>
            <w:pPr>
              <w:pStyle w:val="null3"/>
            </w:pPr>
            <w:r>
              <w:rPr>
                <w:rFonts w:ascii="仿宋_GB2312" w:hAnsi="仿宋_GB2312" w:cs="仿宋_GB2312" w:eastAsia="仿宋_GB2312"/>
              </w:rPr>
              <w:t>具备履行合同所必须的设备和专业技术能力的书面声明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三年无重大违法记录书面声明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投标人未被列入信用中国网站(www.creditchina.gov.cn)“失信被执行人、重大税收违法失信主体”；不处于中国政府采购网(www.ccgp.gov.cn)“政府采购严重违法失信行为信息记录”中被财政部门禁止参加政府采购活动。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法定代表人（或单位负责人）直接参加投标，须出具法定代表人（或单位负责人）身份证，非法定代表人（或单位负责人）参加投标，须出具法定代表人（或单位负责人）授权书及被授权人身份证。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（1）评审内容：针对本项目采购需求中各部分内容，提供相应的技术方案，方案内容包括但不限于①需求理解②重点难点分析③工作目标④工作内容⑤技术要求等； （2）评分标准 ①完整性：方案必须全面，对评审内容中的各项要求有详细描述； ②可实施性：切合本项目实际情况，提出切实可行、合理的方案； ③针对性：方案能够紧扣项目实际情况，内容科学合理，人员配置 符合本项目服务人员要求。 （3）赋分标准(满分15分) ①需求理解：每完全满足一个评审标准得1分，满分3分； ②重点难点分析：每完全满足一个评审标准得1分，满分3分；③工作目标：每完全满足一个评审标准得1分，满分3分；④工作内容：每完全满足一个评审标准得1分， 满分3分；⑤技术要求：每完全满足一个评审标准得1分，满分3分；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针对本项目采购需求中的内容，制定项目组织实施方案，方案完整可行，至少包含①施工方案总体工作安排②组织方案③项目进度安排计划④安全文明措施方案⑤施工工期保证措施⑥资金等保障措施⑦验收方案等: （2）评分标准 ①完整性：方案必须全面，对评审内容中的各项要求有详细描述；②可实施性：切合本项目实际情况，提出切实可行、合理的方案； ③针对性：方案能够紧扣项目实际情况，内容科学合理，人员配置 符合本项目服务人员要求。 （3）赋分标准(满分21分) ①施工方案总体工作安排：每完全满足一个评审标准得1分，满分3分； ②组织方案：每完全满足一个评审标准得1分，满分3分；③项目进度安排计划：每完全满足一个评审标准得1分，满分3分；④安全文明措施方案：每完全满足一个评审标准得1分， 满分3分；⑤施工工期保证措施：每完全满足一个评审标准得1分，满分3分；⑥资金等保障措施：每完全满足一个评审标准得1分，满分3分；⑦验收方案：每完全满足一个评审标准得1分，满分3分；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（1）评审内容：针对本项目采购需求中的内容，制定应急方案，内容包含：①应急预案；②应急人数及人员安排；③应急保障措施。 （2）评分标准：①完整性：方案必须全面，对评审内容中的各项要求有详细描述；②可实施性：切合本项目实际情况，提出切实可行、合理的方案；③针对性：方案能够紧扣项目实际情况，内容科学合理。 （3）赋分标准(满分10分) ①应急预案：每完全满足一个评审标准得1.5 分，每完全满足两个评审标准得3分；完全满足3个评分标准的满分4分； ②应急人数及人员安排：每完全满足一个评审标准得1分，满分3分； ③应急保障措施：每完全满足一个评审标准得1分，满分3分。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拟投入的团队人员配置方案</w:t>
            </w:r>
          </w:p>
        </w:tc>
        <w:tc>
          <w:tcPr>
            <w:tcW w:type="dxa" w:w="2492"/>
          </w:tcPr>
          <w:p>
            <w:pPr>
              <w:pStyle w:val="null3"/>
            </w:pPr>
            <w:r>
              <w:rPr>
                <w:rFonts w:ascii="仿宋_GB2312" w:hAnsi="仿宋_GB2312" w:cs="仿宋_GB2312" w:eastAsia="仿宋_GB2312"/>
              </w:rPr>
              <w:t>1、（1）评审内容：投标人应提供拟投入本项目的团队人员配置方案，内容包含：①团队 人员配置方案②岗位工作职责及管理制度③服务人员考核制度④服务人员培训、日常教育计划。 （2）评分标准：①完整性：方案必须全面，对评审内容中的各项要求有详细描述；②可实施性：切合本项目实际情况，提出切实可行、合理的方案；③针对性：方案能够紧扣项目实际情况，内容科学合理，人员配置符合本项目服务人员要求。 （3）赋分标准(满分12分) ①团队人员配置方案：每完全满足一个评审标准得1分，满分3分； ②岗位工作职责及管理制度：每完全满足一个评审标准得1分，满分3分； ③服务人员考核制度：每完全满足一个评审标准得1 分，满分3分； ④服务人员培训、日常教育计划：每完全满足一个评审标准得1分，满分3分。 2、拟投入的项目服务团队人员实力（5分）: 具有高级工程师资格，每提供一个得2分；具有中级工程师资格，每提供一个得1分，满分5分。（以上人员需提供开标前不含开标当月近6个月内任意1个月社保缴纳证明或劳动合同） 注：需明确投入本项目的人员岗位职务，未明确岗位职务的人员不算有效人员。</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针对本项目采购需求中的内容，制定质量保证措施内容，内容包括但不限于①质量目标②质量保证方法及措施； 1.质量保证措施内容全面详细，目标明确，科学合理、针对性强，计5分； 2.质量保证措施内容全面但描述不够详细，目标明确，科学合理、针对性强，计3分； 3.质量保证措施内容粗略，计1分；不提供不得分。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售后服务方案包括但不限于：售后服务保障措施或相关承诺、售后服务团队、本地化办公场所承诺或证明、故障响应时间及故障的检修和排除，对于运维的响应服务，定期回访、检修、保养等： （1）售后服务方案合理、可行，有定期回访、检测等方案切实可行计：5分； （2）售后服务方案基本合理、基本可行，定期回访、检测、保养等方案一般计：3分； （3）售后服务方案简单笼统，定期回访、检测、保养等方案较差计：1分。不提供不得分。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人员培训</w:t>
            </w:r>
          </w:p>
        </w:tc>
        <w:tc>
          <w:tcPr>
            <w:tcW w:type="dxa" w:w="2492"/>
          </w:tcPr>
          <w:p>
            <w:pPr>
              <w:pStyle w:val="null3"/>
            </w:pPr>
            <w:r>
              <w:rPr>
                <w:rFonts w:ascii="仿宋_GB2312" w:hAnsi="仿宋_GB2312" w:cs="仿宋_GB2312" w:eastAsia="仿宋_GB2312"/>
              </w:rPr>
              <w:t>针对本项目提供培训方案，方案包括但不限于①培训计划②培训内容③培训人员④培训方式⑤培训效果检验等。 1.方案内容全面、描述详细、可操作性强，计4分； 2.方案内容全面但部分描述不够详细、可操作性强，计2分； 3,方案内容粗略，计1分；不提供不得分。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提供2022年1月1日至今（以合同签订时间为准）类似项目业绩，每提供1个计2分，满分8分。业绩以合同为准。 注： 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挂高资源</w:t>
            </w:r>
          </w:p>
        </w:tc>
        <w:tc>
          <w:tcPr>
            <w:tcW w:type="dxa" w:w="2492"/>
          </w:tcPr>
          <w:p>
            <w:pPr>
              <w:pStyle w:val="null3"/>
            </w:pPr>
            <w:r>
              <w:rPr>
                <w:rFonts w:ascii="仿宋_GB2312" w:hAnsi="仿宋_GB2312" w:cs="仿宋_GB2312" w:eastAsia="仿宋_GB2312"/>
              </w:rPr>
              <w:t>投标人提供不少于36处能够承载高空云台的挂高资源（提供证明文件） 至少有20个得1.8分（低于20个不得分），每增加1处得0.2分，最多加3.2分，最低得0分。未提供不得分。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1.经初审合格的投标文件，其投标报价为有效投标报价。对符合《政府采购促进中小企业发展管理办法》（财库〔2020〕46号）规定的小微企业报价给予C1的扣除，用扣除后的价格参加评审。 2.满足招标文件实质性要求且报价最低的投标单位的价格为评标基准价，其价格分为满分10分。3.报价得分=（评标基准价/投标报价）×10的公式计算得分。4.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监理方案</w:t>
            </w:r>
          </w:p>
        </w:tc>
        <w:tc>
          <w:tcPr>
            <w:tcW w:type="dxa" w:w="2492"/>
          </w:tcPr>
          <w:p>
            <w:pPr>
              <w:pStyle w:val="null3"/>
            </w:pPr>
            <w:r>
              <w:rPr>
                <w:rFonts w:ascii="仿宋_GB2312" w:hAnsi="仿宋_GB2312" w:cs="仿宋_GB2312" w:eastAsia="仿宋_GB2312"/>
              </w:rPr>
              <w:t>监理目标和依据、监理范围与内容、监理方法与措施、监理流程、监理制度、控制和管理、组织协调等内容： （1）描述全面，适应本项目特点和建设内容。计7分； （2）描述笼统，基本适应本项目特点和建设内容。计4分； （3）无或其它计0分。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投标文件封面</w:t>
            </w:r>
          </w:p>
        </w:tc>
      </w:tr>
      <w:tr>
        <w:tc>
          <w:tcPr>
            <w:tcW w:type="dxa" w:w="831"/>
            <w:vMerge/>
          </w:tcP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项目建设目标、建设内容、项目特点、难点和重点等内容： （1）描述全面、准确，符合本项目实际情况和相关法律法规要求。计3分； （2）内容基本全面、准确，符合本项目实际情况和相关法律法规要求。计2分； （3）内容有严重缺陷。计1分； 无或其它计0分。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1.质量控制目标、控制流程、控制要点、方法和措施等； （1）内容描述全面。计2分。 （2）内容基本全面。计1分。 （3）无或其它计0分。 2.质量控制目标明确，控制流程、方法和措施合理，控制要点准确；适应本项目特点和建设内容，满足本项目质量控制的需要。 （1）适应本项目特点和建设内容，满足本项目质量控制的需要。计8分。 （2）基本适应本项目特点和建设内容，基本满足本项目质量控制的需要。计4分。 （3）质量控制有严重缺陷。计1分。 （4）无或其它计0分。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进度控制</w:t>
            </w:r>
          </w:p>
        </w:tc>
        <w:tc>
          <w:tcPr>
            <w:tcW w:type="dxa" w:w="2492"/>
          </w:tcPr>
          <w:p>
            <w:pPr>
              <w:pStyle w:val="null3"/>
            </w:pPr>
            <w:r>
              <w:rPr>
                <w:rFonts w:ascii="仿宋_GB2312" w:hAnsi="仿宋_GB2312" w:cs="仿宋_GB2312" w:eastAsia="仿宋_GB2312"/>
              </w:rPr>
              <w:t>1.进度控制目标、控制流程、控制要点、方法和措施等； （1）内容描述全面。计1分。 （2）内容基本全面。计0.5分。 （3）无或其它计0分。 2.进度控制目标明确，控制流程、方法和措施合理，控制要点准确； （1）适应本项目特点和建设内容，满足本项目进度控制的需要。计4分。 （2）基本适应本项目特点和建设内容，基本满足本项目进度控制的需要。计2分。 （3）进度控制有严重缺陷。计1分。 （4）无或其它计0分。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投资控制</w:t>
            </w:r>
          </w:p>
        </w:tc>
        <w:tc>
          <w:tcPr>
            <w:tcW w:type="dxa" w:w="2492"/>
          </w:tcPr>
          <w:p>
            <w:pPr>
              <w:pStyle w:val="null3"/>
            </w:pPr>
            <w:r>
              <w:rPr>
                <w:rFonts w:ascii="仿宋_GB2312" w:hAnsi="仿宋_GB2312" w:cs="仿宋_GB2312" w:eastAsia="仿宋_GB2312"/>
              </w:rPr>
              <w:t>1.投资控制目标、控制流程、控制要点、方法和措施等内容描述全面。 （1）内容描述全面。计1分。 （2）内容基本全面。计0.5分。 （3）无或其它计0分。 2.投资控制目标明确，控制流程、方法和措施合理，控制要点准确；适应本项目特点和建设内容，满足本项目投资控制的需要。 （1）适应本项目特点和建设内容，满足本项目投资控制的需要。计4分。 （2）基本适应本项目特点和建设内容，基本满足本项目投资控制的需要。计2分。 （3）投资控制有严重缺陷。计1分。 （4）无或其它计0分。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变更控制</w:t>
            </w:r>
          </w:p>
        </w:tc>
        <w:tc>
          <w:tcPr>
            <w:tcW w:type="dxa" w:w="2492"/>
          </w:tcPr>
          <w:p>
            <w:pPr>
              <w:pStyle w:val="null3"/>
            </w:pPr>
            <w:r>
              <w:rPr>
                <w:rFonts w:ascii="仿宋_GB2312" w:hAnsi="仿宋_GB2312" w:cs="仿宋_GB2312" w:eastAsia="仿宋_GB2312"/>
              </w:rPr>
              <w:t>1.变更控制目标、控制流程、控制要点、方法和措施等内容描述全面。 （1）内容描述全面。计1分。 （2）内容基本全面。计0.5分。 （3）无或其它计0分。 2.变更控制目标明确，控制流程、方法和措施合理，控制要点准确，符合法律法规和政策要求，适应本项目特点和建设内容，满足本项目变更控制的需要。 （1）适应本项目特点和建设内容，满足本项目变更控制的需要。计4分。 （2）基本适应本项目特点和建设内容，基本满足本项目变更控制的需要。计2分。 （3）变更控制有严重缺陷。计1分。 （4）无或其它计0分。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风险控制</w:t>
            </w:r>
          </w:p>
        </w:tc>
        <w:tc>
          <w:tcPr>
            <w:tcW w:type="dxa" w:w="2492"/>
          </w:tcPr>
          <w:p>
            <w:pPr>
              <w:pStyle w:val="null3"/>
            </w:pPr>
            <w:r>
              <w:rPr>
                <w:rFonts w:ascii="仿宋_GB2312" w:hAnsi="仿宋_GB2312" w:cs="仿宋_GB2312" w:eastAsia="仿宋_GB2312"/>
              </w:rPr>
              <w:t>1.风险控制控制目标、控制流程、控制要点、方法和措施等内容描述全面。 （1）内容描述全面。计2分。 （2）内容基本全面。计1分。 （3）无或其它计0分。 2.风险控制目标明确，控制流程、方法和措施合理，控制要点准确，符合法律法规和政策要求，适应本项目特点和建设内容，满足本项目风险控制的需要。 （1）适应本项目特点和建设内容，满足本项目风险控制的需要。计8分。 （2）基本适应本项目特点和建设内容，基本满足本项目风险控制的需要。计4分。 （3）风险控制有严重缺陷。计1分。 （4）无或其它计0分。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合同和文档管理</w:t>
            </w:r>
          </w:p>
        </w:tc>
        <w:tc>
          <w:tcPr>
            <w:tcW w:type="dxa" w:w="2492"/>
          </w:tcPr>
          <w:p>
            <w:pPr>
              <w:pStyle w:val="null3"/>
            </w:pPr>
            <w:r>
              <w:rPr>
                <w:rFonts w:ascii="仿宋_GB2312" w:hAnsi="仿宋_GB2312" w:cs="仿宋_GB2312" w:eastAsia="仿宋_GB2312"/>
              </w:rPr>
              <w:t>1.合同与文档管理目标、管理流程、管理要点、方法和措施等内容描述全面。 （1）内容描述全面。计1分。 （2）内容基本全面。计0.5分。 （3）无或其它计0分。 2.变更控制目标明确，控制流程、方法和措施合理，控制要点准确，文档资料分类齐全，符合相关法律法规和政策要求，能够真实、准确地反映本项目建设过程和成果，满足后期项目运行维护、项目结(决)算和竣工财务决算审计需要。 （1）符合相关法律法规和政策要求，能够真实、准确地反映本项目建设过程和成果，满足后期项目运行维护、项目结(决)算和竣工财务决算审计需要。计4分。 （2）基本符合相关法律法规和政策要求，基本能够真实、准确地反映本项目建设过程和成果，基本满足后期项目运行维护、项目结(决)算和竣工财务决算审计需要。计2分。 （3)合同和文档管理有严重缺陷。计1分。 （4）无或其它计0分。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信息安全保密管理</w:t>
            </w:r>
          </w:p>
        </w:tc>
        <w:tc>
          <w:tcPr>
            <w:tcW w:type="dxa" w:w="2492"/>
          </w:tcPr>
          <w:p>
            <w:pPr>
              <w:pStyle w:val="null3"/>
            </w:pPr>
            <w:r>
              <w:rPr>
                <w:rFonts w:ascii="仿宋_GB2312" w:hAnsi="仿宋_GB2312" w:cs="仿宋_GB2312" w:eastAsia="仿宋_GB2312"/>
              </w:rPr>
              <w:t>1.信息安全保密管理目标、管理要点、方法和措施等内容描述全面。 （1）内容描述全面。计1分。 （2）内容基本全面。计0.5分。 （3）无或其它计0分。 2.信息安全保密管理目标明确，控制要点准确，方法和措施合理，适应本项目特点和建设内容，符合项目信息安全保密实际需求。 （1）适应本项目特点和建设内容，符合项目信息安全保密实际需求。计4分。 （2）基本适应本项目特点和建设内容，基本符合项目信息安全保密实际需求。计2分。 （3）信息安全保密管理有严重缺陷。计1分。 （4）无或其它计0分。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知识产权保护和资产管理</w:t>
            </w:r>
          </w:p>
        </w:tc>
        <w:tc>
          <w:tcPr>
            <w:tcW w:type="dxa" w:w="2492"/>
          </w:tcPr>
          <w:p>
            <w:pPr>
              <w:pStyle w:val="null3"/>
            </w:pPr>
            <w:r>
              <w:rPr>
                <w:rFonts w:ascii="仿宋_GB2312" w:hAnsi="仿宋_GB2312" w:cs="仿宋_GB2312" w:eastAsia="仿宋_GB2312"/>
              </w:rPr>
              <w:t>1.知识产权保护和资产管理目标、管理要点、方法和措施等内容描述全面。 （1）内容描述全面。计1分。 （2）内容基本全面。计0.5分。 （3）无或其它计0分。 2.知识产权保护和资产管理目标明确，控制要点准确，措施合理，符合知识产权保护和资产管理实际需求。 （1）符合知识产权保护和资产管理实际需求。计4分。 （2）基本符合知识产权保护和资产管理实际需求。计2分。 （3）知识产权保护和资产管理有严重缺陷。计1分。 （4）无或其它计0分。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组织协调</w:t>
            </w:r>
          </w:p>
        </w:tc>
        <w:tc>
          <w:tcPr>
            <w:tcW w:type="dxa" w:w="2492"/>
          </w:tcPr>
          <w:p>
            <w:pPr>
              <w:pStyle w:val="null3"/>
            </w:pPr>
            <w:r>
              <w:rPr>
                <w:rFonts w:ascii="仿宋_GB2312" w:hAnsi="仿宋_GB2312" w:cs="仿宋_GB2312" w:eastAsia="仿宋_GB2312"/>
              </w:rPr>
              <w:t>1.组织协调目标、组织协调方法、三方配合程序等内容描述全面。 （1）内容描述全面。计1分。 （2）内容基本全面。计0.5分。 （3）无或其它计0分。 2.组织协调目标明确，组织协调方法科学合理，三方配合严密，符合本项目的特点和建设内容。 （1）三方配合严密，符合本项目的特点和建设内容。计4分。 （2）三方基本配合严密，基本符合本项目的特点和建设内容。计2分。 （3）组织协调有严重缺陷。计1分。 无或其它计0分。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项目监理部人员和经验</w:t>
            </w:r>
          </w:p>
        </w:tc>
        <w:tc>
          <w:tcPr>
            <w:tcW w:type="dxa" w:w="2492"/>
          </w:tcPr>
          <w:p>
            <w:pPr>
              <w:pStyle w:val="null3"/>
            </w:pPr>
            <w:r>
              <w:rPr>
                <w:rFonts w:ascii="仿宋_GB2312" w:hAnsi="仿宋_GB2312" w:cs="仿宋_GB2312" w:eastAsia="仿宋_GB2312"/>
              </w:rPr>
              <w:t>1.总监理工程师经验证明 (1)供应商为该项目配备总监理工程师1人，具备信息系统工程监理服务经验。提供能够证明总监理工程师承担过类似监理服务的业绩证明文件（以能够证明总监理工程师身份的监理服务合同，或者有总监理工程师签字且三方盖章的证明文件为准）。提供1份得1分，最高得4分。 (2)总监理工程师资格证书 具备信息系统项目管理师证书，得1分。 具备信息系统监理师证书，得1分。 2.拟派监理人员资格证书 供应商为本项目配备的监理工程师不少于4人。提供信息系统监理师相关证书，每提供1个得1分，共计4分。 3.拟派技术专家经验证明 (1)供应商为该项目配备的技术专家具备信息系统技术与管理咨询、技术指导、投资评审与审计、项目评估等经验。提供能够证明以个人身份参与的有效证明文件，或者以单位委派方式参与的有效证明文件，每提供1个得1分，共计3分。 (2)具备信息工程相关的高级职称证书，得2分。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监理经验</w:t>
            </w:r>
          </w:p>
        </w:tc>
        <w:tc>
          <w:tcPr>
            <w:tcW w:type="dxa" w:w="2492"/>
          </w:tcPr>
          <w:p>
            <w:pPr>
              <w:pStyle w:val="null3"/>
            </w:pPr>
            <w:r>
              <w:rPr>
                <w:rFonts w:ascii="仿宋_GB2312" w:hAnsi="仿宋_GB2312" w:cs="仿宋_GB2312" w:eastAsia="仿宋_GB2312"/>
              </w:rPr>
              <w:t>提供2022年1月以来的类似监理服务合同，与本项目特点和内容相适应。提供一份得1分，最高得5分。 注：监理服务合同不能证明项目建设内容的，视为无效证明文件。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监理承诺</w:t>
            </w:r>
          </w:p>
        </w:tc>
        <w:tc>
          <w:tcPr>
            <w:tcW w:type="dxa" w:w="2492"/>
          </w:tcPr>
          <w:p>
            <w:pPr>
              <w:pStyle w:val="null3"/>
            </w:pPr>
            <w:r>
              <w:rPr>
                <w:rFonts w:ascii="仿宋_GB2312" w:hAnsi="仿宋_GB2312" w:cs="仿宋_GB2312" w:eastAsia="仿宋_GB2312"/>
              </w:rPr>
              <w:t>（1）监理服务承诺简洁、具体、充实，不空洞，符合项目实际需要，计2分。 （2）监理服务承诺基本简洁、具体、充实，不空洞，基本符合项目实际需要，计1分。 （3）无或其它计0分。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（1）合理化建议具有针对性，符合本项目实际，对本项目实施具有一定的指导性，计3分。 （2）合理化建议基本具有针对性，基本符合本项目实际，计1分。 （3）无或其它计0分。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1.经初审合格的投标文件，其投标报价为有效投标报价。对符合《政府采购促进中小企业发展管理办法》（财库〔2020〕46号）规定的小微企业报价给予C1的扣除，用扣除后的价格参加评审。 2.满足招标文件实质性要求且报价最低的投标单位的价格为评标基准价，其价格分为满分10分。3.报价得分=（评标基准价/投标报价）×10的公式计算得分。 4.投标报价不完整的，不进入评标基准价的计算，本项得0分。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详见附件：合同9.28.docx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