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版本号：PM招2024-01719(二次)20250928001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西南二环立交交通优化工程、二环路雁塔路立交交通优化工程竣工环境保护验收项目(二次)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PM招2024-01719(二次)</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普迈项目管理集团有限公司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普迈项目管理集团有限公司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西南二环立交交通优化工程、二环路雁塔路立交交通优化工程竣工环境保护验收项目(二次)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PM招2024-01719(二次)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西南二环立交交通优化工程、二环路雁塔路立交交通优化工程竣工环境保护验收项目(二次)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西南二环立交交通优化工程、二环路雁塔路立交交通优化工程竣工环境保护验收项目，1项，具体内容详见采购文件第三章。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8、投标人不得存在下列情形之一：单位负责人为同一人或者存在直接控股、管理关系的不同供应商不得参加同一合同项下的政府采购活动；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金一哲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89831059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普迈项目管理集团有限公司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陕西省西安市雁塔区太白南路139号荣禾云图中心11幢4层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杨蕊、付越豪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029-85226705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供应商应依据成交金额向采购代理机构交纳成交服务费，交费金额参照国家计委颁布的《招标代理服务收费管理暂行办法》（计价格[2002]1980号）及发改办价格[2003]857号文件的规定标准下浮10%执行。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普迈项目管理集团有限公司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普迈项目管理集团有限公司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普迈项目管理集团有限公司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1.验收标准：符合国家相关现行行业规范标准要求及采购人需求。2.确保建设项目落实环评批复要求，污染防治设施有效运行，生态环境影响可控并完成市政工程竣工环境保护验收。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联系人：杨蕊、付越豪</w:t>
      </w:r>
    </w:p>
    <w:p>
      <w:pPr>
        <w:pStyle w:val="null3"/>
      </w:pPr>
      <w:r>
        <w:rPr>
          <w:rFonts w:ascii="仿宋_GB2312" w:hAnsi="仿宋_GB2312" w:cs="仿宋_GB2312" w:eastAsia="仿宋_GB2312"/>
        </w:rPr>
        <w:t>联系电话：18710719971</w:t>
      </w:r>
    </w:p>
    <w:p>
      <w:pPr>
        <w:pStyle w:val="null3"/>
      </w:pPr>
      <w:r>
        <w:rPr>
          <w:rFonts w:ascii="仿宋_GB2312" w:hAnsi="仿宋_GB2312" w:cs="仿宋_GB2312" w:eastAsia="仿宋_GB2312"/>
        </w:rPr>
        <w:t>地址：陕西省西安市雁塔区太白南路139号荣禾云图中心11幢4层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确保建设项目落实环评批复要求，污染防治设施有效运行，生态环境影响可控并完成市政工程竣工环境保护验收。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西南二环立交交通优化工程、二环路雁塔路立交交通优化工程竣工环境保护验收项目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标的名称：西南二环立交交通优化工程、二环路雁塔路立交交通优化工程竣工环境保护验收项目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工程概况</w:t>
            </w:r>
          </w:p>
          <w:p>
            <w:pPr>
              <w:pStyle w:val="null3"/>
              <w:ind w:firstLine="480"/>
              <w:jc w:val="both"/>
            </w:pPr>
            <w:r>
              <w:rPr>
                <w:rFonts w:ascii="仿宋_GB2312" w:hAnsi="仿宋_GB2312" w:cs="仿宋_GB2312" w:eastAsia="仿宋_GB2312"/>
                <w:sz w:val="20"/>
                <w:shd w:fill="FFFFFF" w:val="clear"/>
              </w:rPr>
              <w:t>西南二环立交交通优化工程：</w:t>
            </w:r>
            <w:r>
              <w:rPr>
                <w:rFonts w:ascii="仿宋_GB2312" w:hAnsi="仿宋_GB2312" w:cs="仿宋_GB2312" w:eastAsia="仿宋_GB2312"/>
                <w:sz w:val="20"/>
              </w:rPr>
              <w:t>项目南起南二环与桃园南路交叉口，北至西二环与大庆路交叉口，工程全长</w:t>
            </w:r>
            <w:r>
              <w:rPr>
                <w:rFonts w:ascii="仿宋_GB2312" w:hAnsi="仿宋_GB2312" w:cs="仿宋_GB2312" w:eastAsia="仿宋_GB2312"/>
                <w:sz w:val="20"/>
              </w:rPr>
              <w:t>3.49Km，共包括两个区域五项内容：1.西南二环立交部分，具体内容为：（1）南二环两段主线落地段改造为高架桥，与现状高架衔接；（2）补齐昆明路—西二环左转匝道桥、唐延路—西二环直行匝道桥、西二环—沣惠南路直行匝道桥、西二环—昆明路右转匝道桥，共计4 条；2.西二环（昆明路-大庆路）段提升改造部分，具体内容为：（1）西二环主线桥（昆明路-丰镐西路）段由现状双向四车道提升至双向六车道加两侧集散车道，丰镐西路以北主线落地段两侧新建上下平行匝道；（2）对西二环下桥匝道的衔接道路进行优化提升；（3）对工程范围内的地面交通组织进行优化。利用桥下空间贯通丰登南路群贤路南北向交通，并对丰镐西路、大庆路片区地面交通进行梳理。</w:t>
            </w:r>
          </w:p>
          <w:p>
            <w:pPr>
              <w:pStyle w:val="null3"/>
              <w:ind w:firstLine="440"/>
              <w:jc w:val="both"/>
            </w:pPr>
            <w:r>
              <w:rPr>
                <w:rFonts w:ascii="仿宋_GB2312" w:hAnsi="仿宋_GB2312" w:cs="仿宋_GB2312" w:eastAsia="仿宋_GB2312"/>
                <w:sz w:val="20"/>
              </w:rPr>
              <w:t>项目地点：项目南起南二环与桃园南路交叉口，北至西二环与大庆路交叉口。</w:t>
            </w:r>
          </w:p>
          <w:p>
            <w:pPr>
              <w:pStyle w:val="null3"/>
              <w:ind w:firstLine="440"/>
              <w:jc w:val="both"/>
            </w:pPr>
            <w:r>
              <w:rPr>
                <w:rFonts w:ascii="仿宋_GB2312" w:hAnsi="仿宋_GB2312" w:cs="仿宋_GB2312" w:eastAsia="仿宋_GB2312"/>
                <w:sz w:val="20"/>
              </w:rPr>
              <w:t>二环路雁塔路立交交通优化工程：维持二环路主线交通形式不变，在保证地铁及立交区内地下重要管线安全的前提下，对雁塔路立交和太乙路立交联动优化。具体内容为：（</w:t>
            </w:r>
            <w:r>
              <w:rPr>
                <w:rFonts w:ascii="仿宋_GB2312" w:hAnsi="仿宋_GB2312" w:cs="仿宋_GB2312" w:eastAsia="仿宋_GB2312"/>
                <w:sz w:val="20"/>
              </w:rPr>
              <w:t>1）对雁塔路立交三个地面匝道进行拓宽、二层中央镂空区域加设盖板，并对立交周边二环路道路交通进行优化提升；（2）对太乙路立交主线桥进行拼宽，增加车道；（3）对雁塔路、建设路等周边路网进行提升改造，迁移兵工局现状天桥和在建设路东口增设人行天桥。</w:t>
            </w:r>
          </w:p>
          <w:p>
            <w:pPr>
              <w:pStyle w:val="null3"/>
              <w:ind w:firstLine="440"/>
              <w:jc w:val="both"/>
            </w:pPr>
            <w:r>
              <w:rPr>
                <w:rFonts w:ascii="仿宋_GB2312" w:hAnsi="仿宋_GB2312" w:cs="仿宋_GB2312" w:eastAsia="仿宋_GB2312"/>
                <w:sz w:val="20"/>
              </w:rPr>
              <w:t>项目地点：雁塔路立交、太乙路立交、建设路、雁塔北路。</w:t>
            </w:r>
          </w:p>
          <w:p>
            <w:pPr>
              <w:pStyle w:val="null3"/>
              <w:jc w:val="both"/>
            </w:pPr>
            <w:r>
              <w:rPr>
                <w:rFonts w:ascii="仿宋_GB2312" w:hAnsi="仿宋_GB2312" w:cs="仿宋_GB2312" w:eastAsia="仿宋_GB2312"/>
                <w:sz w:val="20"/>
                <w:b/>
              </w:rPr>
              <w:t>二、采购内容</w:t>
            </w:r>
          </w:p>
          <w:p>
            <w:pPr>
              <w:pStyle w:val="null3"/>
              <w:ind w:firstLine="440"/>
              <w:jc w:val="both"/>
            </w:pPr>
            <w:r>
              <w:rPr>
                <w:rFonts w:ascii="仿宋_GB2312" w:hAnsi="仿宋_GB2312" w:cs="仿宋_GB2312" w:eastAsia="仿宋_GB2312"/>
                <w:sz w:val="20"/>
              </w:rPr>
              <w:t>1、项目名称：</w:t>
            </w:r>
            <w:r>
              <w:rPr>
                <w:rFonts w:ascii="仿宋_GB2312" w:hAnsi="仿宋_GB2312" w:cs="仿宋_GB2312" w:eastAsia="仿宋_GB2312"/>
                <w:sz w:val="20"/>
                <w:shd w:fill="FFFFFF" w:val="clear"/>
              </w:rPr>
              <w:t>西南二环立交交通优化工程、二环路雁塔路立交交通优化工程竣工环境保护验收项目</w:t>
            </w:r>
          </w:p>
          <w:p>
            <w:pPr>
              <w:pStyle w:val="null3"/>
              <w:ind w:firstLine="440"/>
              <w:jc w:val="both"/>
            </w:pPr>
            <w:r>
              <w:rPr>
                <w:rFonts w:ascii="仿宋_GB2312" w:hAnsi="仿宋_GB2312" w:cs="仿宋_GB2312" w:eastAsia="仿宋_GB2312"/>
                <w:sz w:val="20"/>
              </w:rPr>
              <w:t>2、采购需求</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确保建设项目落实环评批复要求，污染防治设施有效运行，生态环境影响可控并完成市政工程竣工环境保护验收等工作。</w:t>
            </w:r>
          </w:p>
          <w:p>
            <w:pPr>
              <w:pStyle w:val="null3"/>
              <w:ind w:firstLine="440"/>
              <w:jc w:val="both"/>
            </w:pPr>
            <w:r>
              <w:rPr>
                <w:rFonts w:ascii="仿宋_GB2312" w:hAnsi="仿宋_GB2312" w:cs="仿宋_GB2312" w:eastAsia="仿宋_GB2312"/>
                <w:sz w:val="20"/>
                <w:shd w:fill="FFFFFF" w:val="clear"/>
              </w:rPr>
              <w:t>3、服务期限：合同签订之日起至</w:t>
            </w:r>
            <w:r>
              <w:rPr>
                <w:rFonts w:ascii="仿宋_GB2312" w:hAnsi="仿宋_GB2312" w:cs="仿宋_GB2312" w:eastAsia="仿宋_GB2312"/>
                <w:sz w:val="20"/>
                <w:shd w:fill="FFFFFF" w:val="clear"/>
              </w:rPr>
              <w:t>各工程</w:t>
            </w:r>
            <w:r>
              <w:rPr>
                <w:rFonts w:ascii="仿宋_GB2312" w:hAnsi="仿宋_GB2312" w:cs="仿宋_GB2312" w:eastAsia="仿宋_GB2312"/>
                <w:sz w:val="20"/>
                <w:shd w:fill="FFFFFF" w:val="clear"/>
              </w:rPr>
              <w:t>环保竣工验收合格止。如遇不可抗拒因素，时限可相应顺延。</w:t>
            </w:r>
          </w:p>
          <w:p>
            <w:pPr>
              <w:pStyle w:val="null3"/>
              <w:spacing w:before="60"/>
              <w:jc w:val="both"/>
            </w:pPr>
            <w:r>
              <w:rPr>
                <w:rFonts w:ascii="仿宋_GB2312" w:hAnsi="仿宋_GB2312" w:cs="仿宋_GB2312" w:eastAsia="仿宋_GB2312"/>
                <w:sz w:val="20"/>
                <w:shd w:fill="FFFFFF" w:val="clear"/>
              </w:rPr>
              <w:t>4、采购预算：</w:t>
            </w:r>
            <w:r>
              <w:rPr>
                <w:rFonts w:ascii="仿宋_GB2312" w:hAnsi="仿宋_GB2312" w:cs="仿宋_GB2312" w:eastAsia="仿宋_GB2312"/>
                <w:sz w:val="20"/>
                <w:shd w:fill="FFFFFF" w:val="clear"/>
              </w:rPr>
              <w:t>38</w:t>
            </w:r>
            <w:r>
              <w:rPr>
                <w:rFonts w:ascii="仿宋_GB2312" w:hAnsi="仿宋_GB2312" w:cs="仿宋_GB2312" w:eastAsia="仿宋_GB2312"/>
                <w:sz w:val="20"/>
                <w:shd w:fill="FFFFFF" w:val="clear"/>
              </w:rPr>
              <w:t>0000.00元，最高限价：</w:t>
            </w:r>
            <w:r>
              <w:rPr>
                <w:rFonts w:ascii="仿宋_GB2312" w:hAnsi="仿宋_GB2312" w:cs="仿宋_GB2312" w:eastAsia="仿宋_GB2312"/>
                <w:sz w:val="20"/>
                <w:shd w:fill="FFFFFF" w:val="clear"/>
              </w:rPr>
              <w:t>38</w:t>
            </w:r>
            <w:r>
              <w:rPr>
                <w:rFonts w:ascii="仿宋_GB2312" w:hAnsi="仿宋_GB2312" w:cs="仿宋_GB2312" w:eastAsia="仿宋_GB2312"/>
                <w:sz w:val="20"/>
                <w:shd w:fill="FFFFFF" w:val="clear"/>
              </w:rPr>
              <w:t>0000.00元。</w:t>
            </w:r>
          </w:p>
          <w:p>
            <w:pPr>
              <w:pStyle w:val="null3"/>
              <w:spacing w:before="60"/>
              <w:jc w:val="both"/>
            </w:pPr>
            <w:r>
              <w:rPr>
                <w:rFonts w:ascii="仿宋_GB2312" w:hAnsi="仿宋_GB2312" w:cs="仿宋_GB2312" w:eastAsia="仿宋_GB2312"/>
                <w:sz w:val="20"/>
              </w:rPr>
              <w:t>附件</w:t>
            </w:r>
            <w:r>
              <w:rPr>
                <w:rFonts w:ascii="仿宋_GB2312" w:hAnsi="仿宋_GB2312" w:cs="仿宋_GB2312" w:eastAsia="仿宋_GB2312"/>
                <w:sz w:val="20"/>
              </w:rPr>
              <w:t>1</w:t>
            </w:r>
            <w:r>
              <w:rPr>
                <w:rFonts w:ascii="仿宋_GB2312" w:hAnsi="仿宋_GB2312" w:cs="仿宋_GB2312" w:eastAsia="仿宋_GB2312"/>
                <w:sz w:val="20"/>
              </w:rPr>
              <w:t>.最高限价</w:t>
            </w:r>
            <w:r>
              <w:rPr>
                <w:rFonts w:ascii="仿宋_GB2312" w:hAnsi="仿宋_GB2312" w:cs="仿宋_GB2312" w:eastAsia="仿宋_GB2312"/>
                <w:sz w:val="20"/>
              </w:rPr>
              <w:t>明细</w:t>
            </w:r>
            <w:r>
              <w:rPr>
                <w:rFonts w:ascii="仿宋_GB2312" w:hAnsi="仿宋_GB2312" w:cs="仿宋_GB2312" w:eastAsia="仿宋_GB2312"/>
                <w:sz w:val="20"/>
              </w:rPr>
              <w:t>表</w:t>
            </w:r>
            <w:r>
              <w:rPr>
                <w:rFonts w:ascii="仿宋_GB2312" w:hAnsi="仿宋_GB2312" w:cs="仿宋_GB2312" w:eastAsia="仿宋_GB2312"/>
                <w:sz w:val="20"/>
              </w:rPr>
              <w:t>（</w:t>
            </w:r>
            <w:r>
              <w:rPr>
                <w:rFonts w:ascii="仿宋_GB2312" w:hAnsi="仿宋_GB2312" w:cs="仿宋_GB2312" w:eastAsia="仿宋_GB2312"/>
                <w:sz w:val="20"/>
              </w:rPr>
              <w:t>单位：万元</w:t>
            </w:r>
            <w:r>
              <w:rPr>
                <w:rFonts w:ascii="仿宋_GB2312" w:hAnsi="仿宋_GB2312" w:cs="仿宋_GB2312" w:eastAsia="仿宋_GB2312"/>
                <w:sz w:val="20"/>
              </w:rPr>
              <w:t>）</w:t>
            </w:r>
          </w:p>
          <w:tbl>
            <w:tblPr>
              <w:tblInd w:type="dxa" w:w="120"/>
              <w:tblBorders>
                <w:top w:val="none" w:color="000000" w:sz="4"/>
                <w:left w:val="none" w:color="000000" w:sz="4"/>
                <w:bottom w:val="none" w:color="000000" w:sz="4"/>
                <w:right w:val="none" w:color="000000" w:sz="4"/>
                <w:insideH w:val="none"/>
                <w:insideV w:val="none"/>
              </w:tblBorders>
            </w:tblPr>
            <w:tblGrid>
              <w:gridCol w:w="97"/>
              <w:gridCol w:w="1186"/>
              <w:gridCol w:w="493"/>
              <w:gridCol w:w="777"/>
            </w:tblGrid>
            <w:tr>
              <w:tc>
                <w:tcPr>
                  <w:tcW w:type="dxa" w:w="97"/>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18"/>
                    </w:rPr>
                    <w:t>序号</w:t>
                  </w:r>
                </w:p>
              </w:tc>
              <w:tc>
                <w:tcPr>
                  <w:tcW w:type="dxa" w:w="1186"/>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18"/>
                    </w:rPr>
                    <w:t>项目内容</w:t>
                  </w:r>
                </w:p>
              </w:tc>
              <w:tc>
                <w:tcPr>
                  <w:tcW w:type="dxa" w:w="493"/>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18"/>
                    </w:rPr>
                    <w:t>分项限价</w:t>
                  </w:r>
                </w:p>
                <w:p>
                  <w:pPr>
                    <w:pStyle w:val="null3"/>
                    <w:spacing w:before="75"/>
                    <w:jc w:val="center"/>
                  </w:pPr>
                </w:p>
              </w:tc>
              <w:tc>
                <w:tcPr>
                  <w:tcW w:type="dxa" w:w="777"/>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合计总价</w:t>
                  </w:r>
                </w:p>
                <w:p>
                  <w:pPr>
                    <w:pStyle w:val="null3"/>
                    <w:spacing w:before="75"/>
                    <w:jc w:val="center"/>
                  </w:pPr>
                  <w:r>
                    <w:rPr>
                      <w:rFonts w:ascii="仿宋_GB2312" w:hAnsi="仿宋_GB2312" w:cs="仿宋_GB2312" w:eastAsia="仿宋_GB2312"/>
                      <w:sz w:val="18"/>
                    </w:rPr>
                    <w:t>最高限价</w:t>
                  </w:r>
                </w:p>
              </w:tc>
            </w:tr>
            <w:tr>
              <w:tc>
                <w:tcPr>
                  <w:tcW w:type="dxa" w:w="97"/>
                  <w:vMerge/>
                  <w:tcBorders>
                    <w:top w:val="single" w:color="000000" w:sz="4"/>
                    <w:left w:val="single" w:color="000000" w:sz="4"/>
                    <w:bottom w:val="single" w:color="000000" w:sz="4"/>
                    <w:right w:val="single" w:color="000000" w:sz="4"/>
                  </w:tcBorders>
                </w:tcPr>
                <w:p/>
              </w:tc>
              <w:tc>
                <w:tcPr>
                  <w:tcW w:type="dxa" w:w="1186"/>
                  <w:vMerge/>
                  <w:tcBorders>
                    <w:top w:val="single" w:color="000000" w:sz="4"/>
                    <w:left w:val="none" w:color="000000" w:sz="4"/>
                    <w:bottom w:val="single" w:color="000000" w:sz="4"/>
                    <w:right w:val="single" w:color="000000" w:sz="4"/>
                  </w:tcBorders>
                </w:tcPr>
                <w:p/>
              </w:tc>
              <w:tc>
                <w:tcPr>
                  <w:tcW w:type="dxa" w:w="493"/>
                  <w:vMerge/>
                  <w:tcBorders>
                    <w:top w:val="single" w:color="000000" w:sz="4"/>
                    <w:left w:val="none" w:color="000000" w:sz="4"/>
                    <w:bottom w:val="single" w:color="000000" w:sz="4"/>
                    <w:right w:val="single" w:color="000000" w:sz="4"/>
                  </w:tcBorders>
                </w:tcPr>
                <w:p/>
              </w:tc>
              <w:tc>
                <w:tcPr>
                  <w:tcW w:type="dxa" w:w="777"/>
                  <w:vMerge/>
                  <w:tcBorders>
                    <w:top w:val="single" w:color="000000" w:sz="4"/>
                    <w:left w:val="none" w:color="000000" w:sz="4"/>
                    <w:bottom w:val="single" w:color="000000" w:sz="4"/>
                    <w:right w:val="single" w:color="000000" w:sz="4"/>
                  </w:tcBorders>
                </w:tcPr>
                <w:p/>
              </w:tc>
            </w:tr>
            <w:tr>
              <w:tc>
                <w:tcPr>
                  <w:tcW w:type="dxa" w:w="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18"/>
                    </w:rPr>
                    <w:t>1</w:t>
                  </w: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18"/>
                    </w:rPr>
                    <w:t>西南二环立交交通优化工程</w:t>
                  </w:r>
                  <w:r>
                    <w:rPr>
                      <w:rFonts w:ascii="仿宋_GB2312" w:hAnsi="仿宋_GB2312" w:cs="仿宋_GB2312" w:eastAsia="仿宋_GB2312"/>
                      <w:sz w:val="20"/>
                      <w:shd w:fill="FFFFFF" w:val="clear"/>
                    </w:rPr>
                    <w:t>竣工环境保护验收</w:t>
                  </w:r>
                </w:p>
              </w:tc>
              <w:tc>
                <w:tcPr>
                  <w:tcW w:type="dxa" w:w="4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18"/>
                    </w:rPr>
                    <w:t>22</w:t>
                  </w:r>
                  <w:r>
                    <w:rPr>
                      <w:rFonts w:ascii="仿宋_GB2312" w:hAnsi="仿宋_GB2312" w:cs="仿宋_GB2312" w:eastAsia="仿宋_GB2312"/>
                      <w:sz w:val="18"/>
                    </w:rPr>
                    <w:t>.00</w:t>
                  </w:r>
                </w:p>
              </w:tc>
              <w:tc>
                <w:tcPr>
                  <w:tcW w:type="dxa" w:w="77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18"/>
                    </w:rPr>
                    <w:t>38</w:t>
                  </w:r>
                  <w:r>
                    <w:rPr>
                      <w:rFonts w:ascii="仿宋_GB2312" w:hAnsi="仿宋_GB2312" w:cs="仿宋_GB2312" w:eastAsia="仿宋_GB2312"/>
                      <w:sz w:val="18"/>
                    </w:rPr>
                    <w:t>.00</w:t>
                  </w:r>
                </w:p>
              </w:tc>
            </w:tr>
            <w:tr>
              <w:tc>
                <w:tcPr>
                  <w:tcW w:type="dxa" w:w="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18"/>
                    </w:rPr>
                    <w:t>2</w:t>
                  </w: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18"/>
                    </w:rPr>
                    <w:t>二环路雁塔路立交交通优化工程</w:t>
                  </w:r>
                  <w:r>
                    <w:rPr>
                      <w:rFonts w:ascii="仿宋_GB2312" w:hAnsi="仿宋_GB2312" w:cs="仿宋_GB2312" w:eastAsia="仿宋_GB2312"/>
                      <w:sz w:val="20"/>
                      <w:shd w:fill="FFFFFF" w:val="clear"/>
                    </w:rPr>
                    <w:t>竣工环境保护验收</w:t>
                  </w:r>
                </w:p>
              </w:tc>
              <w:tc>
                <w:tcPr>
                  <w:tcW w:type="dxa" w:w="4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16</w:t>
                  </w:r>
                  <w:r>
                    <w:rPr>
                      <w:rFonts w:ascii="仿宋_GB2312" w:hAnsi="仿宋_GB2312" w:cs="仿宋_GB2312" w:eastAsia="仿宋_GB2312"/>
                      <w:sz w:val="18"/>
                    </w:rPr>
                    <w:t>.00</w:t>
                  </w:r>
                </w:p>
              </w:tc>
              <w:tc>
                <w:tcPr>
                  <w:tcW w:type="dxa" w:w="777"/>
                  <w:vMerge/>
                  <w:tcBorders>
                    <w:top w:val="none" w:color="000000" w:sz="4"/>
                    <w:left w:val="none" w:color="000000" w:sz="4"/>
                    <w:bottom w:val="single" w:color="000000" w:sz="4"/>
                    <w:right w:val="single" w:color="000000" w:sz="4"/>
                  </w:tcBorders>
                </w:tcPr>
                <w:p/>
              </w:tc>
            </w:tr>
          </w:tbl>
          <w:p>
            <w:pPr>
              <w:pStyle w:val="null3"/>
              <w:ind w:firstLine="440"/>
              <w:jc w:val="both"/>
            </w:pP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、结算单位：采购人结算，具体以合同结算为准。</w:t>
            </w:r>
          </w:p>
          <w:p>
            <w:pPr>
              <w:pStyle w:val="null3"/>
              <w:ind w:firstLine="440"/>
              <w:jc w:val="both"/>
            </w:pPr>
            <w:r>
              <w:rPr>
                <w:rFonts w:ascii="仿宋_GB2312" w:hAnsi="仿宋_GB2312" w:cs="仿宋_GB2312" w:eastAsia="仿宋_GB2312"/>
                <w:sz w:val="20"/>
                <w:shd w:fill="FFFFFF" w:val="clear"/>
              </w:rPr>
              <w:t>付款方式</w:t>
            </w:r>
            <w:r>
              <w:rPr>
                <w:rFonts w:ascii="仿宋_GB2312" w:hAnsi="仿宋_GB2312" w:cs="仿宋_GB2312" w:eastAsia="仿宋_GB2312"/>
                <w:sz w:val="20"/>
              </w:rPr>
              <w:t>：以合同约定为准。</w:t>
            </w:r>
          </w:p>
          <w:p>
            <w:pPr>
              <w:pStyle w:val="null3"/>
              <w:jc w:val="both"/>
            </w:pPr>
            <w:r>
              <w:rPr>
                <w:rFonts w:ascii="仿宋_GB2312" w:hAnsi="仿宋_GB2312" w:cs="仿宋_GB2312" w:eastAsia="仿宋_GB2312"/>
                <w:sz w:val="20"/>
                <w:b/>
              </w:rPr>
              <w:t>三、服务内容及要求</w:t>
            </w:r>
          </w:p>
          <w:p>
            <w:pPr>
              <w:pStyle w:val="null3"/>
              <w:ind w:firstLine="440"/>
              <w:jc w:val="both"/>
            </w:pPr>
            <w:r>
              <w:rPr>
                <w:rFonts w:ascii="仿宋_GB2312" w:hAnsi="仿宋_GB2312" w:cs="仿宋_GB2312" w:eastAsia="仿宋_GB2312"/>
                <w:sz w:val="20"/>
                <w:shd w:fill="FFFFFF" w:val="clear"/>
              </w:rPr>
              <w:t>1、服务内容及要求</w:t>
            </w:r>
          </w:p>
          <w:p>
            <w:pPr>
              <w:pStyle w:val="null3"/>
              <w:ind w:firstLine="440"/>
              <w:jc w:val="both"/>
            </w:pPr>
            <w:r>
              <w:rPr>
                <w:rFonts w:ascii="仿宋_GB2312" w:hAnsi="仿宋_GB2312" w:cs="仿宋_GB2312" w:eastAsia="仿宋_GB2312"/>
                <w:sz w:val="20"/>
                <w:shd w:fill="FFFFFF" w:val="clear"/>
              </w:rPr>
              <w:t>1.1</w:t>
            </w:r>
            <w:r>
              <w:rPr>
                <w:rFonts w:ascii="仿宋_GB2312" w:hAnsi="仿宋_GB2312" w:cs="仿宋_GB2312" w:eastAsia="仿宋_GB2312"/>
                <w:sz w:val="20"/>
                <w:shd w:fill="FFFFFF" w:val="clear"/>
              </w:rPr>
              <w:t>对项目现场及周边敏感点进行现场踏勘、对施工期污染排饭情况展开全面调查并对不符合环保要求的污染防治措施提出整改要求</w:t>
            </w:r>
            <w:r>
              <w:rPr>
                <w:rFonts w:ascii="仿宋_GB2312" w:hAnsi="仿宋_GB2312" w:cs="仿宋_GB2312" w:eastAsia="仿宋_GB2312"/>
                <w:sz w:val="20"/>
                <w:shd w:fill="FFFFFF" w:val="clear"/>
              </w:rPr>
              <w:t>。</w:t>
            </w:r>
          </w:p>
          <w:p>
            <w:pPr>
              <w:pStyle w:val="null3"/>
              <w:ind w:firstLine="440"/>
              <w:jc w:val="both"/>
            </w:pPr>
            <w:r>
              <w:rPr>
                <w:rFonts w:ascii="仿宋_GB2312" w:hAnsi="仿宋_GB2312" w:cs="仿宋_GB2312" w:eastAsia="仿宋_GB2312"/>
                <w:sz w:val="20"/>
                <w:shd w:fill="FFFFFF" w:val="clear"/>
              </w:rPr>
              <w:t>1.2</w:t>
            </w:r>
            <w:r>
              <w:rPr>
                <w:rFonts w:ascii="仿宋_GB2312" w:hAnsi="仿宋_GB2312" w:cs="仿宋_GB2312" w:eastAsia="仿宋_GB2312"/>
                <w:sz w:val="20"/>
                <w:shd w:fill="FFFFFF" w:val="clear"/>
              </w:rPr>
              <w:t>对项目区内污染物排放及受影响敏感点进行全面检测</w:t>
            </w:r>
            <w:r>
              <w:rPr>
                <w:rFonts w:ascii="仿宋_GB2312" w:hAnsi="仿宋_GB2312" w:cs="仿宋_GB2312" w:eastAsia="仿宋_GB2312"/>
                <w:sz w:val="20"/>
                <w:shd w:fill="FFFFFF" w:val="clear"/>
              </w:rPr>
              <w:t>。</w:t>
            </w:r>
          </w:p>
          <w:p>
            <w:pPr>
              <w:pStyle w:val="null3"/>
              <w:ind w:firstLine="440"/>
              <w:jc w:val="both"/>
            </w:pPr>
            <w:r>
              <w:rPr>
                <w:rFonts w:ascii="仿宋_GB2312" w:hAnsi="仿宋_GB2312" w:cs="仿宋_GB2312" w:eastAsia="仿宋_GB2312"/>
                <w:sz w:val="20"/>
                <w:shd w:fill="FFFFFF" w:val="clear"/>
              </w:rPr>
              <w:t>1.3</w:t>
            </w:r>
            <w:r>
              <w:rPr>
                <w:rFonts w:ascii="仿宋_GB2312" w:hAnsi="仿宋_GB2312" w:cs="仿宋_GB2312" w:eastAsia="仿宋_GB2312"/>
                <w:sz w:val="20"/>
                <w:shd w:fill="FFFFFF" w:val="clear"/>
              </w:rPr>
              <w:t>根据监测数据和项目相关资料，完成</w:t>
            </w:r>
            <w:r>
              <w:rPr>
                <w:rFonts w:ascii="仿宋_GB2312" w:hAnsi="仿宋_GB2312" w:cs="仿宋_GB2312" w:eastAsia="仿宋_GB2312"/>
                <w:sz w:val="20"/>
                <w:shd w:fill="FFFFFF" w:val="clear"/>
              </w:rPr>
              <w:t>验收</w:t>
            </w:r>
            <w:r>
              <w:rPr>
                <w:rFonts w:ascii="仿宋_GB2312" w:hAnsi="仿宋_GB2312" w:cs="仿宋_GB2312" w:eastAsia="仿宋_GB2312"/>
                <w:sz w:val="20"/>
                <w:shd w:fill="FFFFFF" w:val="clear"/>
              </w:rPr>
              <w:t>报告编制</w:t>
            </w:r>
            <w:r>
              <w:rPr>
                <w:rFonts w:ascii="仿宋_GB2312" w:hAnsi="仿宋_GB2312" w:cs="仿宋_GB2312" w:eastAsia="仿宋_GB2312"/>
                <w:sz w:val="20"/>
                <w:shd w:fill="FFFFFF" w:val="clear"/>
              </w:rPr>
              <w:t>。</w:t>
            </w:r>
          </w:p>
          <w:p>
            <w:pPr>
              <w:pStyle w:val="null3"/>
              <w:ind w:firstLine="440"/>
              <w:jc w:val="both"/>
            </w:pPr>
            <w:r>
              <w:rPr>
                <w:rFonts w:ascii="仿宋_GB2312" w:hAnsi="仿宋_GB2312" w:cs="仿宋_GB2312" w:eastAsia="仿宋_GB2312"/>
                <w:sz w:val="20"/>
                <w:shd w:fill="FFFFFF" w:val="clear"/>
              </w:rPr>
              <w:t>1.4</w:t>
            </w:r>
            <w:r>
              <w:rPr>
                <w:rFonts w:ascii="仿宋_GB2312" w:hAnsi="仿宋_GB2312" w:cs="仿宋_GB2312" w:eastAsia="仿宋_GB2312"/>
                <w:sz w:val="20"/>
                <w:shd w:fill="FFFFFF" w:val="clear"/>
              </w:rPr>
              <w:t>组织专家现场踏勘并召开验收专题会议</w:t>
            </w:r>
            <w:r>
              <w:rPr>
                <w:rFonts w:ascii="仿宋_GB2312" w:hAnsi="仿宋_GB2312" w:cs="仿宋_GB2312" w:eastAsia="仿宋_GB2312"/>
                <w:sz w:val="20"/>
                <w:shd w:fill="FFFFFF" w:val="clear"/>
              </w:rPr>
              <w:t>。</w:t>
            </w:r>
          </w:p>
          <w:p>
            <w:pPr>
              <w:pStyle w:val="null3"/>
              <w:ind w:firstLine="440"/>
              <w:jc w:val="both"/>
            </w:pPr>
            <w:r>
              <w:rPr>
                <w:rFonts w:ascii="仿宋_GB2312" w:hAnsi="仿宋_GB2312" w:cs="仿宋_GB2312" w:eastAsia="仿宋_GB2312"/>
                <w:sz w:val="20"/>
                <w:shd w:fill="FFFFFF" w:val="clear"/>
              </w:rPr>
              <w:t>1.5通</w:t>
            </w:r>
            <w:r>
              <w:rPr>
                <w:rFonts w:ascii="仿宋_GB2312" w:hAnsi="仿宋_GB2312" w:cs="仿宋_GB2312" w:eastAsia="仿宋_GB2312"/>
                <w:sz w:val="20"/>
                <w:shd w:fill="FFFFFF" w:val="clear"/>
              </w:rPr>
              <w:t>过环保验收后，对</w:t>
            </w:r>
            <w:r>
              <w:rPr>
                <w:rFonts w:ascii="仿宋_GB2312" w:hAnsi="仿宋_GB2312" w:cs="仿宋_GB2312" w:eastAsia="仿宋_GB2312"/>
                <w:sz w:val="20"/>
                <w:shd w:fill="FFFFFF" w:val="clear"/>
              </w:rPr>
              <w:t>该</w:t>
            </w:r>
            <w:r>
              <w:rPr>
                <w:rFonts w:ascii="仿宋_GB2312" w:hAnsi="仿宋_GB2312" w:cs="仿宋_GB2312" w:eastAsia="仿宋_GB2312"/>
                <w:sz w:val="20"/>
                <w:shd w:fill="FFFFFF" w:val="clear"/>
              </w:rPr>
              <w:t>项目进行网上公示，公示期满后完成全国建设项目竣工环境保护验收信息系统申报工作</w:t>
            </w:r>
            <w:r>
              <w:rPr>
                <w:rFonts w:ascii="仿宋_GB2312" w:hAnsi="仿宋_GB2312" w:cs="仿宋_GB2312" w:eastAsia="仿宋_GB2312"/>
                <w:sz w:val="20"/>
                <w:shd w:fill="FFFFFF" w:val="clear"/>
              </w:rPr>
              <w:t>。</w:t>
            </w:r>
          </w:p>
          <w:p>
            <w:pPr>
              <w:pStyle w:val="null3"/>
              <w:ind w:firstLine="440"/>
              <w:jc w:val="both"/>
            </w:pPr>
            <w:r>
              <w:rPr>
                <w:rFonts w:ascii="仿宋_GB2312" w:hAnsi="仿宋_GB2312" w:cs="仿宋_GB2312" w:eastAsia="仿宋_GB2312"/>
                <w:sz w:val="20"/>
                <w:shd w:fill="FFFFFF" w:val="clear"/>
              </w:rPr>
              <w:t>1.6进度要求</w:t>
            </w:r>
          </w:p>
          <w:p>
            <w:pPr>
              <w:pStyle w:val="null3"/>
              <w:ind w:firstLine="440"/>
              <w:jc w:val="both"/>
            </w:pPr>
            <w:r>
              <w:rPr>
                <w:rFonts w:ascii="仿宋_GB2312" w:hAnsi="仿宋_GB2312" w:cs="仿宋_GB2312" w:eastAsia="仿宋_GB2312"/>
                <w:sz w:val="20"/>
                <w:shd w:fill="FFFFFF" w:val="clear"/>
              </w:rPr>
              <w:t>《二环路雁塔路立交交通优化工程》达到竣工环境验收条件之日起</w:t>
            </w:r>
            <w:r>
              <w:rPr>
                <w:rFonts w:ascii="仿宋_GB2312" w:hAnsi="仿宋_GB2312" w:cs="仿宋_GB2312" w:eastAsia="仿宋_GB2312"/>
                <w:sz w:val="20"/>
                <w:shd w:fill="FFFFFF" w:val="clear"/>
              </w:rPr>
              <w:t>60个日历日完成；</w:t>
            </w:r>
          </w:p>
          <w:p>
            <w:pPr>
              <w:pStyle w:val="null3"/>
              <w:ind w:firstLine="440"/>
              <w:jc w:val="both"/>
            </w:pPr>
            <w:r>
              <w:rPr>
                <w:rFonts w:ascii="仿宋_GB2312" w:hAnsi="仿宋_GB2312" w:cs="仿宋_GB2312" w:eastAsia="仿宋_GB2312"/>
                <w:sz w:val="20"/>
                <w:shd w:fill="FFFFFF" w:val="clear"/>
              </w:rPr>
              <w:t>《西南二环立交交通优化工程》达到竣工环境验收条件之日起</w:t>
            </w:r>
            <w:r>
              <w:rPr>
                <w:rFonts w:ascii="仿宋_GB2312" w:hAnsi="仿宋_GB2312" w:cs="仿宋_GB2312" w:eastAsia="仿宋_GB2312"/>
                <w:sz w:val="20"/>
                <w:shd w:fill="FFFFFF" w:val="clear"/>
              </w:rPr>
              <w:t>90个日历日完成。</w:t>
            </w:r>
          </w:p>
          <w:p>
            <w:pPr>
              <w:pStyle w:val="null3"/>
              <w:ind w:firstLine="440"/>
              <w:jc w:val="both"/>
            </w:pPr>
            <w:r>
              <w:rPr>
                <w:rFonts w:ascii="仿宋_GB2312" w:hAnsi="仿宋_GB2312" w:cs="仿宋_GB2312" w:eastAsia="仿宋_GB2312"/>
                <w:sz w:val="20"/>
                <w:shd w:fill="FFFFFF" w:val="clear"/>
              </w:rPr>
              <w:t>*2、技术要求：</w:t>
            </w:r>
          </w:p>
          <w:p>
            <w:pPr>
              <w:pStyle w:val="null3"/>
              <w:ind w:firstLine="440"/>
              <w:jc w:val="both"/>
            </w:pPr>
            <w:r>
              <w:rPr>
                <w:rFonts w:ascii="仿宋_GB2312" w:hAnsi="仿宋_GB2312" w:cs="仿宋_GB2312" w:eastAsia="仿宋_GB2312"/>
                <w:sz w:val="20"/>
                <w:shd w:fill="FFFFFF" w:val="clear"/>
              </w:rPr>
              <w:t>2.1必须满足的技术要求：</w:t>
            </w:r>
          </w:p>
          <w:p>
            <w:pPr>
              <w:pStyle w:val="null3"/>
              <w:ind w:firstLine="440"/>
              <w:jc w:val="both"/>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1）质量要求：符合国家相关</w:t>
            </w:r>
            <w:r>
              <w:rPr>
                <w:rFonts w:ascii="仿宋_GB2312" w:hAnsi="仿宋_GB2312" w:cs="仿宋_GB2312" w:eastAsia="仿宋_GB2312"/>
                <w:sz w:val="20"/>
                <w:shd w:fill="FFFFFF" w:val="clear"/>
              </w:rPr>
              <w:t>现行</w:t>
            </w:r>
            <w:r>
              <w:rPr>
                <w:rFonts w:ascii="仿宋_GB2312" w:hAnsi="仿宋_GB2312" w:cs="仿宋_GB2312" w:eastAsia="仿宋_GB2312"/>
                <w:sz w:val="20"/>
                <w:shd w:fill="FFFFFF" w:val="clear"/>
              </w:rPr>
              <w:t>行业规范标准要求及采购人需求。</w:t>
            </w:r>
          </w:p>
          <w:p>
            <w:pPr>
              <w:pStyle w:val="null3"/>
              <w:ind w:firstLine="440"/>
              <w:jc w:val="both"/>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2）技术标准：</w:t>
            </w:r>
          </w:p>
          <w:p>
            <w:pPr>
              <w:pStyle w:val="null3"/>
              <w:ind w:firstLine="440"/>
              <w:jc w:val="both"/>
            </w:pPr>
            <w:r>
              <w:rPr>
                <w:rFonts w:ascii="仿宋_GB2312" w:hAnsi="仿宋_GB2312" w:cs="仿宋_GB2312" w:eastAsia="仿宋_GB2312"/>
                <w:sz w:val="20"/>
                <w:shd w:fill="FFFFFF" w:val="clear"/>
              </w:rPr>
              <w:t>1）《建设项目环境保护管理条例（2017年7月）》</w:t>
            </w:r>
          </w:p>
          <w:p>
            <w:pPr>
              <w:pStyle w:val="null3"/>
              <w:ind w:firstLine="440"/>
              <w:jc w:val="both"/>
            </w:pP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环境保护部《建设项目环境保护事中事后监督管理办法（</w:t>
            </w:r>
            <w:r>
              <w:rPr>
                <w:rFonts w:ascii="仿宋_GB2312" w:hAnsi="仿宋_GB2312" w:cs="仿宋_GB2312" w:eastAsia="仿宋_GB2312"/>
                <w:sz w:val="20"/>
                <w:shd w:fill="FFFFFF" w:val="clear"/>
              </w:rPr>
              <w:t>2015年12月）（环发〔2015〕163号）》</w:t>
            </w:r>
          </w:p>
          <w:p>
            <w:pPr>
              <w:pStyle w:val="null3"/>
              <w:ind w:firstLine="440"/>
              <w:jc w:val="both"/>
            </w:pP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）国家、省、市发布其他</w:t>
            </w:r>
            <w:r>
              <w:rPr>
                <w:rFonts w:ascii="仿宋_GB2312" w:hAnsi="仿宋_GB2312" w:cs="仿宋_GB2312" w:eastAsia="仿宋_GB2312"/>
                <w:sz w:val="20"/>
                <w:shd w:fill="FFFFFF" w:val="clear"/>
              </w:rPr>
              <w:t>现行</w:t>
            </w:r>
            <w:r>
              <w:rPr>
                <w:rFonts w:ascii="仿宋_GB2312" w:hAnsi="仿宋_GB2312" w:cs="仿宋_GB2312" w:eastAsia="仿宋_GB2312"/>
                <w:sz w:val="20"/>
                <w:shd w:fill="FFFFFF" w:val="clear"/>
              </w:rPr>
              <w:t>相关法律法规等</w:t>
            </w:r>
            <w:r>
              <w:rPr>
                <w:rFonts w:ascii="仿宋_GB2312" w:hAnsi="仿宋_GB2312" w:cs="仿宋_GB2312" w:eastAsia="仿宋_GB2312"/>
                <w:sz w:val="20"/>
              </w:rPr>
              <w:t>文件。</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验收标准</w:t>
            </w:r>
          </w:p>
          <w:p>
            <w:pPr>
              <w:pStyle w:val="null3"/>
              <w:jc w:val="both"/>
            </w:pPr>
            <w:r>
              <w:rPr>
                <w:rFonts w:ascii="仿宋_GB2312" w:hAnsi="仿宋_GB2312" w:cs="仿宋_GB2312" w:eastAsia="仿宋_GB2312"/>
                <w:sz w:val="20"/>
              </w:rPr>
              <w:t>符合国家《建设项目竣工环境保护验收暂行办法》（国环规环评〔</w:t>
            </w:r>
            <w:r>
              <w:rPr>
                <w:rFonts w:ascii="仿宋_GB2312" w:hAnsi="仿宋_GB2312" w:cs="仿宋_GB2312" w:eastAsia="仿宋_GB2312"/>
                <w:sz w:val="20"/>
              </w:rPr>
              <w:t>2017〕4号）、</w:t>
            </w:r>
            <w:r>
              <w:rPr>
                <w:rFonts w:ascii="仿宋_GB2312" w:hAnsi="仿宋_GB2312" w:cs="仿宋_GB2312" w:eastAsia="仿宋_GB2312"/>
                <w:sz w:val="20"/>
              </w:rPr>
              <w:t>生态影响类验收指南等相关</w:t>
            </w:r>
            <w:r>
              <w:rPr>
                <w:rFonts w:ascii="仿宋_GB2312" w:hAnsi="仿宋_GB2312" w:cs="仿宋_GB2312" w:eastAsia="仿宋_GB2312"/>
                <w:sz w:val="20"/>
              </w:rPr>
              <w:t>各项环境质量标准。</w:t>
            </w:r>
          </w:p>
          <w:p>
            <w:pPr>
              <w:pStyle w:val="null3"/>
              <w:ind w:firstLine="400"/>
              <w:jc w:val="both"/>
            </w:pPr>
            <w:r>
              <w:rPr>
                <w:rFonts w:ascii="仿宋_GB2312" w:hAnsi="仿宋_GB2312" w:cs="仿宋_GB2312" w:eastAsia="仿宋_GB2312"/>
                <w:sz w:val="20"/>
              </w:rPr>
              <w:t>*3.商务要求</w:t>
            </w:r>
          </w:p>
          <w:p>
            <w:pPr>
              <w:pStyle w:val="null3"/>
              <w:ind w:firstLine="400"/>
              <w:jc w:val="both"/>
            </w:pPr>
            <w:r>
              <w:rPr>
                <w:rFonts w:ascii="仿宋_GB2312" w:hAnsi="仿宋_GB2312" w:cs="仿宋_GB2312" w:eastAsia="仿宋_GB2312"/>
                <w:sz w:val="20"/>
              </w:rPr>
              <w:t>3.1 须满足的商务要求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1）投标报价总价未超过规定的采购预算价或总价最高限价，分项报价未超过分项报价最高限价；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2）服务期限：合同签订之日起至</w:t>
            </w:r>
            <w:r>
              <w:rPr>
                <w:rFonts w:ascii="仿宋_GB2312" w:hAnsi="仿宋_GB2312" w:cs="仿宋_GB2312" w:eastAsia="仿宋_GB2312"/>
                <w:sz w:val="20"/>
              </w:rPr>
              <w:t>各工程</w:t>
            </w:r>
            <w:r>
              <w:rPr>
                <w:rFonts w:ascii="仿宋_GB2312" w:hAnsi="仿宋_GB2312" w:cs="仿宋_GB2312" w:eastAsia="仿宋_GB2312"/>
                <w:sz w:val="20"/>
              </w:rPr>
              <w:t>环保竣工验收合格止。如遇不可抗拒因素，时限可相应顺延。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3）对合同中规定的付款方式及双方的权利和义务是否做出了实质性响应；</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4）投标有效期符合招标文件要求。</w:t>
            </w:r>
          </w:p>
          <w:p>
            <w:pPr>
              <w:pStyle w:val="null3"/>
              <w:ind w:firstLine="400"/>
              <w:jc w:val="both"/>
            </w:pPr>
            <w:r>
              <w:rPr>
                <w:rFonts w:ascii="仿宋_GB2312" w:hAnsi="仿宋_GB2312" w:cs="仿宋_GB2312" w:eastAsia="仿宋_GB2312"/>
                <w:sz w:val="20"/>
              </w:rPr>
              <w:t>3.2 合同专用条款和通用条款的全部内容。</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“*”号标记的条款为技术和商务的实质性要求和条件，若偏离则为无效投标。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合同签订之日起至各工程环保竣工验收合格止。如遇不可抗拒因素，时限可相应顺延。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完成《二环路雁塔路立交交通优化工程》环保竣工验收向环保行政主管部门组织的环保专项验收通过后并提供验收报告等资料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完成《西南二环立交交通优化工程》环保竣工验收向环保行政主管部门组织的环保专项验收通过后并提供验收报告等资料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2、纸质响应文件正本、副本、电子版，标明供应商名称分开密封递交（响应文件采用双面打印）。3、若电子响应文件与纸质响应文件不一致的，以陕西省政府采购网平台递交电子响应文件为准。4、线下纸质文件递交截止时间：同在线递交电子响应文件截止时间一致；线下纸质文件递交地点：陕西省西安市碑林区红缨路1号天金大厦10楼。如需邮寄响应文件，仅接受顺丰速运（联系人：李工、联系电话：18192653503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服务内容及服务邀请应答表 分项报价表 中小企业声明函 残疾人福利性单位声明函 商务应答表 标的清单 响应函 服务方案说明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服务内容及服务邀请应答表 分项报价表 中小企业声明函 残疾人福利性单位声明函 商务应答表 标的清单 响应函 服务方案说明 最终分项报价表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响应文件封面 分项报价表 标的清单 最终分项报价表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分项报价表 商务应答表 标的清单 供应商资格证明文件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工作总体安排</w:t>
            </w:r>
          </w:p>
        </w:tc>
        <w:tc>
          <w:tcPr>
            <w:tcW w:type="dxa" w:w="2492"/>
          </w:tcPr>
          <w:p>
            <w:pPr>
              <w:pStyle w:val="null3"/>
            </w:pPr>
            <w:r>
              <w:rPr>
                <w:rFonts w:ascii="仿宋_GB2312" w:hAnsi="仿宋_GB2312" w:cs="仿宋_GB2312" w:eastAsia="仿宋_GB2312"/>
              </w:rPr>
              <w:t>1、工作总体计划安排思路清晰、合理、可行，对项目实施具有较强的指导作用的得（10.0-16.0]； 2、思路基本清晰、具有一定的合理性和可行性，对项目实施可起到一定指导作用的得（5.0-10.0]； 3、思路不清晰、合理性和可行性较差，影响项目实施的得[0.0-5.0]。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针对本项目重点、难 点分析</w:t>
            </w:r>
          </w:p>
        </w:tc>
        <w:tc>
          <w:tcPr>
            <w:tcW w:type="dxa" w:w="2492"/>
          </w:tcPr>
          <w:p>
            <w:pPr>
              <w:pStyle w:val="null3"/>
            </w:pPr>
            <w:r>
              <w:rPr>
                <w:rFonts w:ascii="仿宋_GB2312" w:hAnsi="仿宋_GB2312" w:cs="仿宋_GB2312" w:eastAsia="仿宋_GB2312"/>
              </w:rPr>
              <w:t>1、重点环节分析准确、全面的得（8.0-12.0]； 2、重点环节分析较准确、较全面的得（4.0-8.0]； 3、重点环节分析有不全面的得[0.0-4.0]；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1、项目负责人：项目负责人具有注册环境影响评价工程师资格证书得2分； 2、项目组人员组成搭配合理、满足项目需求，总体实力较强得（4.0-6.0]； 搭配基本合理，可满足项目需求得（2.0-4.0]； 搭配不合理，难以满足项目需求得[0.0-2.0]；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具体验收工作方案</w:t>
            </w:r>
          </w:p>
        </w:tc>
        <w:tc>
          <w:tcPr>
            <w:tcW w:type="dxa" w:w="2492"/>
          </w:tcPr>
          <w:p>
            <w:pPr>
              <w:pStyle w:val="null3"/>
            </w:pPr>
            <w:r>
              <w:rPr>
                <w:rFonts w:ascii="仿宋_GB2312" w:hAnsi="仿宋_GB2312" w:cs="仿宋_GB2312" w:eastAsia="仿宋_GB2312"/>
              </w:rPr>
              <w:t>1、实施方案合理、可行、对区域情况把握准确、针对性强的得（7.0-10.0]； 2、实施方案合理性和可行性一般、对区域情况把握一般得（4.0-7.0]； 3、实施方案空洞、对区域情况把握不足，无针对性得[0.0-4.0]。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1、质量保障措施科学、合理、可行的得（7.0-10.0]； 2、基本合理可行的得（4.0-7.0]； 3、合理性和可行性较差的得[0.0-4.0]；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1、保障措施科学、合理、可行的得（7.0-10.0]； 2、基本合理可行的得（4.0-7.0]； 3、合理性和可行性较差的得[0.0-4.0]；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项目实施协调管理措施</w:t>
            </w:r>
          </w:p>
        </w:tc>
        <w:tc>
          <w:tcPr>
            <w:tcW w:type="dxa" w:w="2492"/>
          </w:tcPr>
          <w:p>
            <w:pPr>
              <w:pStyle w:val="null3"/>
            </w:pPr>
            <w:r>
              <w:rPr>
                <w:rFonts w:ascii="仿宋_GB2312" w:hAnsi="仿宋_GB2312" w:cs="仿宋_GB2312" w:eastAsia="仿宋_GB2312"/>
              </w:rPr>
              <w:t>1、管理措施科学、合理、可行的得（6.0-8.0]； 2、基本合理可行的得（3.0-6.0]； 3、合理性和可行性较差的得[0.0-3.0]；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1、后期服务配合计划完备、可行性强得（6.0-8.0]； 2、后期服务配合计划具有一定的可行性得（3.0-6.0]； 3、后期服务配合计划内容空洞，可行性较差得[0.0-3.0]；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 年1月1日以后承担过竣工环境验收类似业绩每项得4 分，满分8分。 注：以中标通知书或合同签订日期并加盖公章为准。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详见附件：服务方案说明</w:t>
      </w:r>
    </w:p>
    <w:p>
      <w:pPr>
        <w:pStyle w:val="null3"/>
        <w:ind w:firstLine="960"/>
      </w:pPr>
      <w:r>
        <w:rPr>
          <w:rFonts w:ascii="仿宋_GB2312" w:hAnsi="仿宋_GB2312" w:cs="仿宋_GB2312" w:eastAsia="仿宋_GB2312"/>
        </w:rPr>
        <w:t>详见附件：最终分项报价表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详见附件：环保竣工验收技术咨询服务合同.docx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