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版本号：DZDL-2025-049Z20251009001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西安市足球场地租赁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DZDL-2025-049Z</w:t>
      </w:r>
      <w:r>
        <w:br/>
      </w:r>
      <w:r>
        <w:br/>
      </w:r>
      <w:r>
        <w:br/>
      </w:r>
    </w:p>
    <w:p>
      <w:pPr>
        <w:pStyle w:val="null3"/>
        <w:jc w:val="center"/>
        <w:outlineLvl w:val="5"/>
      </w:pPr>
      <w:r>
        <w:rPr>
          <w:rFonts w:ascii="仿宋_GB2312" w:hAnsi="仿宋_GB2312" w:cs="仿宋_GB2312" w:eastAsia="仿宋_GB2312"/>
          <w:sz w:val="15"/>
          <w:b/>
        </w:rPr>
        <w:t>西安市足球运动管理中心</w:t>
      </w:r>
    </w:p>
    <w:p>
      <w:pPr>
        <w:pStyle w:val="null3"/>
        <w:jc w:val="center"/>
        <w:outlineLvl w:val="5"/>
      </w:pPr>
      <w:r>
        <w:rPr>
          <w:rFonts w:ascii="仿宋_GB2312" w:hAnsi="仿宋_GB2312" w:cs="仿宋_GB2312" w:eastAsia="仿宋_GB2312"/>
          <w:sz w:val="15"/>
          <w:b/>
        </w:rPr>
        <w:t>鼎正众创建设集团有限公司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西安市足球运动管理中心</w:t>
      </w:r>
      <w:r>
        <w:rPr>
          <w:rFonts w:ascii="仿宋_GB2312" w:hAnsi="仿宋_GB2312" w:cs="仿宋_GB2312" w:eastAsia="仿宋_GB2312"/>
        </w:rPr>
        <w:t>委托，拟对</w:t>
      </w:r>
      <w:r>
        <w:rPr>
          <w:rFonts w:ascii="仿宋_GB2312" w:hAnsi="仿宋_GB2312" w:cs="仿宋_GB2312" w:eastAsia="仿宋_GB2312"/>
        </w:rPr>
        <w:t>西安市足球场地租赁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DZDL-2025-049Z</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西安市足球场地租赁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为了满足全国足球发展重点城市青少年高水平后备人才基地需求和日常训练、比赛、各类培训和活动等工作运行，计划租用11人制标准足球场地两块。</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采购包1（西安市足球场地租赁）：属于专门面向小微企业采购。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三选一）：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w:t>
      </w:r>
    </w:p>
    <w:p>
      <w:pPr>
        <w:pStyle w:val="null3"/>
      </w:pPr>
      <w:r>
        <w:rPr>
          <w:rFonts w:ascii="仿宋_GB2312" w:hAnsi="仿宋_GB2312" w:cs="仿宋_GB2312" w:eastAsia="仿宋_GB2312"/>
        </w:rPr>
        <w:t>3、社保资金缴纳证明：提交响应文件截止时间前一年内至少一个月的社会保障资金缴存单据或社保机构开具的社会保险参保缴费情况证明，单据或证明上应有社保机构或代收机构的公章或业务专用章。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4、税收缴纳证明：提交响应文件截止时间前一年内至少一个月的纳税证明或完税证明（增值税或企业所得税至少提供一种），纳税证明或完税证明上应有代收机构或税务机关的公章或业务专用章。</w:t>
      </w:r>
    </w:p>
    <w:p>
      <w:pPr>
        <w:pStyle w:val="null3"/>
      </w:pPr>
      <w:r>
        <w:rPr>
          <w:rFonts w:ascii="仿宋_GB2312" w:hAnsi="仿宋_GB2312" w:cs="仿宋_GB2312" w:eastAsia="仿宋_GB2312"/>
        </w:rPr>
        <w:t>5、履约能力：提供具有履行合同所必需的设备和专业技术能力的书面声明。</w:t>
      </w:r>
    </w:p>
    <w:p>
      <w:pPr>
        <w:pStyle w:val="null3"/>
      </w:pPr>
      <w:r>
        <w:rPr>
          <w:rFonts w:ascii="仿宋_GB2312" w:hAnsi="仿宋_GB2312" w:cs="仿宋_GB2312" w:eastAsia="仿宋_GB2312"/>
        </w:rPr>
        <w:t>6、无重大违法记录声明：截至响应文件递交截止时间，被“信用中国”网站或各级信用信息共享平台、“中国执行信息公开网”、“中国政府采购网”网站列入严重失信主体、失信被执行人、重大税收违法失信主体、政府采购严重违法失信行为记录名单之一的，不得参加本项目的采购活动。供应商提供参加本次政府采购活动前3年内在经营活动中没有重大违法记录，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主要负责人）委托授权书/身份证明：法定代表人（主要负责人）委托代理人参加投标时，应提供法定代表人（主要负责人）委托授权书；法定代表人（主要负责人）亲自参加投标时，应提供法定代表人（主要负责人）身份证明书。磋商文件中凡是需要法定代表人签字或盖章之处，非法人单位的负责人均参照执行。</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西安市足球运动管理中心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西安市浐灞国际港欧亚大道西安市体育训练中心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029-88065082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029-88861150转615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的有关规定执行，不足6000元，按6000元计取。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西安市足球运动管理中心</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西安市足球运动管理中心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本项目协商文件、响应文件、协商过程文件以及与本项目验收有关的其他文件。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为了满足全国足球发展重点城市青少年高水平后备人才基地需求和日常训练、比赛、各类培训和活动等工作运行，计划租用11人制标准足球场地两块。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足球场地租赁</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标的名称：足球场地租赁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1.位置要求：在西安市体育训练中心（西安市灞桥区欧亚大道辅路与林泓路交叉口东北240米）方圆5公里范围内。</w:t>
            </w:r>
            <w:r>
              <w:br/>
            </w:r>
            <w:r>
              <w:rPr>
                <w:rFonts w:ascii="仿宋_GB2312" w:hAnsi="仿宋_GB2312" w:cs="仿宋_GB2312" w:eastAsia="仿宋_GB2312"/>
              </w:rPr>
              <w:t xml:space="preserve"> 2.场地配套要求</w:t>
            </w:r>
            <w:r>
              <w:br/>
            </w:r>
            <w:r>
              <w:rPr>
                <w:rFonts w:ascii="仿宋_GB2312" w:hAnsi="仿宋_GB2312" w:cs="仿宋_GB2312" w:eastAsia="仿宋_GB2312"/>
              </w:rPr>
              <w:t xml:space="preserve"> 2.1足球场地：11人制足球场地两块，且场地尺寸符合国际比赛标准。</w:t>
            </w:r>
          </w:p>
          <w:p>
            <w:pPr>
              <w:pStyle w:val="null3"/>
            </w:pPr>
            <w:r>
              <w:rPr>
                <w:rFonts w:ascii="仿宋_GB2312" w:hAnsi="仿宋_GB2312" w:cs="仿宋_GB2312" w:eastAsia="仿宋_GB2312"/>
              </w:rPr>
              <w:t>2.2场地质量：符合GBIT22517.5-2024《体育场地使用要求及检验方法第5部分:足球场地》标准，提供人造草坪“CMA”或“CNAS”的合格检测报告及足球场地工程质量合格的竣工验收证书。</w:t>
            </w:r>
            <w:r>
              <w:br/>
            </w:r>
            <w:r>
              <w:rPr>
                <w:rFonts w:ascii="仿宋_GB2312" w:hAnsi="仿宋_GB2312" w:cs="仿宋_GB2312" w:eastAsia="仿宋_GB2312"/>
              </w:rPr>
              <w:t xml:space="preserve"> 2.3场地设施：配备高杆灯等夜间照明设施；配备休息座椅或坐凳；配备建筑用房供训练人员更衣及储物。</w:t>
            </w:r>
          </w:p>
          <w:p>
            <w:pPr>
              <w:pStyle w:val="null3"/>
            </w:pPr>
            <w:r>
              <w:rPr>
                <w:rFonts w:ascii="仿宋_GB2312" w:hAnsi="仿宋_GB2312" w:cs="仿宋_GB2312" w:eastAsia="仿宋_GB2312"/>
              </w:rPr>
              <w:t>2.4管理服务：配备有专业的管理服务团队，负责场地日常运营管理，包括但不限于场地维护、人员管理、清洁卫生、安全保卫等。</w:t>
            </w:r>
            <w:r>
              <w:br/>
            </w:r>
            <w:r>
              <w:rPr>
                <w:rFonts w:ascii="仿宋_GB2312" w:hAnsi="仿宋_GB2312" w:cs="仿宋_GB2312" w:eastAsia="仿宋_GB2312"/>
              </w:rPr>
              <w:t xml:space="preserve"> 3.使用时限要求：在租赁期内，供应商须保证每年约302天不少于3小时/日（周一至周五每天16：30--19：30，周六9：30--11：30，15：00-17：00），每年约40天不少于8小时/日（包含周内、周六、周日、节假日9：30--17：00）的场地使用权限，如遇调整，双方协商解决。遇采购人重大赛事活动的，供应商须无条件配合采购人场地使用时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双方共同约定地点（西安市体育训练中心方圆5公里内）</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合同履行一年期满且2026年度采购预算到位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合同履行两年期满且2027年度采购预算到位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成交供应商严格按照本项目协商文件、响应文件、协商过程文件以及与本项目验收有关的其他文件交付。</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（1）本项目所属行业为：其他未列明行业。从业人员300人以下的为中小微型企业。其中，从业人员100人及以上的为中型企业；从业人员10人及以上的为小型企业；从业人员10人以下的为微型企业。 （2）本项目是否属于信用担保试点范围：否。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财务状况报告（三选一）</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提交响应文件截止时间前一年内至少一个月的纳税证明或完税证明（增值税或企业所得税至少提供一种），纳税证明或完税证明上应有代收机构或税务机关的公章或业务专用章。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截至响应文件递交截止时间，被“信用中国”网站或各级信用信息共享平台、“中国执行信息公开网”、“中国政府采购网”网站列入严重失信主体、失信被执行人、重大税收违法失信主体、政府采购严重违法失信行为记录名单之一的，不得参加本项目的采购活动。供应商提供参加本次政府采购活动前3年内在经营活动中没有重大违法记录，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本采购包专门面向小微企业采购</w:t>
            </w:r>
          </w:p>
        </w:tc>
        <w:tc>
          <w:tcPr>
            <w:tcW w:type="dxa" w:w="3322"/>
          </w:tcPr>
          <w:p>
            <w:pPr>
              <w:pStyle w:val="null3"/>
            </w:pPr>
            <w:r>
              <w:rPr>
                <w:rFonts w:ascii="仿宋_GB2312" w:hAnsi="仿宋_GB2312" w:cs="仿宋_GB2312" w:eastAsia="仿宋_GB2312"/>
              </w:rPr>
              <w:t>参与的供应商（联合体）为符合政策要求的小微企业。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响应文件的签章均符合采购文件要求，且无遗漏。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资格证明文件.docx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同时满足以下条款：（1）货币单位符合采购文件要求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完全理解并接受对合格供应商、合格的货物、工程或服务要求，结合采购文件第三章“采购项目技术、服务、商务及其他要求”的实质性要求且没有实质性负偏离。</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采购文件《合同文本》条款的要求，且未有采购人不能接受的附加条件的。如足球场地为委托运营的，还须提供场地所有权人（或建设单位）向供应商出具的委托经营管理协议（或授权）文件扫描件。</w:t>
            </w:r>
          </w:p>
        </w:tc>
        <w:tc>
          <w:tcPr>
            <w:tcW w:type="dxa" w:w="1661"/>
          </w:tcPr>
          <w:p>
            <w:pPr>
              <w:pStyle w:val="null3"/>
            </w:pPr>
            <w:r>
              <w:rPr>
                <w:rFonts w:ascii="仿宋_GB2312" w:hAnsi="仿宋_GB2312" w:cs="仿宋_GB2312" w:eastAsia="仿宋_GB2312"/>
              </w:rPr>
              <w:t>合同文本条款响应.docx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