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8D112">
      <w:pPr>
        <w:rPr>
          <w:rFonts w:hint="eastAsia" w:ascii="宋体" w:hAnsi="宋体" w:cs="宋体"/>
          <w:b/>
          <w:color w:val="auto"/>
          <w:sz w:val="32"/>
          <w:szCs w:val="32"/>
        </w:rPr>
      </w:pPr>
    </w:p>
    <w:tbl>
      <w:tblPr>
        <w:tblStyle w:val="3"/>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2CA5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tcPr>
          <w:p w14:paraId="4271FE57">
            <w:pPr>
              <w:rPr>
                <w:rFonts w:ascii="宋体" w:hAnsi="宋体" w:cs="宋体"/>
                <w:b/>
                <w:color w:val="auto"/>
                <w:sz w:val="32"/>
                <w:szCs w:val="32"/>
              </w:rPr>
            </w:pPr>
            <w:r>
              <w:rPr>
                <w:rFonts w:hint="eastAsia" w:ascii="宋体" w:hAnsi="宋体" w:cs="宋体"/>
                <w:b/>
                <w:color w:val="auto"/>
                <w:sz w:val="32"/>
                <w:szCs w:val="32"/>
              </w:rPr>
              <w:t>标准</w:t>
            </w:r>
          </w:p>
        </w:tc>
      </w:tr>
    </w:tbl>
    <w:p w14:paraId="636CA32E">
      <w:pPr>
        <w:jc w:val="center"/>
        <w:rPr>
          <w:rFonts w:ascii="宋体" w:hAnsi="宋体" w:cs="宋体"/>
          <w:b/>
          <w:color w:val="auto"/>
          <w:sz w:val="36"/>
          <w:szCs w:val="36"/>
        </w:rPr>
      </w:pPr>
    </w:p>
    <w:p w14:paraId="3F127676">
      <w:pPr>
        <w:jc w:val="center"/>
        <w:rPr>
          <w:rFonts w:ascii="宋体" w:hAnsi="宋体" w:cs="宋体"/>
          <w:b/>
          <w:color w:val="auto"/>
          <w:sz w:val="36"/>
          <w:szCs w:val="36"/>
        </w:rPr>
      </w:pPr>
    </w:p>
    <w:p w14:paraId="73B84C25">
      <w:pPr>
        <w:jc w:val="center"/>
        <w:rPr>
          <w:rFonts w:ascii="宋体" w:hAnsi="宋体" w:cs="宋体"/>
          <w:b/>
          <w:color w:val="auto"/>
          <w:sz w:val="36"/>
          <w:szCs w:val="36"/>
        </w:rPr>
      </w:pPr>
    </w:p>
    <w:p w14:paraId="4CEDF85F">
      <w:pPr>
        <w:jc w:val="center"/>
        <w:rPr>
          <w:rFonts w:ascii="宋体" w:hAnsi="宋体" w:cs="宋体"/>
          <w:b/>
          <w:color w:val="auto"/>
          <w:sz w:val="36"/>
          <w:szCs w:val="36"/>
        </w:rPr>
      </w:pPr>
    </w:p>
    <w:p w14:paraId="6A3F2A0B">
      <w:pPr>
        <w:jc w:val="center"/>
        <w:rPr>
          <w:rFonts w:ascii="宋体" w:hAnsi="宋体" w:cs="宋体"/>
          <w:b/>
          <w:color w:val="auto"/>
          <w:spacing w:val="-20"/>
          <w:sz w:val="58"/>
          <w:szCs w:val="58"/>
        </w:rPr>
      </w:pPr>
      <w:r>
        <w:rPr>
          <w:rFonts w:hint="eastAsia" w:ascii="宋体" w:hAnsi="宋体" w:cs="宋体"/>
          <w:b/>
          <w:color w:val="auto"/>
          <w:spacing w:val="-20"/>
          <w:sz w:val="58"/>
          <w:szCs w:val="58"/>
        </w:rPr>
        <w:t>西安市第三医院(成交通知书上的项目名称)</w:t>
      </w:r>
    </w:p>
    <w:p w14:paraId="728B7481">
      <w:pPr>
        <w:spacing w:line="800" w:lineRule="exact"/>
        <w:jc w:val="center"/>
        <w:rPr>
          <w:rFonts w:ascii="宋体" w:hAnsi="宋体" w:cs="宋体"/>
          <w:b/>
          <w:color w:val="auto"/>
          <w:sz w:val="72"/>
          <w:szCs w:val="72"/>
        </w:rPr>
      </w:pPr>
      <w:r>
        <w:rPr>
          <w:rFonts w:hint="eastAsia" w:ascii="宋体" w:hAnsi="宋体" w:cs="宋体"/>
          <w:b/>
          <w:color w:val="auto"/>
          <w:sz w:val="72"/>
          <w:szCs w:val="72"/>
        </w:rPr>
        <w:t>供 货 合 同</w:t>
      </w:r>
    </w:p>
    <w:p w14:paraId="15917E3F">
      <w:pPr>
        <w:spacing w:line="800" w:lineRule="exact"/>
        <w:jc w:val="center"/>
        <w:rPr>
          <w:rFonts w:ascii="宋体" w:hAnsi="宋体" w:cs="宋体"/>
          <w:b/>
          <w:color w:val="auto"/>
          <w:sz w:val="36"/>
          <w:szCs w:val="36"/>
        </w:rPr>
      </w:pPr>
      <w:r>
        <w:rPr>
          <w:rFonts w:hint="eastAsia" w:ascii="宋体" w:hAnsi="宋体" w:cs="宋体"/>
          <w:b/>
          <w:color w:val="auto"/>
          <w:sz w:val="36"/>
          <w:szCs w:val="36"/>
        </w:rPr>
        <w:t>招标编号：XXXXXXXXXXX</w:t>
      </w:r>
      <w:r>
        <w:rPr>
          <w:rFonts w:ascii="宋体" w:hAnsi="宋体" w:cs="宋体"/>
          <w:b/>
          <w:color w:val="auto"/>
          <w:sz w:val="36"/>
          <w:szCs w:val="36"/>
        </w:rPr>
        <w:t>XXXXXXX</w:t>
      </w:r>
    </w:p>
    <w:p w14:paraId="55D48DA8">
      <w:pPr>
        <w:jc w:val="center"/>
        <w:rPr>
          <w:rFonts w:ascii="宋体" w:hAnsi="宋体" w:cs="宋体"/>
          <w:color w:val="auto"/>
          <w:sz w:val="30"/>
          <w:szCs w:val="30"/>
        </w:rPr>
      </w:pPr>
    </w:p>
    <w:p w14:paraId="304F5C3B">
      <w:pPr>
        <w:jc w:val="center"/>
        <w:rPr>
          <w:rFonts w:ascii="宋体" w:hAnsi="宋体" w:cs="宋体"/>
          <w:color w:val="auto"/>
          <w:sz w:val="30"/>
          <w:szCs w:val="30"/>
        </w:rPr>
      </w:pPr>
    </w:p>
    <w:p w14:paraId="5ED3B0AC">
      <w:pPr>
        <w:rPr>
          <w:rFonts w:ascii="宋体" w:hAnsi="宋体" w:cs="宋体"/>
          <w:color w:val="auto"/>
          <w:sz w:val="30"/>
          <w:szCs w:val="30"/>
        </w:rPr>
      </w:pPr>
    </w:p>
    <w:p w14:paraId="56FE3929">
      <w:pPr>
        <w:jc w:val="center"/>
        <w:rPr>
          <w:rFonts w:ascii="宋体" w:hAnsi="宋体" w:cs="宋体"/>
          <w:color w:val="auto"/>
          <w:sz w:val="30"/>
          <w:szCs w:val="30"/>
        </w:rPr>
      </w:pPr>
    </w:p>
    <w:p w14:paraId="33B7C9A1">
      <w:pPr>
        <w:ind w:firstLine="2080" w:firstLineChars="650"/>
        <w:rPr>
          <w:rFonts w:ascii="宋体" w:hAnsi="宋体" w:cs="宋体"/>
          <w:color w:val="auto"/>
          <w:sz w:val="32"/>
          <w:szCs w:val="32"/>
        </w:rPr>
      </w:pPr>
      <w:r>
        <w:rPr>
          <w:rFonts w:hint="eastAsia" w:ascii="宋体" w:hAnsi="宋体" w:cs="宋体"/>
          <w:color w:val="auto"/>
          <w:sz w:val="32"/>
          <w:szCs w:val="32"/>
        </w:rPr>
        <w:t>甲  方：西安市第三医院</w:t>
      </w:r>
    </w:p>
    <w:p w14:paraId="1F1294E2">
      <w:pPr>
        <w:tabs>
          <w:tab w:val="left" w:pos="480"/>
        </w:tabs>
        <w:ind w:firstLine="640" w:firstLineChars="200"/>
        <w:rPr>
          <w:rFonts w:ascii="宋体" w:hAnsi="宋体" w:cs="宋体"/>
          <w:color w:val="auto"/>
          <w:sz w:val="32"/>
          <w:szCs w:val="32"/>
        </w:rPr>
      </w:pPr>
      <w:r>
        <w:rPr>
          <w:rFonts w:hint="eastAsia" w:ascii="宋体" w:hAnsi="宋体" w:cs="宋体"/>
          <w:color w:val="auto"/>
          <w:sz w:val="32"/>
          <w:szCs w:val="32"/>
        </w:rPr>
        <w:t xml:space="preserve">         乙  方：XXXXXXXXXXXXXXXXXXXX</w:t>
      </w:r>
    </w:p>
    <w:p w14:paraId="22F6C781">
      <w:pPr>
        <w:rPr>
          <w:rFonts w:ascii="宋体" w:hAnsi="宋体" w:cs="宋体"/>
          <w:color w:val="auto"/>
          <w:sz w:val="32"/>
          <w:szCs w:val="32"/>
        </w:rPr>
      </w:pPr>
      <w:r>
        <w:rPr>
          <w:rFonts w:hint="eastAsia" w:ascii="宋体" w:hAnsi="宋体" w:cs="宋体"/>
          <w:color w:val="auto"/>
          <w:sz w:val="32"/>
          <w:szCs w:val="32"/>
        </w:rPr>
        <w:t xml:space="preserve">             </w:t>
      </w:r>
    </w:p>
    <w:p w14:paraId="6F46A58C">
      <w:pPr>
        <w:jc w:val="center"/>
        <w:rPr>
          <w:rFonts w:ascii="宋体" w:hAnsi="宋体" w:cs="宋体"/>
          <w:color w:val="auto"/>
          <w:sz w:val="30"/>
          <w:szCs w:val="30"/>
        </w:rPr>
      </w:pPr>
    </w:p>
    <w:p w14:paraId="5A429064">
      <w:pPr>
        <w:jc w:val="center"/>
        <w:rPr>
          <w:rFonts w:ascii="宋体" w:hAnsi="宋体" w:cs="宋体"/>
          <w:color w:val="auto"/>
          <w:sz w:val="32"/>
          <w:szCs w:val="32"/>
        </w:rPr>
      </w:pPr>
      <w:r>
        <w:rPr>
          <w:rFonts w:hint="eastAsia" w:ascii="宋体" w:hAnsi="宋体" w:cs="宋体"/>
          <w:color w:val="auto"/>
          <w:sz w:val="32"/>
          <w:szCs w:val="32"/>
        </w:rPr>
        <w:t>XXXX年 XX月</w:t>
      </w:r>
    </w:p>
    <w:p w14:paraId="5BF9BD4C">
      <w:pPr>
        <w:jc w:val="center"/>
        <w:rPr>
          <w:rFonts w:ascii="宋体" w:hAnsi="宋体" w:cs="宋体"/>
          <w:color w:val="auto"/>
          <w:sz w:val="32"/>
          <w:szCs w:val="32"/>
        </w:rPr>
      </w:pPr>
      <w:r>
        <w:rPr>
          <w:rFonts w:hint="eastAsia" w:ascii="宋体" w:hAnsi="宋体" w:cs="宋体"/>
          <w:color w:val="auto"/>
          <w:sz w:val="32"/>
          <w:szCs w:val="32"/>
        </w:rPr>
        <w:t>中国  西安</w:t>
      </w:r>
    </w:p>
    <w:p w14:paraId="67F5EE7C">
      <w:pPr>
        <w:widowControl/>
        <w:jc w:val="left"/>
        <w:rPr>
          <w:rFonts w:ascii="宋体" w:hAnsi="宋体" w:cs="宋体"/>
          <w:b/>
          <w:color w:val="auto"/>
          <w:sz w:val="32"/>
          <w:szCs w:val="32"/>
        </w:rPr>
      </w:pPr>
      <w:r>
        <w:rPr>
          <w:rFonts w:hint="eastAsia" w:ascii="宋体" w:hAnsi="宋体" w:cs="宋体"/>
          <w:b/>
          <w:color w:val="auto"/>
          <w:sz w:val="32"/>
          <w:szCs w:val="32"/>
        </w:rPr>
        <w:br w:type="page"/>
      </w:r>
    </w:p>
    <w:p w14:paraId="7416F840">
      <w:pPr>
        <w:keepNext w:val="0"/>
        <w:keepLines w:val="0"/>
        <w:pageBreakBefore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val="0"/>
          <w:color w:val="auto"/>
          <w:sz w:val="32"/>
          <w:szCs w:val="32"/>
        </w:rPr>
      </w:pPr>
      <w:r>
        <w:rPr>
          <w:rFonts w:hint="eastAsia" w:ascii="宋体" w:hAnsi="宋体" w:eastAsia="宋体" w:cs="宋体"/>
          <w:b/>
          <w:bCs w:val="0"/>
          <w:color w:val="auto"/>
          <w:sz w:val="32"/>
          <w:szCs w:val="32"/>
        </w:rPr>
        <w:t>供 货 合 同</w:t>
      </w:r>
    </w:p>
    <w:p w14:paraId="6404088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甲方：西安市第三医院</w:t>
      </w:r>
    </w:p>
    <w:p w14:paraId="0CC5560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住所地：西安市凤城三路东段10号</w:t>
      </w:r>
    </w:p>
    <w:p w14:paraId="51CC6D2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法定代表人：杨军乐</w:t>
      </w:r>
    </w:p>
    <w:p w14:paraId="1A608FD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联系方式：029-61816199</w:t>
      </w:r>
    </w:p>
    <w:p w14:paraId="29D6280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乙方：XXXXXXXXXXXXXXXX</w:t>
      </w:r>
    </w:p>
    <w:p w14:paraId="560E8A1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住所地：XXXXXXXXXXXXXXXXXXXXXXXXXX</w:t>
      </w:r>
    </w:p>
    <w:p w14:paraId="51894AD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法定代表人：XXXX</w:t>
      </w:r>
    </w:p>
    <w:p w14:paraId="5A5C623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联系方式：XXXXXXXXXXX</w:t>
      </w:r>
    </w:p>
    <w:p w14:paraId="3D82088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西安市第三医院（以下简称甲方）所需本合同项目下的医疗设备，在西安市财政局政府采购管理处的监督管理下，由</w:t>
      </w:r>
      <w:r>
        <w:rPr>
          <w:rFonts w:hint="eastAsia" w:ascii="宋体" w:hAnsi="宋体" w:eastAsia="宋体" w:cs="宋体"/>
          <w:color w:val="auto"/>
          <w:sz w:val="24"/>
          <w:szCs w:val="24"/>
          <w:lang w:val="en-US" w:eastAsia="zh-CN"/>
        </w:rPr>
        <w:t>永明项目管理有限公司</w:t>
      </w:r>
      <w:r>
        <w:rPr>
          <w:rFonts w:hint="eastAsia" w:ascii="宋体" w:hAnsi="宋体" w:eastAsia="宋体" w:cs="宋体"/>
          <w:color w:val="auto"/>
          <w:sz w:val="24"/>
          <w:szCs w:val="24"/>
        </w:rPr>
        <w:t>（以下简称</w:t>
      </w:r>
      <w:r>
        <w:rPr>
          <w:rFonts w:hint="eastAsia" w:ascii="宋体" w:hAnsi="宋体" w:eastAsia="宋体" w:cs="宋体"/>
          <w:color w:val="auto"/>
          <w:sz w:val="24"/>
          <w:szCs w:val="24"/>
          <w:lang w:eastAsia="zh-CN"/>
        </w:rPr>
        <w:t>招标代理机构</w:t>
      </w:r>
      <w:r>
        <w:rPr>
          <w:rFonts w:hint="eastAsia" w:ascii="宋体" w:hAnsi="宋体" w:eastAsia="宋体" w:cs="宋体"/>
          <w:color w:val="auto"/>
          <w:sz w:val="24"/>
          <w:szCs w:val="24"/>
        </w:rPr>
        <w:t>）按照政府采购程序组织公开招标，确定XXXXXXXXXXXXXXXXXX（以下简称乙方）为成交供应商。依据《中华人民共和国政府采购法》、《中华人民共和国民法典》以及</w:t>
      </w:r>
      <w:r>
        <w:rPr>
          <w:rFonts w:hint="eastAsia" w:ascii="宋体" w:hAnsi="宋体" w:eastAsia="宋体" w:cs="宋体"/>
          <w:color w:val="auto"/>
          <w:sz w:val="24"/>
          <w:szCs w:val="24"/>
          <w:lang w:eastAsia="zh-CN"/>
        </w:rPr>
        <w:t>招标代理机构</w:t>
      </w:r>
      <w:r>
        <w:rPr>
          <w:rFonts w:hint="eastAsia" w:ascii="宋体" w:hAnsi="宋体" w:eastAsia="宋体" w:cs="宋体"/>
          <w:color w:val="auto"/>
          <w:sz w:val="24"/>
          <w:szCs w:val="24"/>
        </w:rPr>
        <w:t>的招标文件、中标供应商投标文件正本和澄清表（函）、中标通知书，经甲、乙双方协商，达成如下条款。</w:t>
      </w:r>
    </w:p>
    <w:p w14:paraId="5619F27E">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一、合同标的物内容</w:t>
      </w:r>
      <w:r>
        <w:rPr>
          <w:rFonts w:hint="eastAsia" w:ascii="宋体" w:hAnsi="宋体" w:eastAsia="宋体" w:cs="宋体"/>
          <w:color w:val="auto"/>
          <w:sz w:val="24"/>
          <w:szCs w:val="24"/>
        </w:rPr>
        <w:t>（以投标文件正本和澄清表〈函〉为准，标的物分项清单规格标准详见附件一、附件二、）</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72DB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58AB54E">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标的物名称</w:t>
            </w:r>
          </w:p>
        </w:tc>
        <w:tc>
          <w:tcPr>
            <w:tcW w:w="1457" w:type="dxa"/>
          </w:tcPr>
          <w:p w14:paraId="4CFFC720">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品牌</w:t>
            </w:r>
          </w:p>
        </w:tc>
        <w:tc>
          <w:tcPr>
            <w:tcW w:w="1704" w:type="dxa"/>
          </w:tcPr>
          <w:p w14:paraId="3F0DB5DA">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705" w:type="dxa"/>
          </w:tcPr>
          <w:p w14:paraId="2593220A">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金额（万元）</w:t>
            </w:r>
          </w:p>
        </w:tc>
        <w:tc>
          <w:tcPr>
            <w:tcW w:w="1705" w:type="dxa"/>
          </w:tcPr>
          <w:p w14:paraId="3A888E6A">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质保期（年）</w:t>
            </w:r>
          </w:p>
        </w:tc>
      </w:tr>
      <w:tr w14:paraId="771B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194ED22">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中标通知书名称</w:t>
            </w:r>
          </w:p>
        </w:tc>
        <w:tc>
          <w:tcPr>
            <w:tcW w:w="1457" w:type="dxa"/>
          </w:tcPr>
          <w:p w14:paraId="7026FD49">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国产/进口</w:t>
            </w:r>
          </w:p>
        </w:tc>
        <w:tc>
          <w:tcPr>
            <w:tcW w:w="1704" w:type="dxa"/>
          </w:tcPr>
          <w:p w14:paraId="6F3CA7A1">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1705" w:type="dxa"/>
          </w:tcPr>
          <w:p w14:paraId="363BEE08">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1705" w:type="dxa"/>
          </w:tcPr>
          <w:p w14:paraId="4ECFBBCE">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r>
      <w:tr w14:paraId="46C6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251D1B8A">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货物价款合计（大写）：XXXXXX  ¥：（XXXXXX万元）</w:t>
            </w:r>
          </w:p>
        </w:tc>
      </w:tr>
    </w:tbl>
    <w:p w14:paraId="161778D9">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二、合同价款</w:t>
      </w:r>
    </w:p>
    <w:p w14:paraId="17B0E7AE">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（一）合同总价款为人民币（大写）XXXXXX（￥XXXXXX万元）。</w:t>
      </w:r>
    </w:p>
    <w:p w14:paraId="319A4E1A">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（二）合同总价包括：货物费、原厂维修保养服务费、运输费（含保险费）、装卸、安装调试费、检测验收、培训、技术服务及其它全部费用。</w:t>
      </w:r>
    </w:p>
    <w:p w14:paraId="4E885069">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（三）合同总价一次性包死，不受市场价格变化因素的影响。</w:t>
      </w:r>
    </w:p>
    <w:p w14:paraId="2B378442">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三、款项结算</w:t>
      </w:r>
    </w:p>
    <w:p w14:paraId="7D655971">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（一）合同签订后，乙方须按其投标文件中响应的交货期按时交货并提供全额合规发票保证“货票同行”，设备到达甲方指定地点，安装、调试完毕并验收合格后，甲方支付合同总价款的95% ，即人民币（大写）XXXXXX（￥XXXXXX万元）。若乙方届时未提供全额合规发票，甲方付款期限顺延，且不承担任何责任。</w:t>
      </w:r>
    </w:p>
    <w:p w14:paraId="46F4BAFC">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（二）合同总价的剩余部分 ，即人民币（大写）XXXXXX元整（￥XXXXXX万元），验收合格之日起，三年后甲方一次性无息支付。</w:t>
      </w:r>
    </w:p>
    <w:p w14:paraId="03C9D957">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（三）支付方式：银行转账。</w:t>
      </w:r>
    </w:p>
    <w:p w14:paraId="5AF26DCD">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（四）结算方式：</w:t>
      </w:r>
    </w:p>
    <w:p w14:paraId="46A3E02A">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货物结算：乙方持货物验收合格单，全额合规发票（按合同标的物中的货物全款开甲方），中标通知书、供货合同，与甲方结算。</w:t>
      </w:r>
    </w:p>
    <w:p w14:paraId="374DCF9F">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服务结算：乙方持维修保养服务验收合格单，全额合规发票（按合同标的物中的原厂维修保养服务全款开甲方），货物验收单，供货合同，与甲方结算。</w:t>
      </w:r>
    </w:p>
    <w:p w14:paraId="1BB15820">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四、交货条件：</w:t>
      </w:r>
    </w:p>
    <w:p w14:paraId="5BFAF573">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（一）交货地点：西安市第三医院指定地点。</w:t>
      </w:r>
    </w:p>
    <w:p w14:paraId="0B593D39">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（二）交货期：</w:t>
      </w:r>
    </w:p>
    <w:p w14:paraId="4CA20E23">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交货期：合同签订后国产设备XX个日历日；进口设备XX个日历日。不得延期。</w:t>
      </w:r>
    </w:p>
    <w:p w14:paraId="5CEAC964">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合同签订后，乙方即刻派遣场地工程师到达安装现场勘察，协助甲方基建规划完成场地建设，按照供货期要求组织货物到达、安装事宜。场地不满足安装验收条件时，由乙方保存货物，费用由乙方全部承担。</w:t>
      </w:r>
    </w:p>
    <w:p w14:paraId="17F55229">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281E019">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五、运输</w:t>
      </w:r>
    </w:p>
    <w:p w14:paraId="6D40852A">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（一）运输由乙方负责，运杂费已包含在合同总价内，包括从货物供应地点至交货地点所含的运输费、装卸费、仓储费、保险费等全部费用。</w:t>
      </w:r>
    </w:p>
    <w:p w14:paraId="531D59F2">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（二）运输方式由乙方自行选择，但必须保证按期交货。</w:t>
      </w:r>
    </w:p>
    <w:p w14:paraId="3FD8AFFE">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（三）因运输产生的一切风险及质量问题均由乙方承担。</w:t>
      </w:r>
    </w:p>
    <w:p w14:paraId="7ADAA1EB">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六、质量保证</w:t>
      </w:r>
    </w:p>
    <w:p w14:paraId="0B15D4C2">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乙方所供货物必须执行下列条款：</w:t>
      </w:r>
    </w:p>
    <w:p w14:paraId="5502E61E">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（一）保证技术指标先进、产品全新、质量性能可靠、进货渠道正常，配置合理，全面满足招标文件要求。</w:t>
      </w:r>
    </w:p>
    <w:p w14:paraId="593671A1">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（二）符合国家有关规范要求和标准，确保达到最佳运行状态，对于由于产品设计、工艺或材料的缺陷而产生的质量问题负责。</w:t>
      </w:r>
    </w:p>
    <w:p w14:paraId="5E8B418F">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（三）具有良好的外观，适合安装场所的使用。</w:t>
      </w:r>
    </w:p>
    <w:p w14:paraId="3B7A9717">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（四）自安装、调试正常运行并验收合格之日起：</w:t>
      </w:r>
    </w:p>
    <w:p w14:paraId="100C9215">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原厂维修保养服务：提供原厂免费质保X年（提供原厂保修协议），同一主要部件出现质量问题经过两次维修后仍无法正常使用的，甲方有权立即要求乙方免费更换同型号、同规格的产品，服务响应时间及解决方案按照本合同第七条“售后服务”中的约定执行；若乙方未按照上述约定期限内及时解决问题,造成甲方损失扩大的,乙方应就损失扩大部分承担全部赔偿责任。终身免费维护。</w:t>
      </w:r>
    </w:p>
    <w:p w14:paraId="2AB82873">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30天内，如出现质量问题，甲方可以选择换货或退货；</w:t>
      </w:r>
    </w:p>
    <w:p w14:paraId="0B2EF06A">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7天内，如出现质量问题，甲方可选择换货。</w:t>
      </w:r>
    </w:p>
    <w:p w14:paraId="5B358EBB">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（五）保证设备后期可与甲方各类信息化网络系统免费无缝链接</w:t>
      </w:r>
    </w:p>
    <w:p w14:paraId="6870B0F4">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七、售后服务</w:t>
      </w:r>
    </w:p>
    <w:p w14:paraId="0966CA68">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乙方为所供货物提供以下售后服务：</w:t>
      </w:r>
    </w:p>
    <w:p w14:paraId="67D29D6B">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（一）原厂维修保养服务期内：</w:t>
      </w:r>
    </w:p>
    <w:p w14:paraId="090FC154">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发生质量问题，接到甲方通知后，应于2小时内派出专业的维修人员到现场进行检测维修，发生的全部费用由乙方承担，若需送回生产厂，乙方承担由此产生的一切费用；</w:t>
      </w:r>
    </w:p>
    <w:p w14:paraId="5DEBCB25">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每年四次派技术人员到现场走访，给予检查维护；</w:t>
      </w:r>
    </w:p>
    <w:p w14:paraId="419113C3">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排除故障的期限不超过24小时。否则甲方有权指定第三方维修，维修费用由乙方承担，直接从原厂维修保养服务费用中扣除，此项费用已付或无法支付全部维修费用的，超出部分由乙方另行承担。</w:t>
      </w:r>
    </w:p>
    <w:p w14:paraId="4912C073">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（二）服务期结束前，乙方进行系统测试，全面保养维护，确保正常运行。</w:t>
      </w:r>
    </w:p>
    <w:p w14:paraId="2EDE4126">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八、技术与服务</w:t>
      </w:r>
    </w:p>
    <w:p w14:paraId="203641D6">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（一）技术资料：</w:t>
      </w:r>
    </w:p>
    <w:p w14:paraId="0F3BD02B">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货物合格证；</w:t>
      </w:r>
    </w:p>
    <w:p w14:paraId="3F67B084">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货物使用说明书（中文）；</w:t>
      </w:r>
    </w:p>
    <w:p w14:paraId="37E3A254">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进口货物商检证明和报关单；</w:t>
      </w:r>
    </w:p>
    <w:p w14:paraId="42AA56AE">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乙方提供相关部门出具的检验测试报告；</w:t>
      </w:r>
    </w:p>
    <w:p w14:paraId="2C8EA307">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其它资料。</w:t>
      </w:r>
    </w:p>
    <w:p w14:paraId="49D51AA4">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（二）培训：乙方须在设备安装调试完成后对甲方操作人员进行完整使用、保养等培训，是否完成培训视为货物验收必备条件之一；</w:t>
      </w:r>
    </w:p>
    <w:p w14:paraId="0A65AE0B">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（三）服务承诺：以投标文件、澄清表（函）、合同和随货物的相关文件为准。</w:t>
      </w:r>
    </w:p>
    <w:p w14:paraId="517665C5">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九、验收</w:t>
      </w:r>
    </w:p>
    <w:p w14:paraId="6E08629A">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（一）货物到达甲方指定地点后，甲方根据合同要求，进行外观验收，确认产地、规格、型号和数量。甲乙双方需在约定的时间和地点共同开箱检验。</w:t>
      </w:r>
    </w:p>
    <w:p w14:paraId="55AC5891">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14:paraId="51A8E3BC">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（三）乙方向甲方提交原厂质保证明文件，要求覆盖乙方所承诺的全部原厂维修保养服务期限。</w:t>
      </w:r>
    </w:p>
    <w:p w14:paraId="6B5701D1">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（四）甲方确认接收乙方的自检内容后，进行验收，验收合格后，由乙方对甲方操作人员进行培训，完成培训后，甲方填写验收单作为对货物的最终认可。</w:t>
      </w:r>
    </w:p>
    <w:p w14:paraId="71B32186">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（五）乙方向甲方提交货物实施过程中的所有资料，以便甲方日后管理和维护。</w:t>
      </w:r>
    </w:p>
    <w:p w14:paraId="60220DA3">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（六）验收依据：</w:t>
      </w:r>
    </w:p>
    <w:p w14:paraId="3FDE26CF">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本合同及合同附件。</w:t>
      </w:r>
    </w:p>
    <w:p w14:paraId="7FB849D2">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国家相应的标准、规范。</w:t>
      </w:r>
    </w:p>
    <w:p w14:paraId="2E1BBB83">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招标文件、投标文件、澄清表（函）。</w:t>
      </w:r>
    </w:p>
    <w:p w14:paraId="083C7206">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十、违约责任</w:t>
      </w:r>
    </w:p>
    <w:p w14:paraId="4ED671E7">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（一）按《政府采购法》、《中华人民共和国民法典》中的相关条款执行。</w:t>
      </w:r>
    </w:p>
    <w:p w14:paraId="4A7B413F">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3B5E124E">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乙方赔偿甲方解除合同的全部损失（包括但不限于重新采购产生的费用、合同未履行导致设备不能按规划交付使用可能产生的租赁费用及其它由此造成的甲方对第三方的违约损失）；</w:t>
      </w:r>
    </w:p>
    <w:p w14:paraId="1887DAC9">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乙方支付甲方违约金，违约金计算方法：以合同总价为基数，支付甲方合同总价的30%为违约金，同时，对乙方的违约行为报监管机构进行相应的处罚。</w:t>
      </w:r>
    </w:p>
    <w:p w14:paraId="331B74F6">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十一、合同争议解决的方式</w:t>
      </w:r>
    </w:p>
    <w:p w14:paraId="21927EC5">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本合同在履行过程中发生的争议，由甲、乙双方当事人协商解决，协商不成的依法向甲方所在地人民法院起诉。</w:t>
      </w:r>
    </w:p>
    <w:p w14:paraId="45D13363">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十二、合同生效</w:t>
      </w:r>
    </w:p>
    <w:p w14:paraId="1BA5618B">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bookmarkStart w:id="0" w:name="_Hlk527448041"/>
      <w:r>
        <w:rPr>
          <w:rFonts w:hint="eastAsia" w:ascii="宋体" w:hAnsi="宋体" w:eastAsia="宋体" w:cs="宋体"/>
          <w:color w:val="auto"/>
          <w:sz w:val="24"/>
          <w:szCs w:val="24"/>
        </w:rPr>
        <w:t>本合同一式</w:t>
      </w:r>
      <w:r>
        <w:rPr>
          <w:rFonts w:hint="eastAsia" w:ascii="宋体" w:hAnsi="宋体" w:eastAsia="宋体" w:cs="宋体"/>
          <w:color w:val="auto"/>
          <w:sz w:val="24"/>
          <w:szCs w:val="24"/>
          <w:lang w:eastAsia="zh-CN"/>
        </w:rPr>
        <w:t>伍</w:t>
      </w:r>
      <w:r>
        <w:rPr>
          <w:rFonts w:hint="eastAsia" w:ascii="宋体" w:hAnsi="宋体" w:eastAsia="宋体" w:cs="宋体"/>
          <w:color w:val="auto"/>
          <w:sz w:val="24"/>
          <w:szCs w:val="24"/>
        </w:rPr>
        <w:t>份，甲方肆份，乙方壹份，本合同自甲方、乙方</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方签字盖章之日起生效，原厂维修保养服务期结束后，自动终止（但合同的服务承诺除外）。</w:t>
      </w:r>
    </w:p>
    <w:bookmarkEnd w:id="0"/>
    <w:p w14:paraId="6CCD14B8">
      <w:pPr>
        <w:keepNext w:val="0"/>
        <w:keepLines w:val="0"/>
        <w:pageBreakBefore w:val="0"/>
        <w:tabs>
          <w:tab w:val="left" w:pos="480"/>
        </w:tabs>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十三、其他事项</w:t>
      </w:r>
    </w:p>
    <w:p w14:paraId="4888DED4">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）西安市财政局政府采购管理处在合同的履行期间以及履行期后，可以随时检查项目的执行情况，对采购内容、标准进行调查核实，并对发现的问题进行处理。</w:t>
      </w:r>
    </w:p>
    <w:p w14:paraId="6B61B0E0">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）招标文件、投标文件、澄清表（函）、中标通知书、合同附件均成为合同不可分割的部分。</w:t>
      </w:r>
    </w:p>
    <w:p w14:paraId="12C6F04D">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三</w:t>
      </w:r>
      <w:r>
        <w:rPr>
          <w:rFonts w:hint="eastAsia" w:ascii="宋体" w:hAnsi="宋体" w:eastAsia="宋体" w:cs="宋体"/>
          <w:color w:val="auto"/>
          <w:sz w:val="24"/>
          <w:szCs w:val="24"/>
        </w:rPr>
        <w:t>）合同未尽事宜，由甲、乙双方协商，签订补充协议，与本合同具有同等法律效力。补充协议与本合同不一致的，以补充协议为准。</w:t>
      </w:r>
    </w:p>
    <w:p w14:paraId="5F75FE1D">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60D8E64D">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五</w:t>
      </w:r>
      <w:r>
        <w:rPr>
          <w:rFonts w:hint="eastAsia" w:ascii="宋体" w:hAnsi="宋体" w:eastAsia="宋体" w:cs="宋体"/>
          <w:color w:val="auto"/>
          <w:sz w:val="24"/>
          <w:szCs w:val="24"/>
        </w:rPr>
        <w:t>）本合同按照中华人民共和国的现行法律进行解释。</w:t>
      </w:r>
    </w:p>
    <w:p w14:paraId="6CF7D7B9">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六</w:t>
      </w:r>
      <w:r>
        <w:rPr>
          <w:rFonts w:hint="eastAsia" w:ascii="宋体" w:hAnsi="宋体" w:eastAsia="宋体" w:cs="宋体"/>
          <w:color w:val="auto"/>
          <w:sz w:val="24"/>
          <w:szCs w:val="24"/>
        </w:rPr>
        <w:t>）本合同附件作为本合同的组成部分，与本合同具有同等法律效力。</w:t>
      </w:r>
    </w:p>
    <w:p w14:paraId="745BA511">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（以下无正文）</w:t>
      </w:r>
    </w:p>
    <w:p w14:paraId="299EEB1C">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768E6DF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B21C25C">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  方（法人公章）                  乙  方（法人公章）</w:t>
      </w:r>
    </w:p>
    <w:p w14:paraId="1D863147">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单位名称：西安市第三医院            单位名称:</w:t>
      </w:r>
    </w:p>
    <w:p w14:paraId="7CACF981">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  址：西安市凤城三路东段10号     地  址：</w:t>
      </w:r>
    </w:p>
    <w:p w14:paraId="16AC15AC">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法定代表人：（签章）                 法定代表人：（签章） </w:t>
      </w:r>
    </w:p>
    <w:p w14:paraId="29EBF696">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4C7E4414">
      <w:pPr>
        <w:keepNext w:val="0"/>
        <w:keepLines w:val="0"/>
        <w:pageBreakBefore w:val="0"/>
        <w:tabs>
          <w:tab w:val="left" w:pos="480"/>
        </w:tabs>
        <w:kinsoku/>
        <w:wordWrap/>
        <w:overflowPunct/>
        <w:topLinePunct w:val="0"/>
        <w:autoSpaceDE/>
        <w:autoSpaceDN/>
        <w:bidi w:val="0"/>
        <w:adjustRightInd/>
        <w:snapToGrid/>
        <w:spacing w:line="360" w:lineRule="auto"/>
        <w:ind w:left="0" w:firstLine="3360" w:firstLineChars="14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开户银行:</w:t>
      </w:r>
    </w:p>
    <w:p w14:paraId="2A811063">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账   号：</w:t>
      </w:r>
    </w:p>
    <w:p w14:paraId="1A5943A2">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签订日期： 年  月  日               签订日期： 年  月  日</w:t>
      </w:r>
    </w:p>
    <w:p w14:paraId="726F0F49">
      <w:pPr>
        <w:keepNext w:val="0"/>
        <w:keepLines w:val="0"/>
        <w:pageBreakBefore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rPr>
      </w:pPr>
    </w:p>
    <w:p w14:paraId="0594783F">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4ECD728A">
      <w:pPr>
        <w:pStyle w:val="2"/>
        <w:keepNext w:val="0"/>
        <w:keepLines w:val="0"/>
        <w:pageBreakBefore w:val="0"/>
        <w:kinsoku/>
        <w:wordWrap/>
        <w:overflowPunct/>
        <w:topLinePunct w:val="0"/>
        <w:autoSpaceDE/>
        <w:autoSpaceDN/>
        <w:bidi w:val="0"/>
        <w:adjustRightInd/>
        <w:snapToGrid/>
        <w:spacing w:before="0" w:line="360" w:lineRule="auto"/>
        <w:ind w:left="0"/>
        <w:textAlignment w:val="auto"/>
        <w:rPr>
          <w:rFonts w:hint="eastAsia" w:ascii="宋体" w:hAnsi="宋体" w:eastAsia="宋体" w:cs="宋体"/>
          <w:color w:val="auto"/>
          <w:sz w:val="24"/>
          <w:szCs w:val="24"/>
        </w:rPr>
      </w:pPr>
    </w:p>
    <w:p w14:paraId="37FCFAF6">
      <w:pPr>
        <w:keepNext w:val="0"/>
        <w:keepLines w:val="0"/>
        <w:pageBreakBefore w:val="0"/>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32A0494A">
      <w:pPr>
        <w:pStyle w:val="2"/>
        <w:keepNext w:val="0"/>
        <w:keepLines w:val="0"/>
        <w:pageBreakBefore w:val="0"/>
        <w:kinsoku/>
        <w:wordWrap/>
        <w:overflowPunct/>
        <w:topLinePunct w:val="0"/>
        <w:autoSpaceDE/>
        <w:autoSpaceDN/>
        <w:bidi w:val="0"/>
        <w:adjustRightInd/>
        <w:snapToGrid/>
        <w:spacing w:before="0" w:line="360" w:lineRule="auto"/>
        <w:ind w:left="0"/>
        <w:textAlignment w:val="auto"/>
        <w:rPr>
          <w:rFonts w:hint="eastAsia" w:ascii="宋体" w:hAnsi="宋体" w:eastAsia="宋体" w:cs="宋体"/>
          <w:color w:val="auto"/>
          <w:sz w:val="24"/>
          <w:szCs w:val="24"/>
        </w:rPr>
      </w:pPr>
    </w:p>
    <w:p w14:paraId="07C3B794">
      <w:pPr>
        <w:keepNext w:val="0"/>
        <w:keepLines w:val="0"/>
        <w:pageBreakBefore w:val="0"/>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66F26B25">
      <w:pPr>
        <w:pStyle w:val="2"/>
        <w:keepNext w:val="0"/>
        <w:keepLines w:val="0"/>
        <w:pageBreakBefore w:val="0"/>
        <w:kinsoku/>
        <w:wordWrap/>
        <w:overflowPunct/>
        <w:topLinePunct w:val="0"/>
        <w:autoSpaceDE/>
        <w:autoSpaceDN/>
        <w:bidi w:val="0"/>
        <w:adjustRightInd/>
        <w:snapToGrid/>
        <w:spacing w:before="0" w:line="360" w:lineRule="auto"/>
        <w:ind w:left="0"/>
        <w:textAlignment w:val="auto"/>
        <w:rPr>
          <w:rFonts w:hint="eastAsia" w:ascii="宋体" w:hAnsi="宋体" w:eastAsia="宋体" w:cs="宋体"/>
          <w:color w:val="auto"/>
          <w:sz w:val="24"/>
          <w:szCs w:val="24"/>
        </w:rPr>
      </w:pPr>
    </w:p>
    <w:p w14:paraId="7AE99B38">
      <w:pPr>
        <w:keepNext w:val="0"/>
        <w:keepLines w:val="0"/>
        <w:pageBreakBefore w:val="0"/>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0B0BEE67">
      <w:pPr>
        <w:pStyle w:val="2"/>
        <w:keepNext w:val="0"/>
        <w:keepLines w:val="0"/>
        <w:pageBreakBefore w:val="0"/>
        <w:kinsoku/>
        <w:wordWrap/>
        <w:overflowPunct/>
        <w:topLinePunct w:val="0"/>
        <w:autoSpaceDE/>
        <w:autoSpaceDN/>
        <w:bidi w:val="0"/>
        <w:adjustRightInd/>
        <w:snapToGrid/>
        <w:spacing w:before="0" w:line="360" w:lineRule="auto"/>
        <w:ind w:left="0"/>
        <w:textAlignment w:val="auto"/>
        <w:rPr>
          <w:rFonts w:hint="eastAsia" w:ascii="宋体" w:hAnsi="宋体" w:eastAsia="宋体" w:cs="宋体"/>
          <w:color w:val="auto"/>
          <w:sz w:val="24"/>
          <w:szCs w:val="24"/>
        </w:rPr>
      </w:pPr>
    </w:p>
    <w:p w14:paraId="23FDBF8D">
      <w:pPr>
        <w:keepNext w:val="0"/>
        <w:keepLines w:val="0"/>
        <w:pageBreakBefore w:val="0"/>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76E0E929">
      <w:pPr>
        <w:pStyle w:val="2"/>
        <w:keepNext w:val="0"/>
        <w:keepLines w:val="0"/>
        <w:pageBreakBefore w:val="0"/>
        <w:kinsoku/>
        <w:wordWrap/>
        <w:overflowPunct/>
        <w:topLinePunct w:val="0"/>
        <w:autoSpaceDE/>
        <w:autoSpaceDN/>
        <w:bidi w:val="0"/>
        <w:adjustRightInd/>
        <w:snapToGrid/>
        <w:spacing w:before="0" w:line="360" w:lineRule="auto"/>
        <w:ind w:left="0"/>
        <w:textAlignment w:val="auto"/>
        <w:rPr>
          <w:rFonts w:hint="eastAsia" w:ascii="宋体" w:hAnsi="宋体" w:eastAsia="宋体" w:cs="宋体"/>
          <w:color w:val="auto"/>
          <w:sz w:val="24"/>
          <w:szCs w:val="24"/>
        </w:rPr>
      </w:pPr>
    </w:p>
    <w:p w14:paraId="0507F7BF">
      <w:pPr>
        <w:keepNext w:val="0"/>
        <w:keepLines w:val="0"/>
        <w:pageBreakBefore w:val="0"/>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3F19E136">
      <w:pPr>
        <w:pStyle w:val="2"/>
        <w:keepNext w:val="0"/>
        <w:keepLines w:val="0"/>
        <w:pageBreakBefore w:val="0"/>
        <w:kinsoku/>
        <w:wordWrap/>
        <w:overflowPunct/>
        <w:topLinePunct w:val="0"/>
        <w:autoSpaceDE/>
        <w:autoSpaceDN/>
        <w:bidi w:val="0"/>
        <w:adjustRightInd/>
        <w:snapToGrid/>
        <w:spacing w:before="0" w:line="360" w:lineRule="auto"/>
        <w:ind w:left="0"/>
        <w:textAlignment w:val="auto"/>
        <w:rPr>
          <w:rFonts w:hint="eastAsia" w:ascii="宋体" w:hAnsi="宋体" w:eastAsia="宋体" w:cs="宋体"/>
          <w:color w:val="auto"/>
          <w:sz w:val="24"/>
          <w:szCs w:val="24"/>
        </w:rPr>
      </w:pPr>
    </w:p>
    <w:p w14:paraId="29235C9D">
      <w:pPr>
        <w:keepNext w:val="0"/>
        <w:keepLines w:val="0"/>
        <w:pageBreakBefore w:val="0"/>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0D410AEA">
      <w:pPr>
        <w:pStyle w:val="2"/>
        <w:keepNext w:val="0"/>
        <w:keepLines w:val="0"/>
        <w:pageBreakBefore w:val="0"/>
        <w:kinsoku/>
        <w:wordWrap/>
        <w:overflowPunct/>
        <w:topLinePunct w:val="0"/>
        <w:autoSpaceDE/>
        <w:autoSpaceDN/>
        <w:bidi w:val="0"/>
        <w:adjustRightInd/>
        <w:snapToGrid/>
        <w:spacing w:before="0" w:line="360" w:lineRule="auto"/>
        <w:ind w:left="0"/>
        <w:textAlignment w:val="auto"/>
        <w:rPr>
          <w:rFonts w:hint="eastAsia" w:ascii="宋体" w:hAnsi="宋体" w:eastAsia="宋体" w:cs="宋体"/>
          <w:color w:val="auto"/>
          <w:sz w:val="24"/>
          <w:szCs w:val="24"/>
        </w:rPr>
      </w:pPr>
    </w:p>
    <w:p w14:paraId="2A47A4AE">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7EFB56C1">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767D13F5">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31D92A77">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422A2EE8">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565E6CFC">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p w14:paraId="28F76C76">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附件一：分项清单</w:t>
      </w:r>
    </w:p>
    <w:tbl>
      <w:tblPr>
        <w:tblStyle w:val="3"/>
        <w:tblW w:w="9133" w:type="dxa"/>
        <w:tblInd w:w="108" w:type="dxa"/>
        <w:tblLayout w:type="fixed"/>
        <w:tblCellMar>
          <w:top w:w="0" w:type="dxa"/>
          <w:left w:w="10" w:type="dxa"/>
          <w:bottom w:w="0" w:type="dxa"/>
          <w:right w:w="10" w:type="dxa"/>
        </w:tblCellMar>
      </w:tblPr>
      <w:tblGrid>
        <w:gridCol w:w="734"/>
        <w:gridCol w:w="1250"/>
        <w:gridCol w:w="1184"/>
        <w:gridCol w:w="1233"/>
        <w:gridCol w:w="907"/>
        <w:gridCol w:w="735"/>
        <w:gridCol w:w="671"/>
        <w:gridCol w:w="1194"/>
        <w:gridCol w:w="1225"/>
      </w:tblGrid>
      <w:tr w14:paraId="133585C6">
        <w:tblPrEx>
          <w:tblCellMar>
            <w:top w:w="0" w:type="dxa"/>
            <w:left w:w="10" w:type="dxa"/>
            <w:bottom w:w="0" w:type="dxa"/>
            <w:right w:w="10" w:type="dxa"/>
          </w:tblCellMar>
        </w:tblPrEx>
        <w:trPr>
          <w:trHeight w:val="1456" w:hRule="atLeast"/>
        </w:trPr>
        <w:tc>
          <w:tcPr>
            <w:tcW w:w="7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4ECEB2">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2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C3C7BE">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货物名称</w:t>
            </w:r>
          </w:p>
        </w:tc>
        <w:tc>
          <w:tcPr>
            <w:tcW w:w="11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3A124F">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品牌名称</w:t>
            </w:r>
          </w:p>
        </w:tc>
        <w:tc>
          <w:tcPr>
            <w:tcW w:w="12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ED0FFC">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型号规格</w:t>
            </w:r>
          </w:p>
        </w:tc>
        <w:tc>
          <w:tcPr>
            <w:tcW w:w="9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31988E">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647558">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E2BDFC">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2D1426">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单价</w:t>
            </w:r>
          </w:p>
          <w:p w14:paraId="6E57EB5B">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217F4F">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总价</w:t>
            </w:r>
          </w:p>
          <w:p w14:paraId="6571A282">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r>
      <w:tr w14:paraId="46BD2D45">
        <w:tblPrEx>
          <w:tblCellMar>
            <w:top w:w="0" w:type="dxa"/>
            <w:left w:w="10" w:type="dxa"/>
            <w:bottom w:w="0" w:type="dxa"/>
            <w:right w:w="10" w:type="dxa"/>
          </w:tblCellMar>
        </w:tblPrEx>
        <w:trPr>
          <w:trHeight w:val="492" w:hRule="atLeast"/>
        </w:trPr>
        <w:tc>
          <w:tcPr>
            <w:tcW w:w="7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019764">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2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D48B4F9">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11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EF74F0">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12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16779D">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9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196B64">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7E71D6">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BF3D17">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584B49">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89F070">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r>
      <w:tr w14:paraId="5754097C">
        <w:trPr>
          <w:trHeight w:val="492" w:hRule="atLeast"/>
        </w:trPr>
        <w:tc>
          <w:tcPr>
            <w:tcW w:w="7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E36DC8">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12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13AFDD">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11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31137A">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12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F3C389">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9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588BC6">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5B4F9B">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A332DF">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A0A394">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E4D4B9">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r>
      <w:tr w14:paraId="5DEF69FB">
        <w:tblPrEx>
          <w:tblCellMar>
            <w:top w:w="0" w:type="dxa"/>
            <w:left w:w="10" w:type="dxa"/>
            <w:bottom w:w="0" w:type="dxa"/>
            <w:right w:w="10" w:type="dxa"/>
          </w:tblCellMar>
        </w:tblPrEx>
        <w:trPr>
          <w:trHeight w:val="492" w:hRule="atLeast"/>
        </w:trPr>
        <w:tc>
          <w:tcPr>
            <w:tcW w:w="7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2CDC69">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12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D6EE12">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11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173702">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12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C4FBE7">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rPr>
            </w:pPr>
          </w:p>
        </w:tc>
        <w:tc>
          <w:tcPr>
            <w:tcW w:w="9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464DA7">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AFF785">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0240C8">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5B2EFD">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D146C9">
            <w:pPr>
              <w:keepNext w:val="0"/>
              <w:keepLines w:val="0"/>
              <w:pageBreakBefore w:val="0"/>
              <w:tabs>
                <w:tab w:val="left" w:pos="480"/>
              </w:tabs>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color w:val="auto"/>
                <w:sz w:val="24"/>
                <w:szCs w:val="24"/>
              </w:rPr>
            </w:pPr>
          </w:p>
        </w:tc>
      </w:tr>
      <w:tr w14:paraId="3FFC3A2D">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8EC6428">
            <w:pPr>
              <w:keepNext w:val="0"/>
              <w:keepLines w:val="0"/>
              <w:pageBreakBefore w:val="0"/>
              <w:tabs>
                <w:tab w:val="left" w:pos="480"/>
              </w:tabs>
              <w:kinsoku/>
              <w:wordWrap/>
              <w:overflowPunct/>
              <w:topLinePunct w:val="0"/>
              <w:autoSpaceDE/>
              <w:autoSpaceDN/>
              <w:bidi w:val="0"/>
              <w:adjustRightInd/>
              <w:snapToGrid/>
              <w:spacing w:line="360" w:lineRule="auto"/>
              <w:ind w:left="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货物价款合计（大写）：XXXXXX  ¥：（XXXXXX万元）</w:t>
            </w:r>
          </w:p>
        </w:tc>
      </w:tr>
    </w:tbl>
    <w:p w14:paraId="3A08EED0">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BDEC3D2">
      <w:pPr>
        <w:keepNext w:val="0"/>
        <w:keepLines w:val="0"/>
        <w:pageBreakBefore w:val="0"/>
        <w:tabs>
          <w:tab w:val="left" w:pos="480"/>
        </w:tabs>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sz w:val="24"/>
          <w:szCs w:val="24"/>
          <w:lang w:val="en-US" w:eastAsia="zh-Hans"/>
        </w:rPr>
      </w:pPr>
      <w:r>
        <w:rPr>
          <w:rFonts w:hint="eastAsia" w:ascii="宋体" w:hAnsi="宋体" w:eastAsia="宋体" w:cs="宋体"/>
          <w:color w:val="auto"/>
          <w:sz w:val="24"/>
          <w:szCs w:val="24"/>
        </w:rPr>
        <w:t>附件</w:t>
      </w: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：配置清单</w:t>
      </w:r>
    </w:p>
    <w:p w14:paraId="78DE54A1">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206BD2"/>
    <w:rsid w:val="6FA64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spacing w:before="139"/>
      <w:ind w:left="112"/>
    </w:pPr>
    <w:rPr>
      <w:rFonts w:ascii="宋体" w:hAnsi="宋体"/>
      <w:sz w:val="24"/>
      <w:szCs w:val="24"/>
    </w:rPr>
  </w:style>
  <w:style w:type="table" w:styleId="4">
    <w:name w:val="Table Grid"/>
    <w:basedOn w:val="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2025-09-28T05:57:50Z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