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一、商务、合同条款偏离表</w:t>
      </w:r>
    </w:p>
    <w:p>
      <w:pPr>
        <w:pStyle w:val="3"/>
        <w:ind w:left="645" w:leftChars="307" w:right="560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项目编号:</w:t>
      </w:r>
    </w:p>
    <w:p>
      <w:pPr>
        <w:pStyle w:val="3"/>
        <w:ind w:left="645" w:leftChars="307" w:right="560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35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文件商务、合同条款</w:t>
            </w:r>
          </w:p>
        </w:tc>
        <w:tc>
          <w:tcPr>
            <w:tcW w:w="1701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完全响应</w:t>
            </w:r>
          </w:p>
        </w:tc>
        <w:tc>
          <w:tcPr>
            <w:tcW w:w="1417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有偏离</w:t>
            </w:r>
          </w:p>
        </w:tc>
        <w:tc>
          <w:tcPr>
            <w:tcW w:w="2195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(服务地点)</w:t>
            </w:r>
          </w:p>
        </w:tc>
        <w:tc>
          <w:tcPr>
            <w:tcW w:w="1701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sz w:val="24"/>
              </w:rPr>
              <w:t>服务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期)</w:t>
            </w: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(付款方式)</w:t>
            </w: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pStyle w:val="3"/>
              <w:ind w:left="1080" w:leftChars="257" w:hanging="54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3"/>
        <w:ind w:left="1080" w:leftChars="257" w:hanging="540"/>
        <w:rPr>
          <w:rFonts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注：1、对完全响应的，在下表相应列中标注“√”。对有偏离的条目在本表相应列中标注“正偏离”或“负偏离”，并在“偏离简述”栏中加以说明。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420" w:firstLineChars="200"/>
        <w:jc w:val="left"/>
        <w:textAlignment w:val="auto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正偏离是指应答的条件高于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要求，负偏离是指应答的条件低于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要求，正偏离项目不作扣分处理。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420" w:firstLineChars="200"/>
        <w:jc w:val="left"/>
        <w:textAlignment w:val="auto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供应商须完整填写响应表。如果未完整填写本表的各项内容则视作供应商已经对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相关要求和内容完全理解并同意，其报价为在此基础上的完全价格。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420" w:firstLineChars="200"/>
        <w:jc w:val="left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在采购人与成交供应商签订合同时，如成交供应商未在响应文件“响应表”中列出偏离说明，无论已发生或即将发生任何情形，均视为完全符合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要求，并写入合同。若成交供应商在合同签订前，以上述事项为借口而不履行合同签订手续及执行合同，则视作拒绝与采购人签订合同。</w:t>
      </w:r>
    </w:p>
    <w:p>
      <w:pPr>
        <w:pStyle w:val="3"/>
        <w:ind w:left="1080" w:leftChars="257" w:hanging="540"/>
        <w:rPr>
          <w:rFonts w:ascii="仿宋" w:hAnsi="仿宋" w:eastAsia="仿宋" w:cs="仿宋"/>
          <w:sz w:val="24"/>
          <w:szCs w:val="24"/>
        </w:rPr>
      </w:pPr>
    </w:p>
    <w:p>
      <w:pPr>
        <w:rPr>
          <w:rFonts w:ascii="仿宋" w:hAnsi="仿宋" w:eastAsia="仿宋" w:cs="仿宋"/>
          <w:b/>
          <w:sz w:val="28"/>
          <w:szCs w:val="28"/>
        </w:rPr>
      </w:pPr>
      <w:bookmarkStart w:id="0" w:name="_Toc414445775"/>
      <w:bookmarkStart w:id="1" w:name="_Toc7005136"/>
      <w:bookmarkStart w:id="2" w:name="_Toc410631184"/>
      <w:bookmarkStart w:id="3" w:name="_Toc416103825"/>
      <w:r>
        <w:rPr>
          <w:rFonts w:hint="eastAsia" w:ascii="仿宋" w:hAnsi="仿宋" w:eastAsia="仿宋" w:cs="仿宋"/>
          <w:b/>
          <w:sz w:val="28"/>
          <w:szCs w:val="28"/>
        </w:rPr>
        <w:br w:type="page"/>
      </w:r>
    </w:p>
    <w:p>
      <w:pPr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二、技术偏离表</w:t>
      </w:r>
      <w:bookmarkEnd w:id="0"/>
      <w:bookmarkEnd w:id="1"/>
      <w:bookmarkEnd w:id="2"/>
      <w:bookmarkEnd w:id="3"/>
    </w:p>
    <w:p>
      <w:pPr>
        <w:spacing w:after="240"/>
        <w:ind w:hanging="119"/>
        <w:rPr>
          <w:rFonts w:ascii="仿宋" w:hAnsi="仿宋" w:eastAsia="仿宋" w:cs="仿宋"/>
        </w:rPr>
      </w:pPr>
    </w:p>
    <w:p>
      <w:pPr>
        <w:spacing w:after="240"/>
        <w:ind w:left="105" w:leftChars="50"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项目编号:</w:t>
      </w:r>
    </w:p>
    <w:p>
      <w:pPr>
        <w:pStyle w:val="3"/>
        <w:ind w:right="560" w:firstLine="480" w:firstLineChars="200"/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tbl>
      <w:tblPr>
        <w:tblStyle w:val="4"/>
        <w:tblW w:w="906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</w:rPr>
              <w:t>文件条目号</w:t>
            </w:r>
          </w:p>
        </w:tc>
        <w:tc>
          <w:tcPr>
            <w:tcW w:w="1932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技术条款要求</w:t>
            </w:r>
          </w:p>
        </w:tc>
        <w:tc>
          <w:tcPr>
            <w:tcW w:w="12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完全响应</w:t>
            </w:r>
          </w:p>
        </w:tc>
        <w:tc>
          <w:tcPr>
            <w:tcW w:w="12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有偏离</w:t>
            </w:r>
          </w:p>
        </w:tc>
        <w:tc>
          <w:tcPr>
            <w:tcW w:w="239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偏离简述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80" w:lineRule="auto"/>
        <w:ind w:firstLine="480" w:firstLineChars="200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对完全响应的条目在本表相应列中标注“√”。对有偏离的条目在本表相应列中标注“正偏离”或“负偏离”。并在“偏离简述”栏中加以说明。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正偏离是指应答的条件高于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要求，负偏离是指应答的条件低于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要求，正偏离项目不作扣分处理。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供应商须按照用户需求书逐条完整填写响应表。如果未完整填写响应表的各项内容则视作供应商已经对</w:t>
      </w:r>
      <w:bookmarkStart w:id="4" w:name="_GoBack"/>
      <w:bookmarkEnd w:id="4"/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相关要求和内容完全理解并同意，其报价为在此基础上的完全价格。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4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在采购人与成交供应商签订合同时，如成交供应商未在响应文件“响应表”中列出偏离说明，无论即将发生或已发生任何情形，均视为完全符合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1"/>
        </w:rPr>
        <w:t>要求，并写入合同。若成交供应商在合同签订前，以上述事项为借口而不履行合同签订手续及执行合同，则视作拒绝与采购人签订合同。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1703101F"/>
    <w:rsid w:val="25040A75"/>
    <w:rsid w:val="317A40AE"/>
    <w:rsid w:val="4C29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2024-06-11T09:29:00Z</dcterms:created>
  <dc:creator>Administrator</dc:creator>
  <cp:lastModifiedBy>Administrator</cp:lastModifiedBy>
  <dcterms:modified xsi:type="dcterms:W3CDTF">2025-09-26T02:17:22Z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03F772F5A71A4F0BB839600C5E5588E5_12</vt:lpwstr>
  </property>
</Properties>
</file>