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360" w:lineRule="auto"/>
        <w:rPr>
          <w:rStyle w:val="16"/>
          <w:rFonts w:asciiTheme="minorEastAsia" w:hAnsiTheme="minorEastAsia" w:eastAsiaTheme="minorEastAsia" w:cstheme="minorEastAsia"/>
          <w:sz w:val="36"/>
          <w:szCs w:val="36"/>
          <w:highlight w:val="none"/>
        </w:rPr>
      </w:pPr>
      <w:r>
        <w:rPr>
          <w:rStyle w:val="16"/>
          <w:rFonts w:hint="eastAsia" w:asciiTheme="minorEastAsia" w:hAnsiTheme="minorEastAsia" w:eastAsiaTheme="minorEastAsia" w:cstheme="minorEastAsia"/>
          <w:sz w:val="36"/>
          <w:szCs w:val="36"/>
          <w:highlight w:val="none"/>
        </w:rPr>
        <w:t xml:space="preserve"> 合同草案条款</w:t>
      </w:r>
    </w:p>
    <w:p>
      <w:pPr>
        <w:pStyle w:val="9"/>
        <w:ind w:left="840" w:hanging="420"/>
        <w:rPr>
          <w:rFonts w:asciiTheme="minorEastAsia" w:hAnsiTheme="minorEastAsia" w:eastAsiaTheme="minorEastAsia" w:cstheme="minorEastAsia"/>
        </w:rPr>
      </w:pPr>
    </w:p>
    <w:p>
      <w:pPr>
        <w:tabs>
          <w:tab w:val="left" w:pos="6228"/>
        </w:tabs>
        <w:spacing w:before="54"/>
        <w:ind w:left="447" w:firstLine="643" w:firstLineChars="200"/>
        <w:jc w:val="left"/>
        <w:rPr>
          <w:rFonts w:asciiTheme="minorEastAsia" w:hAnsiTheme="minorEastAsia" w:eastAsiaTheme="minorEastAsia" w:cstheme="minorEastAsia"/>
          <w:b/>
          <w:sz w:val="32"/>
        </w:rPr>
      </w:pPr>
      <w:r>
        <w:rPr>
          <w:rFonts w:hint="eastAsia" w:asciiTheme="minorEastAsia" w:hAnsiTheme="minorEastAsia" w:eastAsiaTheme="minorEastAsia" w:cstheme="minorEastAsia"/>
          <w:b/>
          <w:sz w:val="32"/>
        </w:rPr>
        <w:t>政府采购合同</w:t>
      </w:r>
      <w:r>
        <w:rPr>
          <w:rFonts w:hint="eastAsia" w:asciiTheme="minorEastAsia" w:hAnsiTheme="minorEastAsia" w:eastAsiaTheme="minorEastAsia" w:cstheme="minorEastAsia"/>
          <w:b/>
          <w:sz w:val="32"/>
        </w:rPr>
        <w:tab/>
      </w:r>
      <w:r>
        <w:rPr>
          <w:rFonts w:hint="eastAsia" w:asciiTheme="minorEastAsia" w:hAnsiTheme="minorEastAsia" w:eastAsiaTheme="minorEastAsia" w:cstheme="minorEastAsia"/>
          <w:b/>
          <w:w w:val="95"/>
          <w:sz w:val="32"/>
        </w:rPr>
        <w:t>合同编号：</w:t>
      </w: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rPr>
          <w:rFonts w:asciiTheme="minorEastAsia" w:hAnsiTheme="minorEastAsia" w:eastAsiaTheme="minorEastAsia" w:cstheme="minorEastAsia"/>
          <w:b/>
          <w:sz w:val="20"/>
        </w:rPr>
      </w:pPr>
    </w:p>
    <w:p>
      <w:pPr>
        <w:pStyle w:val="8"/>
        <w:jc w:val="center"/>
        <w:rPr>
          <w:rFonts w:asciiTheme="minorEastAsia" w:hAnsiTheme="minorEastAsia" w:eastAsiaTheme="minorEastAsia" w:cstheme="minorEastAsia"/>
          <w:b/>
          <w:sz w:val="40"/>
        </w:rPr>
      </w:pPr>
      <w:r>
        <w:rPr>
          <w:rFonts w:asciiTheme="minorEastAsia" w:hAnsiTheme="minorEastAsia" w:eastAsiaTheme="minorEastAsia" w:cstheme="minorEastAsia"/>
          <w:b/>
          <w:sz w:val="40"/>
        </w:rPr>
        <w:t>西安市雁塔区人民法院电子卷宗随案同步生成项目</w:t>
      </w:r>
    </w:p>
    <w:p>
      <w:pPr>
        <w:pStyle w:val="8"/>
        <w:rPr>
          <w:rFonts w:asciiTheme="minorEastAsia" w:hAnsiTheme="minorEastAsia" w:eastAsiaTheme="minorEastAsia" w:cstheme="minorEastAsia"/>
          <w:b/>
          <w:sz w:val="40"/>
        </w:rPr>
      </w:pPr>
    </w:p>
    <w:p>
      <w:pPr>
        <w:pStyle w:val="8"/>
        <w:rPr>
          <w:rFonts w:asciiTheme="minorEastAsia" w:hAnsiTheme="minorEastAsia" w:eastAsiaTheme="minorEastAsia" w:cstheme="minorEastAsia"/>
          <w:b/>
          <w:sz w:val="40"/>
        </w:rPr>
      </w:pPr>
    </w:p>
    <w:p>
      <w:pPr>
        <w:pStyle w:val="8"/>
        <w:rPr>
          <w:rFonts w:asciiTheme="minorEastAsia" w:hAnsiTheme="minorEastAsia" w:eastAsiaTheme="minorEastAsia" w:cstheme="minorEastAsia"/>
          <w:b/>
          <w:sz w:val="40"/>
        </w:rPr>
      </w:pPr>
    </w:p>
    <w:p>
      <w:pPr>
        <w:rPr>
          <w:rFonts w:asciiTheme="minorEastAsia" w:hAnsiTheme="minorEastAsia" w:eastAsiaTheme="minorEastAsia" w:cstheme="minorEastAsia"/>
          <w:b/>
          <w:sz w:val="40"/>
        </w:rPr>
      </w:pPr>
    </w:p>
    <w:p>
      <w:pPr>
        <w:pStyle w:val="12"/>
        <w:rPr>
          <w:rFonts w:asciiTheme="minorEastAsia" w:hAnsiTheme="minorEastAsia" w:eastAsiaTheme="minorEastAsia" w:cstheme="minorEastAsia"/>
        </w:rPr>
      </w:pPr>
    </w:p>
    <w:p>
      <w:pPr>
        <w:pStyle w:val="8"/>
        <w:spacing w:before="7"/>
        <w:rPr>
          <w:rFonts w:asciiTheme="minorEastAsia" w:hAnsiTheme="minorEastAsia" w:eastAsiaTheme="minorEastAsia" w:cstheme="minorEastAsia"/>
          <w:b/>
          <w:sz w:val="28"/>
        </w:rPr>
      </w:pPr>
    </w:p>
    <w:p>
      <w:pPr>
        <w:pStyle w:val="4"/>
        <w:tabs>
          <w:tab w:val="left" w:pos="5316"/>
        </w:tabs>
        <w:spacing w:before="0"/>
        <w:ind w:right="425" w:firstLine="2432" w:firstLineChars="800"/>
        <w:rPr>
          <w:rFonts w:asciiTheme="minorEastAsia" w:hAnsiTheme="minorEastAsia" w:eastAsiaTheme="minorEastAsia" w:cstheme="minorEastAsia"/>
        </w:rPr>
      </w:pPr>
      <w:bookmarkStart w:id="0" w:name="_Toc5027"/>
      <w:r>
        <w:rPr>
          <w:rFonts w:hint="eastAsia" w:asciiTheme="minorEastAsia" w:hAnsiTheme="minorEastAsia" w:eastAsiaTheme="minorEastAsia" w:cstheme="minorEastAsia"/>
          <w:w w:val="95"/>
        </w:rPr>
        <w:t>采购人：</w:t>
      </w:r>
      <w:bookmarkEnd w:id="0"/>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u w:val="single"/>
        </w:rPr>
        <w:tab/>
      </w:r>
      <w:r>
        <w:rPr>
          <w:rFonts w:hint="eastAsia" w:asciiTheme="minorEastAsia" w:hAnsiTheme="minorEastAsia" w:eastAsiaTheme="minorEastAsia" w:cstheme="minorEastAsia"/>
          <w:u w:val="single"/>
        </w:rPr>
        <w:t xml:space="preserve">       </w:t>
      </w:r>
    </w:p>
    <w:p>
      <w:pPr>
        <w:pStyle w:val="8"/>
        <w:spacing w:before="5"/>
        <w:rPr>
          <w:rFonts w:asciiTheme="minorEastAsia" w:hAnsiTheme="minorEastAsia" w:eastAsiaTheme="minorEastAsia" w:cstheme="minorEastAsia"/>
          <w:b/>
        </w:rPr>
      </w:pPr>
    </w:p>
    <w:p>
      <w:pPr>
        <w:pStyle w:val="4"/>
        <w:tabs>
          <w:tab w:val="left" w:pos="5316"/>
        </w:tabs>
        <w:spacing w:before="0"/>
        <w:ind w:right="425" w:firstLine="2432" w:firstLineChars="800"/>
        <w:rPr>
          <w:rFonts w:asciiTheme="minorEastAsia" w:hAnsiTheme="minorEastAsia" w:eastAsiaTheme="minorEastAsia" w:cstheme="minorEastAsia"/>
          <w:w w:val="95"/>
        </w:rPr>
      </w:pPr>
      <w:bookmarkStart w:id="1" w:name="_Toc4907"/>
      <w:r>
        <w:rPr>
          <w:rFonts w:hint="eastAsia" w:asciiTheme="minorEastAsia" w:hAnsiTheme="minorEastAsia" w:eastAsiaTheme="minorEastAsia" w:cstheme="minorEastAsia"/>
          <w:w w:val="95"/>
        </w:rPr>
        <w:t>供应商：</w:t>
      </w:r>
      <w:bookmarkEnd w:id="1"/>
      <w:r>
        <w:rPr>
          <w:rFonts w:hint="eastAsia" w:asciiTheme="minorEastAsia" w:hAnsiTheme="minorEastAsia" w:eastAsiaTheme="minorEastAsia" w:cstheme="minorEastAsia"/>
          <w:w w:val="95"/>
          <w:u w:val="single"/>
        </w:rPr>
        <w:t xml:space="preserve"> </w:t>
      </w:r>
      <w:r>
        <w:rPr>
          <w:rFonts w:hint="eastAsia" w:asciiTheme="minorEastAsia" w:hAnsiTheme="minorEastAsia" w:eastAsiaTheme="minorEastAsia" w:cstheme="minorEastAsia"/>
          <w:w w:val="95"/>
          <w:u w:val="single"/>
        </w:rPr>
        <w:tab/>
      </w:r>
      <w:r>
        <w:rPr>
          <w:rFonts w:hint="eastAsia" w:asciiTheme="minorEastAsia" w:hAnsiTheme="minorEastAsia" w:eastAsiaTheme="minorEastAsia" w:cstheme="minorEastAsia"/>
          <w:w w:val="95"/>
          <w:u w:val="single"/>
        </w:rPr>
        <w:t xml:space="preserve">        </w:t>
      </w:r>
    </w:p>
    <w:p>
      <w:pPr>
        <w:pStyle w:val="4"/>
        <w:spacing w:before="172"/>
        <w:ind w:right="751"/>
        <w:jc w:val="center"/>
        <w:rPr>
          <w:rFonts w:asciiTheme="minorEastAsia" w:hAnsiTheme="minorEastAsia" w:eastAsiaTheme="minorEastAsia" w:cstheme="minorEastAsia"/>
          <w:sz w:val="28"/>
          <w:szCs w:val="28"/>
        </w:rPr>
      </w:pPr>
      <w:bookmarkStart w:id="2" w:name="_Toc17163"/>
      <w:r>
        <w:rPr>
          <w:rFonts w:hint="eastAsia" w:asciiTheme="minorEastAsia" w:hAnsiTheme="minorEastAsia" w:eastAsiaTheme="minorEastAsia" w:cstheme="minorEastAsia"/>
          <w:sz w:val="28"/>
          <w:szCs w:val="28"/>
        </w:rPr>
        <w:t>二〇二</w:t>
      </w:r>
      <w:r>
        <w:rPr>
          <w:rFonts w:hint="eastAsia" w:asciiTheme="minorEastAsia" w:hAnsiTheme="minorEastAsia" w:eastAsiaTheme="minorEastAsia" w:cstheme="minorEastAsia"/>
          <w:sz w:val="28"/>
          <w:szCs w:val="28"/>
          <w:lang w:eastAsia="zh-CN"/>
        </w:rPr>
        <w:t>五</w:t>
      </w:r>
      <w:r>
        <w:rPr>
          <w:rFonts w:hint="eastAsia" w:asciiTheme="minorEastAsia" w:hAnsiTheme="minorEastAsia" w:eastAsiaTheme="minorEastAsia" w:cstheme="minorEastAsia"/>
          <w:sz w:val="28"/>
          <w:szCs w:val="28"/>
        </w:rPr>
        <w:t>年  月</w:t>
      </w:r>
      <w:bookmarkEnd w:id="2"/>
    </w:p>
    <w:p>
      <w:pPr>
        <w:rPr>
          <w:rFonts w:asciiTheme="minorEastAsia" w:hAnsiTheme="minorEastAsia" w:eastAsiaTheme="minorEastAsia" w:cstheme="minorEastAsia"/>
        </w:rPr>
        <w:sectPr>
          <w:footerReference r:id="rId3" w:type="default"/>
          <w:pgSz w:w="11910" w:h="16840"/>
          <w:pgMar w:top="1380" w:right="780" w:bottom="1380" w:left="940" w:header="882" w:footer="1181" w:gutter="0"/>
          <w:cols w:space="720" w:num="1"/>
        </w:sectPr>
      </w:pPr>
    </w:p>
    <w:p>
      <w:pPr>
        <w:autoSpaceDE w:val="0"/>
        <w:autoSpaceDN w:val="0"/>
        <w:adjustRightInd w:val="0"/>
        <w:spacing w:line="360" w:lineRule="auto"/>
        <w:ind w:firstLine="420" w:firstLineChars="200"/>
        <w:rPr>
          <w:rFonts w:hint="eastAsia" w:hAnsi="宋体" w:cs="宋体"/>
          <w:sz w:val="21"/>
          <w:szCs w:val="21"/>
        </w:rPr>
      </w:pPr>
      <w:r>
        <w:rPr>
          <w:rFonts w:hint="eastAsia" w:hAnsi="宋体" w:cs="宋体"/>
          <w:sz w:val="21"/>
          <w:szCs w:val="21"/>
        </w:rPr>
        <w:t>（本格式条款供甲乙双方签订合同参考，可根据项目的实际情况增减条款和内容）</w:t>
      </w:r>
    </w:p>
    <w:p>
      <w:pPr>
        <w:tabs>
          <w:tab w:val="left" w:pos="0"/>
        </w:tabs>
        <w:spacing w:line="360" w:lineRule="auto"/>
        <w:ind w:firstLine="480" w:firstLineChars="200"/>
        <w:jc w:val="center"/>
        <w:rPr>
          <w:rFonts w:hint="eastAsia" w:hAnsi="宋体" w:cs="宋体"/>
          <w:sz w:val="24"/>
          <w:szCs w:val="24"/>
          <w:lang w:eastAsia="zh-CN"/>
        </w:rPr>
      </w:pPr>
      <w:r>
        <w:rPr>
          <w:rFonts w:hint="eastAsia" w:hAnsi="宋体" w:cs="宋体"/>
          <w:sz w:val="24"/>
          <w:szCs w:val="24"/>
          <w:lang w:eastAsia="zh-CN"/>
        </w:rPr>
        <w:t>（本采购合同为预留份额专门面向中小企业合同）</w:t>
      </w:r>
    </w:p>
    <w:p>
      <w:pPr>
        <w:tabs>
          <w:tab w:val="left" w:pos="0"/>
        </w:tabs>
        <w:spacing w:line="360" w:lineRule="auto"/>
        <w:ind w:firstLine="480" w:firstLineChars="200"/>
        <w:jc w:val="center"/>
        <w:rPr>
          <w:rFonts w:hint="eastAsia" w:hAnsi="宋体" w:cs="宋体"/>
          <w:sz w:val="24"/>
          <w:szCs w:val="24"/>
          <w:lang w:eastAsia="zh-CN"/>
        </w:rPr>
      </w:pPr>
      <w:r>
        <w:rPr>
          <w:rFonts w:hint="eastAsia" w:hAnsi="宋体" w:cs="宋体"/>
          <w:sz w:val="24"/>
          <w:szCs w:val="24"/>
          <w:lang w:eastAsia="zh-CN"/>
        </w:rPr>
        <w:t>合同条款及格式前附表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本表是对合同条款的具体补充和修改，如有矛盾，应以本资料表为准。</w:t>
      </w:r>
    </w:p>
    <w:tbl>
      <w:tblPr>
        <w:tblStyle w:val="14"/>
        <w:tblW w:w="950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10"/>
        <w:gridCol w:w="82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16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序号</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甲方名称：西安市雁塔区人民法院</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地    址：西安市雁塔区翠华路369号</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项目名称：西安市雁塔区人民法院电子卷宗随案同步生成项目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资金来源：财政拨款，资金已落实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服务地点：采购人指定地点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w:t>
            </w:r>
          </w:p>
        </w:tc>
        <w:tc>
          <w:tcPr>
            <w:tcW w:w="8292" w:type="dxa"/>
            <w:noWrap w:val="0"/>
            <w:vAlign w:val="center"/>
          </w:tcPr>
          <w:p>
            <w:pPr>
              <w:tabs>
                <w:tab w:val="left" w:pos="0"/>
              </w:tabs>
              <w:spacing w:line="360" w:lineRule="auto"/>
              <w:ind w:firstLine="480" w:firstLineChars="200"/>
              <w:rPr>
                <w:rFonts w:hint="eastAsia" w:hAnsi="宋体" w:cs="宋体"/>
                <w:sz w:val="24"/>
                <w:szCs w:val="24"/>
                <w:highlight w:val="none"/>
                <w:lang w:eastAsia="zh-CN"/>
              </w:rPr>
            </w:pPr>
            <w:r>
              <w:rPr>
                <w:rFonts w:hint="eastAsia" w:hAnsi="宋体" w:cs="宋体"/>
                <w:sz w:val="24"/>
                <w:szCs w:val="24"/>
                <w:lang w:eastAsia="zh-CN"/>
              </w:rPr>
              <w:t>完成期限：</w:t>
            </w:r>
            <w:r>
              <w:rPr>
                <w:rFonts w:hint="eastAsia" w:hAnsi="宋体" w:cs="宋体"/>
                <w:sz w:val="24"/>
                <w:szCs w:val="24"/>
                <w:highlight w:val="none"/>
                <w:lang w:eastAsia="zh-CN"/>
              </w:rPr>
              <w:t>自合同签订之日起一年。</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highlight w:val="none"/>
                <w:lang w:eastAsia="zh-CN"/>
              </w:rPr>
              <w:t>质保期：自验收合格之日起12个月。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w:t>
            </w:r>
          </w:p>
        </w:tc>
        <w:tc>
          <w:tcPr>
            <w:tcW w:w="8292" w:type="dxa"/>
            <w:noWrap w:val="0"/>
            <w:vAlign w:val="center"/>
          </w:tcPr>
          <w:p>
            <w:pPr>
              <w:tabs>
                <w:tab w:val="left" w:pos="0"/>
              </w:tabs>
              <w:spacing w:line="360" w:lineRule="auto"/>
              <w:ind w:firstLine="480" w:firstLineChars="200"/>
              <w:rPr>
                <w:rFonts w:hint="eastAsia" w:hAnsi="宋体" w:cs="宋体"/>
                <w:sz w:val="24"/>
                <w:szCs w:val="24"/>
                <w:highlight w:val="none"/>
                <w:lang w:eastAsia="zh-CN"/>
              </w:rPr>
            </w:pPr>
            <w:r>
              <w:rPr>
                <w:rFonts w:hint="eastAsia" w:hAnsi="宋体" w:cs="宋体"/>
                <w:sz w:val="24"/>
                <w:szCs w:val="24"/>
                <w:highlight w:val="none"/>
                <w:lang w:eastAsia="zh-CN"/>
              </w:rPr>
              <w:t>付款方式和程序：</w:t>
            </w:r>
          </w:p>
          <w:p>
            <w:pPr>
              <w:tabs>
                <w:tab w:val="left" w:pos="0"/>
              </w:tabs>
              <w:spacing w:line="360" w:lineRule="auto"/>
              <w:ind w:firstLine="480" w:firstLineChars="200"/>
              <w:rPr>
                <w:rFonts w:hint="eastAsia" w:hAnsi="宋体" w:cs="宋体"/>
                <w:sz w:val="24"/>
                <w:szCs w:val="24"/>
                <w:highlight w:val="none"/>
                <w:lang w:eastAsia="zh-CN"/>
              </w:rPr>
            </w:pPr>
            <w:r>
              <w:rPr>
                <w:rFonts w:hint="eastAsia" w:hAnsi="宋体" w:cs="宋体"/>
                <w:sz w:val="24"/>
                <w:szCs w:val="24"/>
                <w:highlight w:val="none"/>
                <w:lang w:eastAsia="zh-CN"/>
              </w:rPr>
              <w:t>1.合同价即中标价，投标人应在投标报价表中标明完成本次投标所要求服务的所有费用。</w:t>
            </w:r>
          </w:p>
          <w:p>
            <w:pPr>
              <w:spacing w:line="360" w:lineRule="auto"/>
              <w:ind w:firstLine="480"/>
              <w:rPr>
                <w:rFonts w:hint="eastAsia" w:ascii="Times New Roman" w:hAnsi="宋体" w:eastAsia="Arial Unicode MS" w:cs="宋体"/>
                <w:kern w:val="2"/>
                <w:sz w:val="24"/>
                <w:szCs w:val="24"/>
                <w:highlight w:val="none"/>
                <w:lang w:val="en-US" w:eastAsia="zh-CN" w:bidi="ar-SA"/>
              </w:rPr>
            </w:pPr>
            <w:r>
              <w:rPr>
                <w:rFonts w:hint="eastAsia" w:ascii="宋体" w:hAnsi="宋体" w:eastAsia="宋体" w:cs="宋体"/>
                <w:sz w:val="24"/>
                <w:highlight w:val="none"/>
                <w:lang w:val="en-US" w:eastAsia="zh-CN"/>
              </w:rPr>
              <w:t>2</w:t>
            </w:r>
            <w:r>
              <w:rPr>
                <w:rFonts w:ascii="宋体" w:hAnsi="宋体" w:eastAsia="宋体" w:cs="宋体"/>
                <w:sz w:val="24"/>
                <w:highlight w:val="none"/>
              </w:rPr>
              <w:t>、</w:t>
            </w:r>
            <w:r>
              <w:rPr>
                <w:rFonts w:hint="eastAsia" w:ascii="Times New Roman" w:hAnsi="宋体" w:eastAsia="Arial Unicode MS" w:cs="宋体"/>
                <w:kern w:val="2"/>
                <w:sz w:val="24"/>
                <w:szCs w:val="24"/>
                <w:highlight w:val="none"/>
                <w:lang w:val="en-US" w:eastAsia="zh-CN" w:bidi="ar-SA"/>
              </w:rPr>
              <w:t>自合同签订生效后 ，达到付款条件起 7日内，支付合同总金额的 40.00%。项目实施过程中，根据实施进度验收，验收由乙方提出书面申请报告，甲方确认签字后进行结算 ，达到付款条件起 7 日内，支付合同总金额的 60.00%。</w:t>
            </w:r>
          </w:p>
          <w:p>
            <w:pPr>
              <w:pStyle w:val="2"/>
              <w:ind w:firstLine="480" w:firstLineChars="200"/>
              <w:rPr>
                <w:rFonts w:hint="eastAsia" w:hAnsi="宋体" w:cs="宋体"/>
                <w:sz w:val="24"/>
                <w:szCs w:val="24"/>
                <w:lang w:eastAsia="zh-CN"/>
              </w:rPr>
            </w:pPr>
            <w:r>
              <w:rPr>
                <w:rFonts w:hint="eastAsia" w:hAnsi="宋体" w:cs="宋体"/>
                <w:sz w:val="24"/>
                <w:szCs w:val="24"/>
                <w:highlight w:val="none"/>
                <w:lang w:val="en-US" w:eastAsia="zh-CN"/>
              </w:rPr>
              <w:t>3、</w:t>
            </w:r>
            <w:r>
              <w:rPr>
                <w:rFonts w:hint="eastAsia" w:hAnsi="宋体" w:cs="宋体"/>
                <w:sz w:val="24"/>
                <w:szCs w:val="24"/>
                <w:highlight w:val="none"/>
                <w:lang w:eastAsia="zh-CN"/>
              </w:rPr>
              <w:t>支付方式：银行转款。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1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双方的权利和义务：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（一）甲方的权利与义务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2．甲方有权依据双方签订的考评办法对乙方提供的服务进行定期考评。</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3．负责检查监督乙方管理工作的实施及制度的执行情况。</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4．根据本合同规定，按时向乙方支付应付服务费用。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5．验收应在甲方和乙方双方共同参加下进行。甲方组成验收小组按国家有关规定、规范进行验收，验收时将会邀请相关的专业人员或机构参与验收。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6．国家法律、法规所规定由甲方承担的其它责任。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（二）乙方的权利与义务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1．对本合同规定的委托服务范围内的项目享有管理权及服务义务。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2．根据本合同的规定向甲方收取相关服务费用，并有权在本项目管理范围内管理及合理使用。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3．及时向甲方通告本项目服务范围内有关服务的重大事项，及时配合处理投诉。</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4．接受项目行业管理部门及政府有关部门的指导，接受甲方的监督。</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5．国家法律、法规所规定由乙方承担的其它责任。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1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安全保密要求：</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严格遵守相关保密安全规定，本项目必须在采购人指定的场所内进行，确保场所正常秩序和安全。不得遗失、损坏档案，如有违法者，将追究法律责任。档案整理加工单位应做到：</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1、与工作人员签订保密协议，加强对工作人员的保密教育。中标供应商负责对其聘用的工作人员进行身份审查、登记备案和签订保密协议，并将相关材料提交采购人备案。</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2、档案数字化处理后的各种影像、资料所有权归采购人所有，各种统计资料、影像资料、光盘资料、备份硬盘、纸质资料及各种清单等在项目结束时都必须完整移交。</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工作人员不得以任何形式将各项档案资料带出指定工作现场，不得以任何形式进行泄漏、传播；不得以任何方式非法向外人泄露档案所涉及的国家秘密；不得无故查看及讨论档案内容。否则按国家有关规定处理，情节严重的要承担相应的刑事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4、工作人员未经同意，不得私自携带任何可存储设备进入或离开工作现场。未经采购人批准，中标供应商不得以任何形式复制离线的档案图像和档案目录数据。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5、加工完成，移交数据并验收合格后，中标供应商应在档案管理部门有关人员监督下，销毁所有存储介质的档案数据，并交由采购人保管。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6、扫描人员严格遵守档案管理的相关规定及档案部门的相关制度，认真做好扫描档案的保密和保护工作。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1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7</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技术支持：</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提供全年7×24小时的技术咨询服务。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1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8</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技术培训：</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要求中标供应商对采购人技术人员进行全面技术培训，培训内容应包括：所提交的成果文件的检索、操作使用方法，维护管理技术，并能实际上机操作。中标供应商对采购人人员的培训，应使采购人人员可以独立操作、维护、管理，从而使采购人人员能独立进行管理、故障处理等工作，确保成果文件能正常运行。培训教材、培训场地及培训费用均包含在报价内。</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2、培训人数、时间、地点双方另行商定。中标供应商承担培训设备、培训资料及培训费用。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15"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9</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技术资料要求：</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中标供应商应向采购人提供全套中文技术资料一套，其费用包括在报价中：</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1.成果文件验收标准；</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2.使用说明书；</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3.项目完工后提供验收报告；</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4.合同中要求的其他文件资料。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10</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验收和评价方式：</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1、项目整体验收前中标供应商应自行对电子档案及档案原件完成自检。</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2、供应商必须制定严格的质量控制方案，并由采购人主管部门认可其方案，供应商必须对加工的数据进行自检，要逐页检查，电子档案务必和纸质档案一致，自检达标的数据才能递交采购人验收。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3、档案原件验收必须逐卷清点，按档案数量，文件状况，卷内文件页数与顺序、装订要求等进行检查；顺序错误、装订不符要求、卷间文件颠倒等作为差错，需要重新调整。</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4、完成所有数字化扫描加工任务，试运行一个月后，由双方共同进行验收，验收通过时间以双方签署项目验收单为准。</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5、双方各指定专人做好档案的清点交接工作。</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6、验收指标</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（1）目录数据库与图像文件挂接错误，或目录数据库、图像文件之一出现不完整、不清晰、有错误等质量问题时，抽检标记为“不合格”。</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（2）扫描结束后的最终抽检在全省法院审判/档案管理系统中进行，一个全宗的档案，数字化转换质量抽检的合格率达到98%以上（含98%）时，给予以验收“通过”。</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合格率=抽检合格的文件数/抽检文件总数×100%</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7、验收审核</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验收"通过"的结论，必须经分管领导审核、签字后方有效。</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8、验收登记</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w:t>
            </w:r>
            <w:r>
              <w:rPr>
                <w:rFonts w:hint="eastAsia" w:hAnsi="宋体" w:cs="宋体"/>
                <w:sz w:val="24"/>
                <w:szCs w:val="24"/>
                <w:lang w:eastAsia="zh-CN"/>
              </w:rPr>
              <w:tab/>
            </w:r>
            <w:r>
              <w:rPr>
                <w:rFonts w:hint="eastAsia" w:hAnsi="宋体" w:cs="宋体"/>
                <w:sz w:val="24"/>
                <w:szCs w:val="24"/>
                <w:lang w:eastAsia="zh-CN"/>
              </w:rPr>
              <w:t>认真填写纸质档案数字化验收登记表单。</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9、验收依据：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（1）合同文本。</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（2）投标文件、招标文件、澄清函。</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（3）国家和行业制定的相应的标准和规范。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11</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知识产权：</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28" w:hRule="atLeast"/>
          <w:jc w:val="center"/>
        </w:trPr>
        <w:tc>
          <w:tcPr>
            <w:tcW w:w="121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12</w:t>
            </w:r>
          </w:p>
        </w:tc>
        <w:tc>
          <w:tcPr>
            <w:tcW w:w="8292"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违约责任：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按《中华人民共和国政府采购法》、《中华人民共和国民法典》中的相关条款执行。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未按合同或招标文件要求提供服务或供应的服务质量不能满足采购人技术要求，采购单位有权终止合同，甚至对供应商违约行为进行追究。</w:t>
            </w:r>
          </w:p>
        </w:tc>
      </w:tr>
    </w:tbl>
    <w:p>
      <w:pPr>
        <w:pStyle w:val="4"/>
        <w:rPr>
          <w:rFonts w:hint="eastAsia" w:hAnsi="宋体" w:cs="宋体"/>
          <w:b/>
          <w:bCs/>
          <w:sz w:val="36"/>
          <w:szCs w:val="36"/>
          <w:lang w:eastAsia="zh-CN"/>
        </w:rPr>
      </w:pPr>
    </w:p>
    <w:p>
      <w:pPr>
        <w:pStyle w:val="4"/>
        <w:rPr>
          <w:rFonts w:hint="eastAsia" w:hAnsi="宋体" w:cs="宋体"/>
          <w:b/>
          <w:bCs/>
          <w:sz w:val="36"/>
          <w:szCs w:val="36"/>
          <w:lang w:eastAsia="zh-CN"/>
        </w:rPr>
      </w:pPr>
    </w:p>
    <w:p>
      <w:pPr>
        <w:rPr>
          <w:rFonts w:hint="eastAsia" w:hAnsi="宋体" w:cs="宋体"/>
          <w:b/>
          <w:bCs/>
          <w:sz w:val="36"/>
          <w:szCs w:val="36"/>
          <w:lang w:eastAsia="zh-CN"/>
        </w:rPr>
      </w:pPr>
    </w:p>
    <w:p>
      <w:pPr>
        <w:pStyle w:val="4"/>
        <w:rPr>
          <w:rFonts w:hint="eastAsia"/>
          <w:lang w:eastAsia="zh-CN"/>
        </w:rPr>
      </w:pPr>
    </w:p>
    <w:p>
      <w:pPr>
        <w:tabs>
          <w:tab w:val="left" w:pos="0"/>
        </w:tabs>
        <w:spacing w:line="360" w:lineRule="auto"/>
        <w:ind w:firstLine="640" w:firstLineChars="200"/>
        <w:jc w:val="center"/>
        <w:rPr>
          <w:rFonts w:hint="eastAsia" w:hAnsi="宋体" w:cs="宋体"/>
          <w:b/>
          <w:bCs/>
          <w:sz w:val="32"/>
          <w:szCs w:val="32"/>
          <w:lang w:eastAsia="zh-CN"/>
        </w:rPr>
      </w:pPr>
    </w:p>
    <w:p>
      <w:pPr>
        <w:tabs>
          <w:tab w:val="left" w:pos="0"/>
        </w:tabs>
        <w:spacing w:line="360" w:lineRule="auto"/>
        <w:ind w:firstLine="640" w:firstLineChars="200"/>
        <w:jc w:val="center"/>
        <w:rPr>
          <w:rFonts w:hint="eastAsia" w:hAnsi="宋体" w:cs="宋体"/>
          <w:b/>
          <w:bCs/>
          <w:sz w:val="32"/>
          <w:szCs w:val="32"/>
          <w:lang w:eastAsia="zh-CN"/>
        </w:rPr>
      </w:pPr>
    </w:p>
    <w:p>
      <w:pPr>
        <w:tabs>
          <w:tab w:val="left" w:pos="0"/>
        </w:tabs>
        <w:spacing w:line="360" w:lineRule="auto"/>
        <w:ind w:firstLine="640" w:firstLineChars="200"/>
        <w:jc w:val="center"/>
        <w:rPr>
          <w:rFonts w:hint="eastAsia" w:hAnsi="宋体" w:cs="宋体"/>
          <w:b/>
          <w:bCs/>
          <w:sz w:val="32"/>
          <w:szCs w:val="32"/>
          <w:lang w:eastAsia="zh-CN"/>
        </w:rPr>
      </w:pPr>
    </w:p>
    <w:p>
      <w:pPr>
        <w:tabs>
          <w:tab w:val="left" w:pos="0"/>
        </w:tabs>
        <w:spacing w:line="360" w:lineRule="auto"/>
        <w:ind w:firstLine="640" w:firstLineChars="200"/>
        <w:jc w:val="center"/>
        <w:rPr>
          <w:rFonts w:hint="eastAsia" w:hAnsi="宋体" w:cs="宋体"/>
          <w:b/>
          <w:bCs/>
          <w:sz w:val="32"/>
          <w:szCs w:val="32"/>
          <w:lang w:eastAsia="zh-CN"/>
        </w:rPr>
      </w:pPr>
    </w:p>
    <w:p>
      <w:pPr>
        <w:tabs>
          <w:tab w:val="left" w:pos="0"/>
        </w:tabs>
        <w:spacing w:line="360" w:lineRule="auto"/>
        <w:ind w:firstLine="720" w:firstLineChars="200"/>
        <w:jc w:val="center"/>
        <w:rPr>
          <w:rFonts w:hint="eastAsia" w:hAnsi="宋体" w:cs="宋体"/>
          <w:b/>
          <w:bCs/>
          <w:sz w:val="36"/>
          <w:szCs w:val="36"/>
          <w:lang w:eastAsia="zh-CN"/>
        </w:rPr>
      </w:pPr>
      <w:r>
        <w:rPr>
          <w:rFonts w:hint="eastAsia" w:hAnsi="宋体" w:cs="宋体"/>
          <w:b/>
          <w:bCs/>
          <w:sz w:val="36"/>
          <w:szCs w:val="36"/>
          <w:lang w:eastAsia="zh-CN"/>
        </w:rPr>
        <w:t>西安市雁塔区人民法院</w:t>
      </w:r>
    </w:p>
    <w:p>
      <w:pPr>
        <w:tabs>
          <w:tab w:val="left" w:pos="0"/>
        </w:tabs>
        <w:spacing w:line="360" w:lineRule="auto"/>
        <w:ind w:firstLine="720" w:firstLineChars="200"/>
        <w:jc w:val="center"/>
        <w:rPr>
          <w:rFonts w:hint="eastAsia" w:hAnsi="宋体" w:cs="宋体"/>
          <w:b/>
          <w:bCs/>
          <w:sz w:val="32"/>
          <w:szCs w:val="32"/>
          <w:lang w:eastAsia="zh-CN"/>
        </w:rPr>
      </w:pPr>
      <w:r>
        <w:rPr>
          <w:rFonts w:hint="eastAsia" w:hAnsi="宋体" w:cs="宋体"/>
          <w:b/>
          <w:bCs/>
          <w:sz w:val="36"/>
          <w:szCs w:val="36"/>
          <w:lang w:eastAsia="zh-CN"/>
        </w:rPr>
        <w:t>电子卷宗随案同步生成项目合同</w:t>
      </w:r>
    </w:p>
    <w:p>
      <w:pPr>
        <w:tabs>
          <w:tab w:val="left" w:pos="0"/>
        </w:tabs>
        <w:spacing w:line="360" w:lineRule="auto"/>
        <w:ind w:firstLine="480" w:firstLineChars="200"/>
        <w:rPr>
          <w:rFonts w:hint="eastAsia" w:hAnsi="宋体" w:cs="宋体"/>
          <w:sz w:val="24"/>
          <w:szCs w:val="24"/>
          <w:lang w:eastAsia="zh-CN"/>
        </w:rPr>
      </w:pPr>
    </w:p>
    <w:p>
      <w:pPr>
        <w:tabs>
          <w:tab w:val="left" w:pos="0"/>
        </w:tabs>
        <w:spacing w:line="360" w:lineRule="auto"/>
        <w:ind w:firstLine="480" w:firstLineChars="200"/>
        <w:rPr>
          <w:rFonts w:hint="eastAsia" w:hAnsi="宋体" w:cs="宋体"/>
          <w:sz w:val="24"/>
          <w:szCs w:val="24"/>
          <w:lang w:eastAsia="zh-CN"/>
        </w:rPr>
      </w:pPr>
    </w:p>
    <w:p>
      <w:pPr>
        <w:tabs>
          <w:tab w:val="left" w:pos="0"/>
        </w:tabs>
        <w:spacing w:line="360" w:lineRule="auto"/>
        <w:ind w:firstLine="480" w:firstLineChars="200"/>
        <w:jc w:val="center"/>
        <w:rPr>
          <w:rFonts w:hint="eastAsia" w:hAnsi="宋体" w:cs="宋体"/>
          <w:sz w:val="24"/>
          <w:szCs w:val="24"/>
          <w:lang w:eastAsia="zh-CN"/>
        </w:rPr>
      </w:pPr>
      <w:r>
        <w:rPr>
          <w:rFonts w:hint="eastAsia" w:hAnsi="宋体" w:cs="宋体"/>
          <w:sz w:val="24"/>
          <w:szCs w:val="24"/>
          <w:lang w:eastAsia="zh-CN"/>
        </w:rPr>
        <w:t>（示范文本）</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br w:type="page"/>
      </w:r>
      <w:r>
        <w:rPr>
          <w:rFonts w:hint="eastAsia" w:hAnsi="宋体" w:cs="宋体"/>
          <w:sz w:val="24"/>
          <w:szCs w:val="24"/>
          <w:lang w:eastAsia="zh-CN"/>
        </w:rPr>
        <w:t>甲方（采购人）：____________________</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甲方住所：_____________________________________</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乙方（中标供应商）：___________________________</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乙方住所：_____________________________________</w:t>
      </w:r>
    </w:p>
    <w:p>
      <w:pPr>
        <w:tabs>
          <w:tab w:val="left" w:pos="0"/>
        </w:tabs>
        <w:spacing w:line="360" w:lineRule="auto"/>
        <w:ind w:firstLine="480" w:firstLineChars="200"/>
        <w:rPr>
          <w:rFonts w:hint="eastAsia" w:hAnsi="宋体" w:cs="宋体"/>
          <w:sz w:val="24"/>
          <w:szCs w:val="24"/>
          <w:lang w:eastAsia="zh-CN"/>
        </w:rPr>
      </w:pP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根据《中华人民共和国政府采购法》及实施条例、《中华人民共和国民法典》和西安市雁塔区人民法院电子卷宗随案同步生成项目（项目编号：</w:t>
      </w:r>
      <w:r>
        <w:rPr>
          <w:rFonts w:hint="eastAsia" w:hAnsi="宋体" w:cs="宋体"/>
          <w:sz w:val="24"/>
          <w:szCs w:val="24"/>
          <w:u w:val="single"/>
          <w:lang w:val="en-US" w:eastAsia="zh-CN"/>
        </w:rPr>
        <w:t xml:space="preserve">               </w:t>
      </w:r>
      <w:bookmarkStart w:id="3" w:name="_GoBack"/>
      <w:bookmarkEnd w:id="3"/>
      <w:r>
        <w:rPr>
          <w:rFonts w:hint="eastAsia" w:hAnsi="宋体" w:cs="宋体"/>
          <w:sz w:val="24"/>
          <w:szCs w:val="24"/>
          <w:lang w:eastAsia="zh-CN"/>
        </w:rPr>
        <w:t>）的招标文件、投标文件等有关规定，为确保甲方采购项目的顺利实施，甲、乙双方在平等自愿原则下签订本合同，并共同遵守如下条款：</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第一条  项目基本情况</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1．采购标的：西安市雁塔区人民法院电子卷宗随案同步生成项目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 xml:space="preserve">2．数量：           </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第二条 合同金额</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合同金额（大写）：</w:t>
      </w:r>
      <w:r>
        <w:rPr>
          <w:rFonts w:hint="eastAsia" w:hAnsi="宋体" w:cs="宋体"/>
          <w:sz w:val="24"/>
          <w:szCs w:val="24"/>
          <w:u w:val="single"/>
          <w:lang w:eastAsia="zh-CN"/>
        </w:rPr>
        <w:t xml:space="preserve">                       （</w:t>
      </w:r>
      <w:r>
        <w:rPr>
          <w:rFonts w:hint="default" w:ascii="Arial" w:hAnsi="Arial" w:cs="Arial"/>
          <w:sz w:val="24"/>
          <w:szCs w:val="24"/>
          <w:u w:val="single"/>
          <w:lang w:eastAsia="zh-CN"/>
        </w:rPr>
        <w:t>¥</w:t>
      </w:r>
      <w:r>
        <w:rPr>
          <w:rFonts w:hint="eastAsia" w:hAnsi="宋体" w:cs="宋体"/>
          <w:sz w:val="24"/>
          <w:szCs w:val="24"/>
          <w:u w:val="single"/>
          <w:lang w:eastAsia="zh-CN"/>
        </w:rPr>
        <w:t xml:space="preserve">         ）</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第三条 付款方式与程序</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详见招标文件合同条款及格式前附表。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第三条 服务内容及要求</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详见招标文件及乙方投标文件及相关的澄清资料。</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第四条 项目完成期限</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本项目完成期限为：                。</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第五条 双方的权利和义务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（一）甲方的权利和义务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2．甲方有权依据双方签订的考评办法对乙方提供的服务进行定期考评。</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3．负责检查监督乙方管理工作的实施及制度的执行情况。</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4．根据本合同规定，按时向乙方支付应付服务费用。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5．验收应在甲方和乙方双方共同参加下进行。甲方组成验收小组按国家有关规定、规范进行验收，验收时将会邀请相关的专业人员或机构参与验收。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6．国家法律、法规所规定由甲方承担的其它责任。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（二）乙方的权利和义务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1．对本合同规定的委托服务范围内的项目享有管理权及服务义务。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2．根据本合同的规定向甲方收取相关服务费用，并有权在本项目管理范围内管理及合理使用。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3．及时向甲方通告本项目服务范围内有关服务的重大事项，及时配合处理投诉。</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4．接受项目行业管理部门及政府有关部门的指导，接受甲方的监督。</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5．国家法律、法规所规定由乙方承担的其它责任。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第六条 验收及评价方式</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详见招标文件合同条款及格式前附表。</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第七条 安全保密要求</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严格遵守相关保密安全规定，本项目必须在采购人指定的场所内进行，确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保场所正常秩序和安全。不得遗失、损坏档案，如有违法者，将追究法律责任。档案整理加工单位应做到：</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1、与工作人员签订保密协议，加强对工作人员的保密教育。中标供应商负责对其聘用的工作人员进行身份审查、登记备案和签订保密协议，并将相关材料提交采购人备案。</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2、档案数字化处理后的各种影像、资料所有权归采购人所有，各种统计资料、影像资料、光盘资料、备份硬盘、纸质资料及各种清单等在项目结束时都必须完整移交。</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工作人员不得以任何形式将各项档案资料带出指定工作现场，不得以任何形式进行泄漏、传播；不得以任何方式非法向外人泄露档案所涉及的国家秘密；不得无故查看及讨论档案内容。否则按国家有关规定处理，情节严重的要承担相应的刑事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4、工作人员未经同意，不得私自携带任何可存储设备进入或离开工作现场。未经采购人批准，中标供应商不得以任何形式复制离线的档案图像和档案目录数据。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5、加工完成，移交数据并验收合格后，中标供应商应在档案管理部门有关人员监督下，销毁所有存储介质的档案数据，并交由采购人保管。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6、扫描人员严格遵守档案管理的相关规定及档案部门的相关制度，认真做好扫描档案的保密和保护工作。</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第八条 技术支持</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提供全年7×24小时的技术咨询服务。</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第九条 技术资料要求：</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中标供应商应向采购人提供全套中文技术资料一套，其费用包括在报价中：</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1、成果文件验收标准；</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2、使用说明书；</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3、项目完工后提供验收报告；</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4、合同中要求的其他文件资料。</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第十条 知识产权</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第十一条 合同争议的解决</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合同执行中发生争议的，当事人双方应协商解决。协商达不成一致时，可向当地人民法院提请诉讼。</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第十二条 不可抗力情况下的免责约定</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1.双方约定不可抗力情况指：双方不可预见、不可避免、不可克服的客观情况，但不包括双方的违约或疏忽。这些事件包括但不限于：战争、严重火灾、洪水、台风、地震等。</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2.在合同有效期内，任何一方因不可抗力事件导致不能履行合同，则合同履行期可延长，其延长期与不可抗力影响期相同。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3.不可抗力事件发生后，应立即通知对方，并寄送有关权威机构出具的证明。</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4.不可抗力事件延续15个日历日以上，双方应通过友好协商，确定是否继续履行合同。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第十三条 违约责任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1、甲乙双方必须遵守本合同并执行合同中的各项规定，保证本合同的正常履行。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2、本合同签订后甲乙双方不得单方终止合同，如乙方违约，应退还服务费，并赔偿给甲方实际造成的损失；如甲方违约，乙方收取的服务费不予退还。</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3、完成期满时是否续约或终止合同，甲、乙双方均应提前壹个月通知对方。在同等条件下，乙方享有优先服务权。</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4、如因乙方未全面履行合同义务或者发生违约，甲方有权终止合同，依法向乙方进行经济索赔，并报请政府采购监督管理机关进行相应的行政处罚。甲方违约的，应当赔偿给乙方造成的直接经济损失。</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第十四条 合同的变更和终止</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除《中华人民共和国政府采购法》第49条、第50条第二款规定的情形外，本合同一经签订，甲乙双方不得擅自变更、中止或终止合同。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第十五条  解决合同纠纷的方式</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1．在执行本合同中发生的或与本合同有关的争端，双方应通过友好协商解决，经协商在___天内不能达成协议时，则采取以下第___种方式解决争议：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（1）向甲方所在地有管辖权的人民法院提起诉讼；</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（2）向西安仲裁委员会按其仲裁规则申请仲裁。</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2．在仲裁期间，本合同应继续履行。</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第十六条 其他（在合同中具体明确）</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1．合同经双方法定代表人（单位负责人）或授权委托代理人签名并加盖单位公章并由采购代理机构盖章后生效。</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 合同执行中涉及采购资金和采购内容修改或补充的，须经政府采购监管部门审批，并签书面补充协议报政府采购监督管理部门备案，方可作为主合同不可分割的一部分。</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本合同一式   份，自双方签章之日起起效，甲方   份，乙方   份，政府采购代理机构壹份，同级财政部门备案壹份，具有同等法律效力合同，执行完毕自动失效。（合同的服务承诺则长期有效）。</w:t>
      </w:r>
    </w:p>
    <w:p>
      <w:pPr>
        <w:pStyle w:val="2"/>
        <w:ind w:firstLine="480" w:firstLineChars="200"/>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w:t>
      </w:r>
      <w:r>
        <w:rPr>
          <w:rFonts w:ascii="宋体" w:hAnsi="宋体" w:eastAsia="宋体" w:cs="宋体"/>
          <w:sz w:val="24"/>
        </w:rPr>
        <w:t>其它约定事项：</w:t>
      </w:r>
      <w:r>
        <w:rPr>
          <w:rFonts w:hint="eastAsia" w:ascii="宋体" w:hAnsi="宋体" w:eastAsia="宋体" w:cs="宋体"/>
          <w:kern w:val="0"/>
          <w:sz w:val="24"/>
          <w:szCs w:val="24"/>
          <w:lang w:val="en-US" w:eastAsia="zh-CN" w:bidi="ar-SA"/>
        </w:rPr>
        <w:t>未尽事宜双方协商解决；</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第十七条  附件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1．项目招标文件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2．项目修改澄清文件（如有）</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3．项目投标文件</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4．成交通知书</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5．其他</w:t>
      </w:r>
    </w:p>
    <w:p>
      <w:pPr>
        <w:tabs>
          <w:tab w:val="left" w:pos="0"/>
        </w:tabs>
        <w:spacing w:line="360" w:lineRule="auto"/>
        <w:ind w:firstLine="480" w:firstLineChars="200"/>
        <w:rPr>
          <w:rFonts w:hint="eastAsia" w:hAnsi="宋体" w:cs="宋体"/>
          <w:sz w:val="24"/>
          <w:szCs w:val="24"/>
          <w:lang w:eastAsia="zh-CN"/>
        </w:rPr>
      </w:pP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（以下无正文）</w:t>
      </w:r>
    </w:p>
    <w:p>
      <w:pPr>
        <w:tabs>
          <w:tab w:val="left" w:pos="0"/>
        </w:tabs>
        <w:spacing w:line="360" w:lineRule="auto"/>
        <w:rPr>
          <w:rFonts w:hint="eastAsia" w:hAnsi="宋体" w:cs="宋体"/>
          <w:sz w:val="24"/>
          <w:szCs w:val="24"/>
          <w:lang w:eastAsia="zh-CN"/>
        </w:rPr>
      </w:pPr>
    </w:p>
    <w:tbl>
      <w:tblPr>
        <w:tblStyle w:val="14"/>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1921"/>
        <w:gridCol w:w="2444"/>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甲方</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（盖章）：</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（盖章）：</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法定代表人</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（委托代理人）：</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法定代表人</w:t>
            </w:r>
          </w:p>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（委托代理人）：</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地    址：</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地    址：</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开户银行：</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开户银行：</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银行帐号：</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银行帐号：</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电    话：</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电    话：</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传    真：</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传    真：</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3"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签约日期：</w:t>
            </w:r>
          </w:p>
        </w:tc>
        <w:tc>
          <w:tcPr>
            <w:tcW w:w="1921"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年 月 日</w:t>
            </w:r>
          </w:p>
        </w:tc>
        <w:tc>
          <w:tcPr>
            <w:tcW w:w="2444"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签约日期：</w:t>
            </w:r>
          </w:p>
        </w:tc>
        <w:tc>
          <w:tcPr>
            <w:tcW w:w="1990" w:type="dxa"/>
            <w:noWrap w:val="0"/>
            <w:vAlign w:val="center"/>
          </w:tcPr>
          <w:p>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年 月 日</w:t>
            </w:r>
          </w:p>
        </w:tc>
      </w:tr>
    </w:tbl>
    <w:p>
      <w:pPr>
        <w:tabs>
          <w:tab w:val="left" w:pos="0"/>
        </w:tabs>
        <w:spacing w:line="360" w:lineRule="auto"/>
        <w:ind w:firstLine="480" w:firstLineChars="200"/>
        <w:rPr>
          <w:rFonts w:hint="eastAsia" w:hAnsi="宋体" w:cs="宋体"/>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single" w:color="auto" w:sz="4" w:space="1"/>
        <w:left w:val="none" w:color="auto" w:sz="0" w:space="4"/>
        <w:bottom w:val="none" w:color="auto" w:sz="0" w:space="1"/>
        <w:right w:val="none" w:color="auto" w:sz="0" w:space="4"/>
      </w:pBdr>
      <w:tabs>
        <w:tab w:val="left" w:pos="6015"/>
        <w:tab w:val="clear" w:pos="4153"/>
      </w:tabs>
      <w:rPr>
        <w:rFonts w:eastAsia="宋体"/>
        <w:i/>
        <w:iCs/>
      </w:rPr>
    </w:pPr>
    <w:r>
      <w:rPr>
        <w:rFonts w:hint="eastAsia" w:eastAsia="宋体"/>
        <w:b/>
        <w:bCs/>
        <w:i/>
        <w:iCs/>
      </w:rPr>
      <w:t xml:space="preserve">                               </w:t>
    </w:r>
    <w:r>
      <w:rPr>
        <w:rFonts w:hint="eastAsia" w:eastAsia="宋体"/>
        <w:i/>
        <w:iCs/>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55ED"/>
    <w:rsid w:val="013A17E4"/>
    <w:rsid w:val="020103D8"/>
    <w:rsid w:val="04576F2F"/>
    <w:rsid w:val="06DA7C4D"/>
    <w:rsid w:val="0B833854"/>
    <w:rsid w:val="0C612A3A"/>
    <w:rsid w:val="0D3A3F23"/>
    <w:rsid w:val="0E2E667E"/>
    <w:rsid w:val="0EEF7D35"/>
    <w:rsid w:val="11A2474C"/>
    <w:rsid w:val="12BF2309"/>
    <w:rsid w:val="12DD1B7E"/>
    <w:rsid w:val="161A4695"/>
    <w:rsid w:val="1D93676A"/>
    <w:rsid w:val="1E0242EE"/>
    <w:rsid w:val="1E2B4FA6"/>
    <w:rsid w:val="1E3D7A2B"/>
    <w:rsid w:val="1EB639BE"/>
    <w:rsid w:val="1EE66F63"/>
    <w:rsid w:val="1F0C1123"/>
    <w:rsid w:val="1F922570"/>
    <w:rsid w:val="1FB4471F"/>
    <w:rsid w:val="20850696"/>
    <w:rsid w:val="215D0F73"/>
    <w:rsid w:val="2187721C"/>
    <w:rsid w:val="280F4446"/>
    <w:rsid w:val="292B33AB"/>
    <w:rsid w:val="294274E3"/>
    <w:rsid w:val="2A03016F"/>
    <w:rsid w:val="2A2115A5"/>
    <w:rsid w:val="2BAF467A"/>
    <w:rsid w:val="2EE70A33"/>
    <w:rsid w:val="30305727"/>
    <w:rsid w:val="32384CA0"/>
    <w:rsid w:val="32592FB3"/>
    <w:rsid w:val="33F80735"/>
    <w:rsid w:val="34DF1BF5"/>
    <w:rsid w:val="3B746F58"/>
    <w:rsid w:val="3C8B3FEC"/>
    <w:rsid w:val="3D411C71"/>
    <w:rsid w:val="42657D9A"/>
    <w:rsid w:val="42BE0259"/>
    <w:rsid w:val="43FB5B05"/>
    <w:rsid w:val="46447A32"/>
    <w:rsid w:val="48EB7A9D"/>
    <w:rsid w:val="493B6BCC"/>
    <w:rsid w:val="4BF34457"/>
    <w:rsid w:val="4C2573BB"/>
    <w:rsid w:val="4F4C73C6"/>
    <w:rsid w:val="50364B6D"/>
    <w:rsid w:val="50391C8F"/>
    <w:rsid w:val="51534FB0"/>
    <w:rsid w:val="53D86BEB"/>
    <w:rsid w:val="59CA5C42"/>
    <w:rsid w:val="5FD62DD0"/>
    <w:rsid w:val="603F1FD2"/>
    <w:rsid w:val="61CC51BD"/>
    <w:rsid w:val="634D7437"/>
    <w:rsid w:val="653D0040"/>
    <w:rsid w:val="67163264"/>
    <w:rsid w:val="69991F09"/>
    <w:rsid w:val="69E82D6C"/>
    <w:rsid w:val="6A1F6593"/>
    <w:rsid w:val="6CCC1B53"/>
    <w:rsid w:val="6D736619"/>
    <w:rsid w:val="7011608C"/>
    <w:rsid w:val="703721BE"/>
    <w:rsid w:val="72270250"/>
    <w:rsid w:val="73A24E1E"/>
    <w:rsid w:val="745474FE"/>
    <w:rsid w:val="74A65896"/>
    <w:rsid w:val="77004D48"/>
    <w:rsid w:val="785B6808"/>
    <w:rsid w:val="7E582C14"/>
    <w:rsid w:val="7E6E3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Normal Indent"/>
    <w:basedOn w:val="1"/>
    <w:next w:val="7"/>
    <w:qFormat/>
    <w:uiPriority w:val="0"/>
    <w:pPr>
      <w:spacing w:line="360" w:lineRule="auto"/>
      <w:ind w:firstLine="200" w:firstLineChars="200"/>
    </w:pPr>
    <w:rPr>
      <w:sz w:val="24"/>
      <w:szCs w:val="20"/>
    </w:rPr>
  </w:style>
  <w:style w:type="paragraph" w:styleId="7">
    <w:name w:val="toc 4"/>
    <w:basedOn w:val="1"/>
    <w:next w:val="1"/>
    <w:qFormat/>
    <w:uiPriority w:val="39"/>
    <w:pPr>
      <w:spacing w:line="440" w:lineRule="exact"/>
      <w:ind w:left="840"/>
      <w:jc w:val="left"/>
    </w:pPr>
    <w:rPr>
      <w:rFonts w:ascii="Calibri" w:hAnsi="Calibri"/>
      <w:sz w:val="18"/>
      <w:szCs w:val="18"/>
    </w:rPr>
  </w:style>
  <w:style w:type="paragraph" w:styleId="8">
    <w:name w:val="Body Text"/>
    <w:basedOn w:val="1"/>
    <w:next w:val="1"/>
    <w:qFormat/>
    <w:uiPriority w:val="99"/>
    <w:pPr>
      <w:spacing w:line="360" w:lineRule="auto"/>
    </w:pPr>
    <w:rPr>
      <w:rFonts w:ascii="Tahoma" w:hAnsi="Tahoma"/>
    </w:rPr>
  </w:style>
  <w:style w:type="paragraph" w:styleId="9">
    <w:name w:val="List 2"/>
    <w:basedOn w:val="1"/>
    <w:unhideWhenUsed/>
    <w:qFormat/>
    <w:uiPriority w:val="99"/>
    <w:pPr>
      <w:ind w:left="100" w:leftChars="200" w:hanging="200" w:hangingChars="200"/>
      <w:contextualSpacing/>
    </w:pPr>
  </w:style>
  <w:style w:type="paragraph" w:styleId="10">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16">
    <w:name w:val="标题 1 Char1"/>
    <w:qFormat/>
    <w:uiPriority w:val="99"/>
    <w:rPr>
      <w:rFonts w:ascii="黑体" w:eastAsia="黑体"/>
      <w:sz w:val="52"/>
      <w:lang w:bidi="ar-SA"/>
    </w:rPr>
  </w:style>
  <w:style w:type="paragraph" w:customStyle="1" w:styleId="17">
    <w:name w:val="_Style 3"/>
    <w:basedOn w:val="3"/>
    <w:next w:val="1"/>
    <w:qFormat/>
    <w:uiPriority w:val="0"/>
    <w:pPr>
      <w:keepLines w:val="0"/>
      <w:widowControl/>
      <w:spacing w:after="0" w:line="256" w:lineRule="auto"/>
      <w:jc w:val="left"/>
    </w:pPr>
    <w:rPr>
      <w:rFonts w:ascii="Calibri Light" w:hAnsi="Calibri Light" w:eastAsia="宋体"/>
      <w:color w:val="2E74B5"/>
      <w:kern w:val="0"/>
      <w:sz w:val="32"/>
      <w:szCs w:val="32"/>
    </w:rPr>
  </w:style>
  <w:style w:type="paragraph" w:styleId="18">
    <w:name w:val="List Paragraph"/>
    <w:basedOn w:val="1"/>
    <w:qFormat/>
    <w:uiPriority w:val="34"/>
    <w:pPr>
      <w:ind w:firstLine="420" w:firstLineChars="200"/>
    </w:pPr>
    <w:rPr>
      <w:rFonts w:ascii="Calibri" w:hAnsi="Calibri" w:eastAsia="宋体"/>
      <w:szCs w:val="22"/>
    </w:rPr>
  </w:style>
  <w:style w:type="paragraph" w:customStyle="1" w:styleId="19">
    <w:name w:val="Heading 6"/>
    <w:basedOn w:val="1"/>
    <w:qFormat/>
    <w:uiPriority w:val="1"/>
    <w:pPr>
      <w:spacing w:before="47"/>
      <w:ind w:left="962"/>
      <w:outlineLvl w:val="6"/>
    </w:pPr>
    <w:rPr>
      <w:b/>
      <w:bCs/>
      <w:sz w:val="28"/>
      <w:szCs w:val="28"/>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2025-06-10T16:31:00Z</dcterms:created>
  <dc:creator>xiaof</dc:creator>
  <cp:lastModifiedBy>Administrator</cp:lastModifiedBy>
  <dcterms:modified xsi:type="dcterms:W3CDTF">2025-09-29T02:51:05Z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