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3D355">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6B5164DF">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1E6C38CB">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333D74EA">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24E1E42E">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p>
    <w:p w14:paraId="52C2D4D7">
      <w:pPr>
        <w:kinsoku/>
        <w:overflowPunct/>
        <w:topLinePunct w:val="0"/>
        <w:autoSpaceDE/>
        <w:autoSpaceDN/>
        <w:bidi w:val="0"/>
        <w:spacing w:line="360" w:lineRule="auto"/>
        <w:jc w:val="center"/>
        <w:rPr>
          <w:rFonts w:hint="eastAsia" w:ascii="宋体" w:hAnsi="宋体" w:eastAsia="宋体" w:cs="宋体"/>
          <w:sz w:val="44"/>
          <w:szCs w:val="44"/>
          <w:highlight w:val="none"/>
          <w:lang w:val="en-US" w:eastAsia="zh-CN"/>
        </w:rPr>
      </w:pPr>
      <w:r>
        <w:rPr>
          <w:rFonts w:hint="eastAsia" w:ascii="宋体" w:hAnsi="宋体" w:eastAsia="宋体" w:cs="宋体"/>
          <w:spacing w:val="-113"/>
          <w:sz w:val="44"/>
          <w:szCs w:val="44"/>
          <w:highlight w:val="none"/>
          <w:lang w:val="en-US" w:eastAsia="zh-CN"/>
        </w:rPr>
        <w:t>氵</w:t>
      </w:r>
      <w:r>
        <w:rPr>
          <w:rFonts w:hint="eastAsia" w:ascii="宋体" w:hAnsi="宋体" w:eastAsia="宋体" w:cs="宋体"/>
          <w:sz w:val="44"/>
          <w:szCs w:val="44"/>
          <w:highlight w:val="none"/>
          <w:lang w:val="en-US" w:eastAsia="zh-CN"/>
        </w:rPr>
        <w:t>皂河城市段维修养护项目</w:t>
      </w:r>
    </w:p>
    <w:p w14:paraId="53BB5C51">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38143631">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3D7DD391">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1F347457">
      <w:pPr>
        <w:kinsoku/>
        <w:overflowPunct/>
        <w:topLinePunct w:val="0"/>
        <w:autoSpaceDE/>
        <w:autoSpaceDN/>
        <w:bidi w:val="0"/>
        <w:spacing w:line="360" w:lineRule="auto"/>
        <w:rPr>
          <w:rFonts w:hint="eastAsia" w:ascii="宋体" w:hAnsi="宋体" w:eastAsia="宋体" w:cs="宋体"/>
          <w:sz w:val="44"/>
          <w:szCs w:val="44"/>
          <w:highlight w:val="none"/>
          <w:lang w:val="en-US" w:eastAsia="zh-CN"/>
        </w:rPr>
      </w:pPr>
    </w:p>
    <w:p w14:paraId="3FFFF0FA">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06F9FC44">
      <w:pPr>
        <w:pStyle w:val="5"/>
        <w:kinsoku/>
        <w:overflowPunct/>
        <w:topLinePunct w:val="0"/>
        <w:autoSpaceDE/>
        <w:autoSpaceDN/>
        <w:bidi w:val="0"/>
        <w:spacing w:line="360" w:lineRule="auto"/>
        <w:ind w:firstLine="2520" w:firstLineChars="1200"/>
        <w:jc w:val="both"/>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合同编号：____________________</w:t>
      </w:r>
    </w:p>
    <w:p w14:paraId="36F653B8">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37420E0E">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02B6156F">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甲　　方：____________________(采购人名称)</w:t>
      </w:r>
    </w:p>
    <w:p w14:paraId="28287D62">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41DC20F6">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700436B4">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乙　　方：____________________(</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名称)</w:t>
      </w:r>
    </w:p>
    <w:p w14:paraId="6C5E3BB2">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4B6580F0">
      <w:pPr>
        <w:pStyle w:val="5"/>
        <w:kinsoku/>
        <w:overflowPunct/>
        <w:topLinePunct w:val="0"/>
        <w:autoSpaceDE/>
        <w:autoSpaceDN/>
        <w:bidi w:val="0"/>
        <w:spacing w:line="360" w:lineRule="auto"/>
        <w:ind w:firstLine="420" w:firstLineChars="200"/>
        <w:jc w:val="center"/>
        <w:rPr>
          <w:rFonts w:hint="eastAsia" w:ascii="宋体" w:hAnsi="宋体" w:eastAsia="宋体" w:cs="宋体"/>
          <w:b w:val="0"/>
          <w:bCs w:val="0"/>
          <w:color w:val="auto"/>
          <w:highlight w:val="none"/>
        </w:rPr>
      </w:pPr>
    </w:p>
    <w:p w14:paraId="543200E4">
      <w:pPr>
        <w:pStyle w:val="5"/>
        <w:kinsoku/>
        <w:overflowPunct/>
        <w:topLinePunct w:val="0"/>
        <w:autoSpaceDE/>
        <w:autoSpaceDN/>
        <w:bidi w:val="0"/>
        <w:spacing w:line="360" w:lineRule="auto"/>
        <w:ind w:firstLine="420" w:firstLineChars="200"/>
        <w:jc w:val="center"/>
        <w:rPr>
          <w:rFonts w:hint="eastAsia" w:ascii="宋体" w:hAnsi="宋体" w:eastAsia="宋体" w:cs="宋体"/>
          <w:sz w:val="44"/>
          <w:szCs w:val="44"/>
          <w:highlight w:val="none"/>
          <w:lang w:val="en-US" w:eastAsia="zh-CN"/>
        </w:rPr>
      </w:pPr>
      <w:r>
        <w:rPr>
          <w:rFonts w:hint="eastAsia" w:ascii="宋体" w:hAnsi="宋体" w:eastAsia="宋体" w:cs="宋体"/>
          <w:b w:val="0"/>
          <w:bCs w:val="0"/>
          <w:color w:val="auto"/>
          <w:highlight w:val="none"/>
        </w:rPr>
        <w:t>签署日期：     年    月    日</w:t>
      </w:r>
    </w:p>
    <w:p w14:paraId="004AF469">
      <w:pPr>
        <w:kinsoku/>
        <w:overflowPunct/>
        <w:topLinePunct w:val="0"/>
        <w:autoSpaceDE/>
        <w:autoSpaceDN/>
        <w:bidi w:val="0"/>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br w:type="page"/>
      </w:r>
    </w:p>
    <w:p w14:paraId="34DFFADB">
      <w:pPr>
        <w:pStyle w:val="10"/>
        <w:pageBreakBefore w:val="0"/>
        <w:kinsoku/>
        <w:wordWrap/>
        <w:overflowPunct/>
        <w:topLinePunct w:val="0"/>
        <w:autoSpaceDE/>
        <w:autoSpaceDN/>
        <w:bidi w:val="0"/>
        <w:snapToGrid/>
        <w:spacing w:before="120" w:beforeLines="50" w:line="360" w:lineRule="auto"/>
        <w:ind w:firstLine="42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根据《中华人民共和国政府采购法》及实施条例、《中华人民共和国民法典》和甲方</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rPr>
        <w:t>采购项目（采购项目编号：</w:t>
      </w:r>
      <w:r>
        <w:rPr>
          <w:rFonts w:hint="eastAsia" w:ascii="宋体" w:hAnsi="宋体" w:eastAsia="宋体" w:cs="宋体"/>
          <w:color w:val="000000"/>
          <w:sz w:val="20"/>
          <w:szCs w:val="20"/>
          <w:highlight w:val="none"/>
          <w:lang w:eastAsia="zh-CN"/>
        </w:rPr>
        <w:t>HJZB2501-148</w:t>
      </w:r>
      <w:r>
        <w:rPr>
          <w:rFonts w:hint="eastAsia" w:ascii="宋体" w:hAnsi="宋体" w:eastAsia="宋体" w:cs="宋体"/>
          <w:color w:val="000000"/>
          <w:sz w:val="20"/>
          <w:szCs w:val="20"/>
          <w:highlight w:val="none"/>
        </w:rPr>
        <w:t>）的招标文件、投标文件等有关规定，为确保甲方采购项目的顺利实施，甲、乙双方在平等自愿原则下签订本合同，并共同遵守如下条款：</w:t>
      </w:r>
    </w:p>
    <w:p w14:paraId="7B8309FF">
      <w:pPr>
        <w:pageBreakBefore w:val="0"/>
        <w:numPr>
          <w:ilvl w:val="0"/>
          <w:numId w:val="1"/>
        </w:numPr>
        <w:kinsoku/>
        <w:wordWrap/>
        <w:overflowPunct/>
        <w:topLinePunct w:val="0"/>
        <w:autoSpaceDE/>
        <w:autoSpaceDN/>
        <w:bidi w:val="0"/>
        <w:snapToGrid/>
        <w:spacing w:before="120" w:beforeLines="50" w:after="120" w:afterLines="50" w:line="360" w:lineRule="auto"/>
        <w:ind w:left="1514" w:leftChars="0" w:hanging="1094" w:firstLineChars="0"/>
        <w:outlineLvl w:val="1"/>
        <w:rPr>
          <w:rFonts w:hint="eastAsia" w:ascii="宋体" w:hAnsi="宋体" w:eastAsia="宋体" w:cs="宋体"/>
          <w:b/>
          <w:color w:val="000000"/>
          <w:sz w:val="20"/>
          <w:szCs w:val="20"/>
          <w:highlight w:val="none"/>
        </w:rPr>
      </w:pPr>
      <w:bookmarkStart w:id="0" w:name="_Toc21438"/>
      <w:r>
        <w:rPr>
          <w:rFonts w:hint="eastAsia" w:ascii="宋体" w:hAnsi="宋体" w:eastAsia="宋体" w:cs="宋体"/>
          <w:b/>
          <w:color w:val="000000"/>
          <w:sz w:val="20"/>
          <w:szCs w:val="20"/>
          <w:highlight w:val="none"/>
        </w:rPr>
        <w:t>项目基本情况</w:t>
      </w:r>
      <w:bookmarkEnd w:id="0"/>
    </w:p>
    <w:p w14:paraId="66768B39">
      <w:pPr>
        <w:pStyle w:val="4"/>
        <w:pageBreakBefore w:val="0"/>
        <w:kinsoku/>
        <w:wordWrap/>
        <w:overflowPunct/>
        <w:topLinePunct w:val="0"/>
        <w:autoSpaceDE/>
        <w:autoSpaceDN/>
        <w:bidi w:val="0"/>
        <w:snapToGrid/>
        <w:spacing w:line="360" w:lineRule="auto"/>
        <w:ind w:firstLine="402" w:firstLineChars="200"/>
        <w:rPr>
          <w:rFonts w:hint="eastAsia" w:ascii="宋体" w:hAnsi="宋体" w:eastAsia="宋体" w:cs="宋体"/>
          <w:sz w:val="20"/>
          <w:szCs w:val="20"/>
          <w:highlight w:val="none"/>
          <w:lang w:eastAsia="zh-CN"/>
        </w:rPr>
      </w:pPr>
      <w:r>
        <w:rPr>
          <w:rFonts w:hint="eastAsia" w:ascii="宋体" w:hAnsi="宋体" w:eastAsia="宋体" w:cs="宋体"/>
          <w:b/>
          <w:color w:val="000000"/>
          <w:sz w:val="20"/>
          <w:szCs w:val="20"/>
          <w:highlight w:val="none"/>
          <w:lang w:eastAsia="zh-CN"/>
        </w:rPr>
        <w:t>……</w:t>
      </w:r>
    </w:p>
    <w:p w14:paraId="10C1E845">
      <w:pPr>
        <w:pageBreakBefore w:val="0"/>
        <w:numPr>
          <w:ilvl w:val="0"/>
          <w:numId w:val="1"/>
        </w:numPr>
        <w:kinsoku/>
        <w:wordWrap/>
        <w:overflowPunct/>
        <w:topLinePunct w:val="0"/>
        <w:autoSpaceDE/>
        <w:autoSpaceDN/>
        <w:bidi w:val="0"/>
        <w:snapToGrid/>
        <w:spacing w:before="120" w:beforeLines="50" w:after="120" w:afterLines="50" w:line="360" w:lineRule="auto"/>
        <w:ind w:left="1514" w:leftChars="0" w:hanging="1094" w:firstLineChars="0"/>
        <w:outlineLvl w:val="1"/>
        <w:rPr>
          <w:rFonts w:hint="eastAsia" w:ascii="宋体" w:hAnsi="宋体" w:eastAsia="宋体" w:cs="宋体"/>
          <w:b/>
          <w:color w:val="000000"/>
          <w:sz w:val="20"/>
          <w:szCs w:val="20"/>
          <w:highlight w:val="none"/>
        </w:rPr>
      </w:pPr>
      <w:bookmarkStart w:id="1" w:name="_Toc29687"/>
      <w:r>
        <w:rPr>
          <w:rFonts w:hint="eastAsia" w:ascii="宋体" w:hAnsi="宋体" w:eastAsia="宋体" w:cs="宋体"/>
          <w:b/>
          <w:color w:val="000000"/>
          <w:sz w:val="20"/>
          <w:szCs w:val="20"/>
          <w:highlight w:val="none"/>
        </w:rPr>
        <w:t>合同期限</w:t>
      </w:r>
      <w:bookmarkEnd w:id="1"/>
    </w:p>
    <w:p w14:paraId="04584C63">
      <w:pPr>
        <w:pStyle w:val="4"/>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u w:val="single"/>
          <w:lang w:val="en-US" w:eastAsia="zh-CN"/>
        </w:rPr>
      </w:pPr>
      <w:r>
        <w:rPr>
          <w:rFonts w:hint="eastAsia" w:ascii="宋体" w:hAnsi="宋体" w:eastAsia="宋体" w:cs="宋体"/>
          <w:color w:val="000000"/>
          <w:kern w:val="2"/>
          <w:sz w:val="20"/>
          <w:szCs w:val="20"/>
          <w:highlight w:val="none"/>
          <w:lang w:val="en-US" w:eastAsia="zh-CN" w:bidi="ar-SA"/>
        </w:rPr>
        <w:t>合同期：8个月，2025年    月    日---2026年    月    日</w:t>
      </w:r>
    </w:p>
    <w:p w14:paraId="4AE37906">
      <w:pPr>
        <w:pageBreakBefore w:val="0"/>
        <w:numPr>
          <w:ilvl w:val="0"/>
          <w:numId w:val="1"/>
        </w:numPr>
        <w:kinsoku/>
        <w:wordWrap/>
        <w:overflowPunct/>
        <w:topLinePunct w:val="0"/>
        <w:autoSpaceDE/>
        <w:autoSpaceDN/>
        <w:bidi w:val="0"/>
        <w:snapToGrid/>
        <w:spacing w:before="120" w:beforeLines="50" w:after="120" w:afterLines="50" w:line="360" w:lineRule="auto"/>
        <w:ind w:left="1514" w:leftChars="0" w:hanging="1094" w:firstLineChars="0"/>
        <w:rPr>
          <w:rFonts w:hint="eastAsia" w:ascii="宋体" w:hAnsi="宋体" w:eastAsia="宋体" w:cs="宋体"/>
          <w:b/>
          <w:color w:val="000000"/>
          <w:sz w:val="20"/>
          <w:szCs w:val="20"/>
          <w:highlight w:val="none"/>
        </w:rPr>
      </w:pPr>
      <w:bookmarkStart w:id="2" w:name="_Toc185395249"/>
      <w:bookmarkStart w:id="3" w:name="_Toc251768862"/>
      <w:bookmarkStart w:id="4" w:name="_Toc212019594"/>
      <w:bookmarkStart w:id="5" w:name="_Toc237145406"/>
      <w:bookmarkStart w:id="6" w:name="_Toc232492928"/>
      <w:bookmarkStart w:id="7" w:name="_Toc225654644"/>
      <w:bookmarkStart w:id="8" w:name="_Toc211911348"/>
      <w:bookmarkStart w:id="9" w:name="_Toc225244852"/>
      <w:bookmarkStart w:id="10" w:name="_Toc241833903"/>
      <w:bookmarkStart w:id="11" w:name="_Toc286993786"/>
      <w:bookmarkStart w:id="12" w:name="_Toc283019214"/>
      <w:bookmarkStart w:id="13" w:name="_Toc239233914"/>
      <w:bookmarkStart w:id="14" w:name="_Toc225670751"/>
      <w:bookmarkStart w:id="15" w:name="_Toc211854449"/>
      <w:bookmarkStart w:id="16" w:name="_Toc238984975"/>
      <w:bookmarkStart w:id="17" w:name="_Toc247334841"/>
      <w:bookmarkStart w:id="18" w:name="_Toc239568418"/>
      <w:bookmarkStart w:id="19" w:name="_Toc282696226"/>
      <w:r>
        <w:rPr>
          <w:rFonts w:hint="eastAsia" w:ascii="宋体" w:hAnsi="宋体" w:eastAsia="宋体" w:cs="宋体"/>
          <w:b/>
          <w:color w:val="000000"/>
          <w:sz w:val="20"/>
          <w:szCs w:val="20"/>
          <w:highlight w:val="none"/>
        </w:rPr>
        <w:t>服务内容</w:t>
      </w:r>
    </w:p>
    <w:tbl>
      <w:tblPr>
        <w:tblStyle w:val="7"/>
        <w:tblW w:w="9916" w:type="dxa"/>
        <w:jc w:val="center"/>
        <w:tblLayout w:type="fixed"/>
        <w:tblCellMar>
          <w:top w:w="0" w:type="dxa"/>
          <w:left w:w="0" w:type="dxa"/>
          <w:bottom w:w="0" w:type="dxa"/>
          <w:right w:w="0" w:type="dxa"/>
        </w:tblCellMar>
      </w:tblPr>
      <w:tblGrid>
        <w:gridCol w:w="909"/>
        <w:gridCol w:w="2391"/>
        <w:gridCol w:w="880"/>
        <w:gridCol w:w="1555"/>
        <w:gridCol w:w="1658"/>
        <w:gridCol w:w="1482"/>
        <w:gridCol w:w="1041"/>
      </w:tblGrid>
      <w:tr w14:paraId="024E1B48">
        <w:tblPrEx>
          <w:tblCellMar>
            <w:top w:w="0" w:type="dxa"/>
            <w:left w:w="0" w:type="dxa"/>
            <w:bottom w:w="0" w:type="dxa"/>
            <w:right w:w="0" w:type="dxa"/>
          </w:tblCellMar>
        </w:tblPrEx>
        <w:trPr>
          <w:trHeight w:val="518"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E11D31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序号</w:t>
            </w: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EFCA0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项目</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E29F7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单位</w:t>
            </w: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D11E7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服务量</w:t>
            </w: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F8BE3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单价（元）</w:t>
            </w: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10DE96">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合计</w:t>
            </w: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E5E97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rPr>
            </w:pPr>
            <w:r>
              <w:rPr>
                <w:rFonts w:hint="eastAsia" w:ascii="宋体" w:hAnsi="宋体" w:eastAsia="宋体" w:cs="宋体"/>
                <w:b/>
                <w:i w:val="0"/>
                <w:color w:val="auto"/>
                <w:kern w:val="0"/>
                <w:sz w:val="20"/>
                <w:szCs w:val="20"/>
                <w:highlight w:val="none"/>
                <w:u w:val="none"/>
                <w:lang w:val="en-US" w:eastAsia="zh-CN" w:bidi="ar"/>
              </w:rPr>
              <w:t>备注</w:t>
            </w:r>
          </w:p>
        </w:tc>
      </w:tr>
      <w:tr w14:paraId="3D356624">
        <w:tblPrEx>
          <w:tblCellMar>
            <w:top w:w="0" w:type="dxa"/>
            <w:left w:w="0" w:type="dxa"/>
            <w:bottom w:w="0" w:type="dxa"/>
            <w:right w:w="0" w:type="dxa"/>
          </w:tblCellMar>
        </w:tblPrEx>
        <w:trPr>
          <w:trHeight w:val="518"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12BF6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0000FF"/>
                <w:sz w:val="20"/>
                <w:szCs w:val="20"/>
                <w:highlight w:val="none"/>
                <w:u w:val="none"/>
              </w:rPr>
            </w:pP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F255D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auto"/>
                <w:sz w:val="20"/>
                <w:szCs w:val="20"/>
                <w:highlight w:val="none"/>
                <w:u w:val="none"/>
                <w:lang w:eastAsia="zh-CN"/>
              </w:rPr>
            </w:pPr>
            <w:r>
              <w:rPr>
                <w:rFonts w:hint="eastAsia" w:ascii="宋体" w:hAnsi="宋体" w:eastAsia="宋体" w:cs="宋体"/>
                <w:b/>
                <w:i w:val="0"/>
                <w:color w:val="auto"/>
                <w:sz w:val="20"/>
                <w:szCs w:val="20"/>
                <w:highlight w:val="none"/>
                <w:u w:val="none"/>
                <w:lang w:eastAsia="zh-CN"/>
              </w:rPr>
              <w:t>……</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AD73A9">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B28F3B">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6329BF">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56340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i w:val="0"/>
                <w:color w:val="0000FF"/>
                <w:sz w:val="20"/>
                <w:szCs w:val="20"/>
                <w:highlight w:val="none"/>
                <w:u w:val="none"/>
              </w:rPr>
            </w:pP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14346C">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r>
      <w:tr w14:paraId="23EA8746">
        <w:tblPrEx>
          <w:tblCellMar>
            <w:top w:w="0" w:type="dxa"/>
            <w:left w:w="0" w:type="dxa"/>
            <w:bottom w:w="0" w:type="dxa"/>
            <w:right w:w="0" w:type="dxa"/>
          </w:tblCellMar>
        </w:tblPrEx>
        <w:trPr>
          <w:trHeight w:val="518"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18F3D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B9175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auto"/>
                <w:sz w:val="20"/>
                <w:szCs w:val="20"/>
                <w:highlight w:val="none"/>
                <w:u w:val="none"/>
                <w:lang w:eastAsia="zh-CN"/>
              </w:rPr>
            </w:pPr>
            <w:r>
              <w:rPr>
                <w:rFonts w:hint="eastAsia" w:ascii="宋体" w:hAnsi="宋体" w:eastAsia="宋体" w:cs="宋体"/>
                <w:i w:val="0"/>
                <w:color w:val="auto"/>
                <w:sz w:val="20"/>
                <w:szCs w:val="20"/>
                <w:highlight w:val="none"/>
                <w:u w:val="none"/>
                <w:lang w:eastAsia="zh-CN"/>
              </w:rPr>
              <w:t>……</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6B9D8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1B69A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73DB2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93DBD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900E80">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r>
      <w:tr w14:paraId="01E63C66">
        <w:tblPrEx>
          <w:tblCellMar>
            <w:top w:w="0" w:type="dxa"/>
            <w:left w:w="0" w:type="dxa"/>
            <w:bottom w:w="0" w:type="dxa"/>
            <w:right w:w="0" w:type="dxa"/>
          </w:tblCellMar>
        </w:tblPrEx>
        <w:trPr>
          <w:trHeight w:val="527" w:hRule="atLeast"/>
          <w:jc w:val="center"/>
        </w:trPr>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0DE48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23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522EEB">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auto"/>
                <w:sz w:val="20"/>
                <w:szCs w:val="20"/>
                <w:highlight w:val="none"/>
                <w:u w:val="none"/>
                <w:lang w:eastAsia="zh-CN"/>
              </w:rPr>
            </w:pPr>
            <w:r>
              <w:rPr>
                <w:rFonts w:hint="eastAsia" w:ascii="宋体" w:hAnsi="宋体" w:eastAsia="宋体" w:cs="宋体"/>
                <w:i w:val="0"/>
                <w:color w:val="auto"/>
                <w:sz w:val="20"/>
                <w:szCs w:val="20"/>
                <w:highlight w:val="none"/>
                <w:u w:val="none"/>
                <w:lang w:eastAsia="zh-CN"/>
              </w:rPr>
              <w:t>……</w:t>
            </w:r>
          </w:p>
        </w:tc>
        <w:tc>
          <w:tcPr>
            <w:tcW w:w="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04813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FBAAD0">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2521C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4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0FF17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color w:val="0000FF"/>
                <w:sz w:val="20"/>
                <w:szCs w:val="20"/>
                <w:highlight w:val="none"/>
                <w:u w:val="none"/>
              </w:rPr>
            </w:pPr>
          </w:p>
        </w:tc>
        <w:tc>
          <w:tcPr>
            <w:tcW w:w="10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8D9899">
            <w:pPr>
              <w:pageBreakBefore w:val="0"/>
              <w:kinsoku/>
              <w:wordWrap/>
              <w:overflowPunct/>
              <w:topLinePunct w:val="0"/>
              <w:autoSpaceDE/>
              <w:autoSpaceDN/>
              <w:bidi w:val="0"/>
              <w:snapToGrid/>
              <w:spacing w:line="360" w:lineRule="auto"/>
              <w:jc w:val="center"/>
              <w:rPr>
                <w:rFonts w:hint="eastAsia" w:ascii="宋体" w:hAnsi="宋体" w:eastAsia="宋体" w:cs="宋体"/>
                <w:i w:val="0"/>
                <w:color w:val="0000FF"/>
                <w:sz w:val="20"/>
                <w:szCs w:val="20"/>
                <w:highlight w:val="none"/>
                <w:u w:val="none"/>
              </w:rPr>
            </w:pPr>
          </w:p>
        </w:tc>
      </w:tr>
    </w:tbl>
    <w:p w14:paraId="7BD47A88">
      <w:pPr>
        <w:pageBreakBefore w:val="0"/>
        <w:numPr>
          <w:ilvl w:val="0"/>
          <w:numId w:val="1"/>
        </w:numPr>
        <w:kinsoku/>
        <w:wordWrap/>
        <w:overflowPunct/>
        <w:topLinePunct w:val="0"/>
        <w:autoSpaceDE/>
        <w:autoSpaceDN/>
        <w:bidi w:val="0"/>
        <w:snapToGrid/>
        <w:spacing w:before="120" w:beforeLines="50" w:after="120" w:afterLines="50" w:line="360" w:lineRule="auto"/>
        <w:ind w:left="1656" w:leftChars="0" w:hanging="1094" w:firstLineChars="0"/>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服务费用</w:t>
      </w:r>
    </w:p>
    <w:p w14:paraId="4C2878C7">
      <w:pPr>
        <w:pStyle w:val="2"/>
        <w:pageBreakBefore w:val="0"/>
        <w:kinsoku/>
        <w:wordWrap/>
        <w:overflowPunct/>
        <w:topLinePunct w:val="0"/>
        <w:autoSpaceDE/>
        <w:autoSpaceDN/>
        <w:bidi w:val="0"/>
        <w:snapToGrid/>
        <w:spacing w:before="0" w:after="0" w:line="360" w:lineRule="auto"/>
        <w:ind w:firstLine="392" w:firstLineChars="196"/>
        <w:rPr>
          <w:rFonts w:hint="eastAsia" w:ascii="宋体" w:hAnsi="宋体" w:eastAsia="宋体" w:cs="宋体"/>
          <w:b w:val="0"/>
          <w:color w:val="000000"/>
          <w:sz w:val="20"/>
          <w:szCs w:val="20"/>
          <w:highlight w:val="none"/>
        </w:rPr>
      </w:pPr>
      <w:r>
        <w:rPr>
          <w:rFonts w:hint="eastAsia" w:ascii="宋体" w:hAnsi="宋体" w:eastAsia="宋体" w:cs="宋体"/>
          <w:b w:val="0"/>
          <w:color w:val="000000"/>
          <w:sz w:val="20"/>
          <w:szCs w:val="20"/>
          <w:highlight w:val="none"/>
        </w:rPr>
        <w:t xml:space="preserve">  </w:t>
      </w:r>
      <w:bookmarkStart w:id="20" w:name="_Toc15645"/>
      <w:r>
        <w:rPr>
          <w:rFonts w:hint="eastAsia" w:ascii="宋体" w:hAnsi="宋体" w:eastAsia="宋体" w:cs="宋体"/>
          <w:b w:val="0"/>
          <w:color w:val="000000"/>
          <w:sz w:val="20"/>
          <w:szCs w:val="20"/>
          <w:highlight w:val="none"/>
        </w:rPr>
        <w:t>1.服务总费用为人民币（大写）：</w:t>
      </w:r>
      <w:r>
        <w:rPr>
          <w:rFonts w:hint="eastAsia" w:ascii="宋体" w:hAnsi="宋体" w:eastAsia="宋体" w:cs="宋体"/>
          <w:b w:val="0"/>
          <w:color w:val="000000"/>
          <w:sz w:val="20"/>
          <w:szCs w:val="20"/>
          <w:highlight w:val="none"/>
          <w:u w:val="single"/>
        </w:rPr>
        <w:t xml:space="preserve">             </w:t>
      </w:r>
      <w:r>
        <w:rPr>
          <w:rFonts w:hint="eastAsia" w:ascii="宋体" w:hAnsi="宋体" w:eastAsia="宋体" w:cs="宋体"/>
          <w:b w:val="0"/>
          <w:color w:val="000000"/>
          <w:sz w:val="20"/>
          <w:szCs w:val="20"/>
          <w:highlight w:val="none"/>
        </w:rPr>
        <w:t>元， ￥</w:t>
      </w:r>
      <w:r>
        <w:rPr>
          <w:rFonts w:hint="eastAsia" w:ascii="宋体" w:hAnsi="宋体" w:eastAsia="宋体" w:cs="宋体"/>
          <w:b w:val="0"/>
          <w:color w:val="000000"/>
          <w:sz w:val="20"/>
          <w:szCs w:val="20"/>
          <w:highlight w:val="none"/>
          <w:u w:val="single"/>
        </w:rPr>
        <w:t xml:space="preserve">           </w:t>
      </w:r>
      <w:r>
        <w:rPr>
          <w:rFonts w:hint="eastAsia" w:ascii="宋体" w:hAnsi="宋体" w:eastAsia="宋体" w:cs="宋体"/>
          <w:b w:val="0"/>
          <w:color w:val="000000"/>
          <w:sz w:val="20"/>
          <w:szCs w:val="20"/>
          <w:highlight w:val="none"/>
        </w:rPr>
        <w:t>。</w:t>
      </w:r>
      <w:bookmarkEnd w:id="20"/>
    </w:p>
    <w:p w14:paraId="20AA5957">
      <w:pPr>
        <w:pageBreakBefore w:val="0"/>
        <w:kinsoku/>
        <w:wordWrap/>
        <w:overflowPunct/>
        <w:topLinePunct w:val="0"/>
        <w:autoSpaceDE/>
        <w:autoSpaceDN/>
        <w:bidi w:val="0"/>
        <w:snapToGrid/>
        <w:spacing w:line="360" w:lineRule="auto"/>
        <w:ind w:firstLine="392" w:firstLineChars="196"/>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2.本项目服务费用由以下组成：</w:t>
      </w:r>
    </w:p>
    <w:p w14:paraId="2066DAE0">
      <w:pPr>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（1）XX万元；</w:t>
      </w:r>
    </w:p>
    <w:p w14:paraId="32B42149">
      <w:pPr>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（2）XX万元；</w:t>
      </w:r>
    </w:p>
    <w:p w14:paraId="6BBB35BD">
      <w:pPr>
        <w:pageBreakBefore w:val="0"/>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（3）XX万元。</w:t>
      </w:r>
    </w:p>
    <w:p w14:paraId="52B2268C">
      <w:pPr>
        <w:pageBreakBefore w:val="0"/>
        <w:kinsoku/>
        <w:wordWrap/>
        <w:overflowPunct/>
        <w:topLinePunct w:val="0"/>
        <w:autoSpaceDE/>
        <w:autoSpaceDN/>
        <w:bidi w:val="0"/>
        <w:snapToGrid/>
        <w:spacing w:line="360" w:lineRule="auto"/>
        <w:ind w:firstLine="500" w:firstLineChars="25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w:t>
      </w:r>
    </w:p>
    <w:p w14:paraId="71CAB366">
      <w:pPr>
        <w:pageBreakBefore w:val="0"/>
        <w:kinsoku/>
        <w:wordWrap/>
        <w:overflowPunct/>
        <w:topLinePunct w:val="0"/>
        <w:autoSpaceDE/>
        <w:autoSpaceDN/>
        <w:bidi w:val="0"/>
        <w:snapToGrid/>
        <w:spacing w:line="360" w:lineRule="auto"/>
        <w:ind w:firstLine="500" w:firstLineChars="250"/>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w:t>
      </w:r>
      <w:r>
        <w:rPr>
          <w:rFonts w:hint="eastAsia" w:ascii="宋体" w:hAnsi="宋体" w:eastAsia="宋体" w:cs="宋体"/>
          <w:color w:val="000000"/>
          <w:sz w:val="20"/>
          <w:szCs w:val="20"/>
          <w:highlight w:val="none"/>
        </w:rPr>
        <w:t>.本合同执行期间各项单价不变，甲方根据实际发生量和考核结果支付合同款项。</w:t>
      </w:r>
    </w:p>
    <w:p w14:paraId="078D5956">
      <w:pPr>
        <w:pageBreakBefore w:val="0"/>
        <w:kinsoku/>
        <w:wordWrap/>
        <w:overflowPunct/>
        <w:topLinePunct w:val="0"/>
        <w:autoSpaceDE/>
        <w:autoSpaceDN/>
        <w:bidi w:val="0"/>
        <w:snapToGrid/>
        <w:spacing w:before="120" w:beforeLines="50" w:after="120" w:afterLines="50" w:line="360" w:lineRule="auto"/>
        <w:ind w:firstLine="394" w:firstLineChars="196"/>
        <w:outlineLvl w:val="1"/>
        <w:rPr>
          <w:rFonts w:hint="eastAsia" w:ascii="宋体" w:hAnsi="宋体" w:eastAsia="宋体" w:cs="宋体"/>
          <w:b/>
          <w:color w:val="000000"/>
          <w:sz w:val="20"/>
          <w:szCs w:val="20"/>
          <w:highlight w:val="none"/>
        </w:rPr>
      </w:pPr>
      <w:bookmarkStart w:id="21" w:name="_Toc28709"/>
      <w:r>
        <w:rPr>
          <w:rFonts w:hint="eastAsia" w:ascii="宋体" w:hAnsi="宋体" w:eastAsia="宋体" w:cs="宋体"/>
          <w:b/>
          <w:color w:val="000000"/>
          <w:sz w:val="20"/>
          <w:szCs w:val="20"/>
          <w:highlight w:val="none"/>
        </w:rPr>
        <w:t>第五条  服务费支付方式</w:t>
      </w:r>
      <w:bookmarkEnd w:id="21"/>
    </w:p>
    <w:p w14:paraId="50F8D2FE">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付款比例：合同签订生效后，达到付款条件起 10 日内，支付合同总金额的 50.00%，剩余资金按照养护进度按月支付，达到付款条件之日起，每月支付12.5%</w:t>
      </w:r>
      <w:r>
        <w:rPr>
          <w:rFonts w:hint="eastAsia" w:ascii="宋体" w:hAnsi="宋体" w:eastAsia="宋体" w:cs="宋体"/>
          <w:color w:val="000000"/>
          <w:sz w:val="20"/>
          <w:szCs w:val="20"/>
          <w:highlight w:val="none"/>
        </w:rPr>
        <w:t>。</w:t>
      </w:r>
    </w:p>
    <w:p w14:paraId="5D02F776">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结算方式：银行转账。</w:t>
      </w:r>
    </w:p>
    <w:p w14:paraId="70283FD6">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结算单位：由甲方负责结算，乙方开具合同总价数的全额发票交甲方。</w:t>
      </w:r>
    </w:p>
    <w:p w14:paraId="6688603F">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2" w:name="_Toc18386"/>
      <w:r>
        <w:rPr>
          <w:rFonts w:hint="eastAsia" w:ascii="宋体" w:hAnsi="宋体" w:eastAsia="宋体" w:cs="宋体"/>
          <w:b/>
          <w:color w:val="000000"/>
          <w:sz w:val="20"/>
          <w:szCs w:val="20"/>
          <w:highlight w:val="none"/>
        </w:rPr>
        <w:t>第六条   考核与奖惩原则</w:t>
      </w:r>
      <w:bookmarkEnd w:id="22"/>
    </w:p>
    <w:p w14:paraId="1DB5124F">
      <w:pPr>
        <w:keepNext w:val="0"/>
        <w:keepLines w:val="0"/>
        <w:pageBreakBefore w:val="0"/>
        <w:kinsoku/>
        <w:wordWrap/>
        <w:overflowPunct/>
        <w:topLinePunct w:val="0"/>
        <w:autoSpaceDE/>
        <w:autoSpaceDN/>
        <w:bidi w:val="0"/>
        <w:snapToGrid/>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1.本项目履行期间，对乙方依照养护内容、要求及标准由甲方组织相关人员进行考核，考核每月进行一次，考核时间为次月的第一周，考核以本项目招标文件“第五章 ”中的服务内容及标准为依据，采用打分的形式（百分制），考核结果由乙方与甲方签字确认（月度考核表及月度考核汇总表见附件）。</w:t>
      </w:r>
    </w:p>
    <w:p w14:paraId="30C44254">
      <w:pPr>
        <w:keepNext w:val="0"/>
        <w:keepLines w:val="0"/>
        <w:pageBreakBefore w:val="0"/>
        <w:kinsoku/>
        <w:wordWrap/>
        <w:overflowPunct/>
        <w:topLinePunct w:val="0"/>
        <w:autoSpaceDE/>
        <w:autoSpaceDN/>
        <w:bidi w:val="0"/>
        <w:snapToGrid/>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2.考核结果分为A、B、C、D四级，100分-90分为A，89分-80</w:t>
      </w:r>
      <w:r>
        <w:rPr>
          <w:rFonts w:hint="eastAsia" w:ascii="宋体" w:hAnsi="宋体" w:eastAsia="宋体" w:cs="宋体"/>
          <w:color w:val="000000"/>
          <w:sz w:val="20"/>
          <w:szCs w:val="20"/>
          <w:highlight w:val="none"/>
        </w:rPr>
        <w:t>分</w:t>
      </w:r>
      <w:r>
        <w:rPr>
          <w:rFonts w:hint="eastAsia" w:ascii="宋体" w:hAnsi="宋体" w:eastAsia="宋体" w:cs="宋体"/>
          <w:color w:val="000000"/>
          <w:sz w:val="20"/>
          <w:szCs w:val="20"/>
          <w:highlight w:val="none"/>
          <w:lang w:val="en-US" w:eastAsia="zh-CN"/>
        </w:rPr>
        <w:t>为B，79</w:t>
      </w:r>
      <w:r>
        <w:rPr>
          <w:rFonts w:hint="eastAsia" w:ascii="宋体" w:hAnsi="宋体" w:eastAsia="宋体" w:cs="宋体"/>
          <w:color w:val="000000"/>
          <w:sz w:val="20"/>
          <w:szCs w:val="20"/>
          <w:highlight w:val="none"/>
        </w:rPr>
        <w:t>分</w:t>
      </w:r>
      <w:r>
        <w:rPr>
          <w:rFonts w:hint="eastAsia" w:ascii="宋体" w:hAnsi="宋体" w:eastAsia="宋体" w:cs="宋体"/>
          <w:color w:val="000000"/>
          <w:sz w:val="20"/>
          <w:szCs w:val="20"/>
          <w:highlight w:val="none"/>
          <w:lang w:val="en-US" w:eastAsia="zh-CN"/>
        </w:rPr>
        <w:t>-70</w:t>
      </w:r>
      <w:r>
        <w:rPr>
          <w:rFonts w:hint="eastAsia" w:ascii="宋体" w:hAnsi="宋体" w:eastAsia="宋体" w:cs="宋体"/>
          <w:color w:val="000000"/>
          <w:sz w:val="20"/>
          <w:szCs w:val="20"/>
          <w:highlight w:val="none"/>
        </w:rPr>
        <w:t>分</w:t>
      </w:r>
      <w:r>
        <w:rPr>
          <w:rFonts w:hint="eastAsia" w:ascii="宋体" w:hAnsi="宋体" w:eastAsia="宋体" w:cs="宋体"/>
          <w:color w:val="000000"/>
          <w:sz w:val="20"/>
          <w:szCs w:val="20"/>
          <w:highlight w:val="none"/>
          <w:lang w:val="en-US" w:eastAsia="zh-CN"/>
        </w:rPr>
        <w:t>分为C，70分以下为D。甲方根据考核结果按相应比例计算后支付服务费，考核结果为A足额支付当月服务费，考核结果为B支付当月服务费的95%，考核结果为C支付当月服务费的90%，考核结果为D支付当月服务费的80%。</w:t>
      </w:r>
    </w:p>
    <w:p w14:paraId="46188245">
      <w:pPr>
        <w:keepNext w:val="0"/>
        <w:keepLines w:val="0"/>
        <w:pageBreakBefore w:val="0"/>
        <w:kinsoku/>
        <w:wordWrap/>
        <w:overflowPunct/>
        <w:topLinePunct w:val="0"/>
        <w:autoSpaceDE/>
        <w:autoSpaceDN/>
        <w:bidi w:val="0"/>
        <w:snapToGrid/>
        <w:spacing w:line="360" w:lineRule="auto"/>
        <w:ind w:firstLine="400" w:firstLineChars="200"/>
        <w:textAlignment w:val="auto"/>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lang w:val="en-US" w:eastAsia="zh-CN"/>
        </w:rPr>
        <w:t>3.合同期内月度考核连续两次或累计三次考核结果为D，甲方有权无条件提前终止合同，并由乙方承担提前终止合同造成的一切损失。</w:t>
      </w:r>
    </w:p>
    <w:p w14:paraId="4516221F">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3" w:name="_Toc23023"/>
      <w:r>
        <w:rPr>
          <w:rFonts w:hint="eastAsia" w:ascii="宋体" w:hAnsi="宋体" w:eastAsia="宋体" w:cs="宋体"/>
          <w:b/>
          <w:color w:val="000000"/>
          <w:sz w:val="20"/>
          <w:szCs w:val="20"/>
          <w:highlight w:val="none"/>
        </w:rPr>
        <w:t>第七条  无产权瑕疵条款</w:t>
      </w:r>
      <w:bookmarkEnd w:id="23"/>
    </w:p>
    <w:p w14:paraId="6EA59684">
      <w:pPr>
        <w:pageBreakBefore w:val="0"/>
        <w:tabs>
          <w:tab w:val="left" w:pos="144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乙方保证所提供的服务的所有权完全属于乙方且无任何抵押、查封等产权瑕疵。如有产权瑕疵的，视为乙方违约。乙方应负担由此而产生的一切损失。</w:t>
      </w:r>
    </w:p>
    <w:p w14:paraId="10ED7FE0">
      <w:pPr>
        <w:pageBreakBefore w:val="0"/>
        <w:widowControl/>
        <w:kinsoku/>
        <w:wordWrap/>
        <w:overflowPunct/>
        <w:topLinePunct w:val="0"/>
        <w:autoSpaceDE/>
        <w:autoSpaceDN/>
        <w:bidi w:val="0"/>
        <w:snapToGrid/>
        <w:spacing w:before="120" w:beforeLines="50" w:after="120" w:afterLines="50" w:line="360" w:lineRule="auto"/>
        <w:jc w:val="left"/>
        <w:outlineLvl w:val="1"/>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 xml:space="preserve">   </w:t>
      </w:r>
      <w:bookmarkStart w:id="24" w:name="_Toc21980"/>
      <w:r>
        <w:rPr>
          <w:rFonts w:hint="eastAsia" w:ascii="宋体" w:hAnsi="宋体" w:eastAsia="宋体" w:cs="宋体"/>
          <w:b/>
          <w:color w:val="000000"/>
          <w:sz w:val="20"/>
          <w:szCs w:val="20"/>
          <w:highlight w:val="none"/>
        </w:rPr>
        <w:t>第八条   履约保证金</w:t>
      </w:r>
      <w:bookmarkEnd w:id="24"/>
    </w:p>
    <w:p w14:paraId="401E496E">
      <w:pPr>
        <w:pageBreakBefore w:val="0"/>
        <w:widowControl/>
        <w:kinsoku/>
        <w:wordWrap/>
        <w:overflowPunct/>
        <w:topLinePunct w:val="0"/>
        <w:autoSpaceDE/>
        <w:autoSpaceDN/>
        <w:bidi w:val="0"/>
        <w:snapToGrid/>
        <w:spacing w:line="360" w:lineRule="auto"/>
        <w:ind w:firstLine="400" w:firstLineChars="200"/>
        <w:jc w:val="left"/>
        <w:rPr>
          <w:rFonts w:hint="eastAsia" w:ascii="宋体" w:hAnsi="宋体" w:eastAsia="宋体" w:cs="宋体"/>
          <w:b/>
          <w:color w:val="000000"/>
          <w:sz w:val="20"/>
          <w:szCs w:val="20"/>
          <w:highlight w:val="none"/>
        </w:rPr>
      </w:pPr>
      <w:r>
        <w:rPr>
          <w:rFonts w:hint="eastAsia" w:ascii="宋体" w:hAnsi="宋体" w:eastAsia="宋体" w:cs="宋体"/>
          <w:color w:val="000000"/>
          <w:kern w:val="0"/>
          <w:sz w:val="20"/>
          <w:szCs w:val="20"/>
          <w:highlight w:val="none"/>
        </w:rPr>
        <w:t>1.乙方在签订本合同之前，向甲方构提交履约保证金人民币（大写）</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u w:val="single"/>
          <w:lang w:val="en-US" w:eastAsia="zh-CN"/>
        </w:rPr>
        <w:t>/</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rPr>
        <w:t>元，￥</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u w:val="single"/>
          <w:lang w:val="en-US" w:eastAsia="zh-CN"/>
        </w:rPr>
        <w:t>/</w:t>
      </w:r>
      <w:r>
        <w:rPr>
          <w:rFonts w:hint="eastAsia" w:ascii="宋体" w:hAnsi="宋体" w:eastAsia="宋体" w:cs="宋体"/>
          <w:color w:val="000000"/>
          <w:kern w:val="0"/>
          <w:sz w:val="20"/>
          <w:szCs w:val="20"/>
          <w:highlight w:val="none"/>
          <w:u w:val="single"/>
        </w:rPr>
        <w:t xml:space="preserve">  </w:t>
      </w:r>
      <w:r>
        <w:rPr>
          <w:rFonts w:hint="eastAsia" w:ascii="宋体" w:hAnsi="宋体" w:eastAsia="宋体" w:cs="宋体"/>
          <w:color w:val="000000"/>
          <w:kern w:val="0"/>
          <w:sz w:val="20"/>
          <w:szCs w:val="20"/>
          <w:highlight w:val="none"/>
        </w:rPr>
        <w:t>。</w:t>
      </w:r>
    </w:p>
    <w:p w14:paraId="4BF8B52C">
      <w:pPr>
        <w:pageBreakBefore w:val="0"/>
        <w:widowControl/>
        <w:kinsoku/>
        <w:wordWrap/>
        <w:overflowPunct/>
        <w:topLinePunct w:val="0"/>
        <w:autoSpaceDE/>
        <w:autoSpaceDN/>
        <w:bidi w:val="0"/>
        <w:snapToGrid/>
        <w:spacing w:line="360" w:lineRule="auto"/>
        <w:ind w:firstLine="400" w:firstLineChars="200"/>
        <w:jc w:val="left"/>
        <w:rPr>
          <w:rFonts w:hint="eastAsia" w:ascii="宋体" w:hAnsi="宋体" w:eastAsia="宋体" w:cs="宋体"/>
          <w:color w:val="000000"/>
          <w:kern w:val="0"/>
          <w:sz w:val="20"/>
          <w:szCs w:val="20"/>
          <w:highlight w:val="none"/>
        </w:rPr>
      </w:pPr>
      <w:r>
        <w:rPr>
          <w:rFonts w:hint="eastAsia" w:ascii="宋体" w:hAnsi="宋体" w:eastAsia="宋体" w:cs="宋体"/>
          <w:bCs/>
          <w:color w:val="000000"/>
          <w:sz w:val="20"/>
          <w:szCs w:val="20"/>
          <w:highlight w:val="none"/>
        </w:rPr>
        <w:t>2.</w:t>
      </w:r>
      <w:r>
        <w:rPr>
          <w:rFonts w:hint="eastAsia" w:ascii="宋体" w:hAnsi="宋体" w:eastAsia="宋体" w:cs="宋体"/>
          <w:color w:val="000000"/>
          <w:kern w:val="0"/>
          <w:sz w:val="20"/>
          <w:szCs w:val="20"/>
          <w:highlight w:val="none"/>
        </w:rPr>
        <w:t>履约保证金的有效期为乙方承诺的服务期限。</w:t>
      </w:r>
    </w:p>
    <w:p w14:paraId="36B0BECD">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3.履约保证金作为违约金的一部分及用于补偿甲方因乙方不能履行合同义务而蒙受的损失。</w:t>
      </w:r>
    </w:p>
    <w:p w14:paraId="4473FA51">
      <w:pPr>
        <w:pageBreakBefore w:val="0"/>
        <w:widowControl/>
        <w:kinsoku/>
        <w:wordWrap/>
        <w:overflowPunct/>
        <w:topLinePunct w:val="0"/>
        <w:autoSpaceDE/>
        <w:autoSpaceDN/>
        <w:bidi w:val="0"/>
        <w:snapToGrid/>
        <w:spacing w:line="360" w:lineRule="auto"/>
        <w:ind w:firstLine="400" w:firstLineChars="200"/>
        <w:jc w:val="left"/>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r>
        <w:rPr>
          <w:rFonts w:hint="eastAsia" w:ascii="宋体" w:hAnsi="宋体" w:eastAsia="宋体" w:cs="宋体"/>
          <w:color w:val="000000"/>
          <w:sz w:val="20"/>
          <w:szCs w:val="20"/>
          <w:highlight w:val="none"/>
        </w:rPr>
        <w:t>服务期限结束后，甲方财务部门接到甲方确认本合同服务等约定事项已经履行完毕的正式书面文件后的</w:t>
      </w:r>
      <w:r>
        <w:rPr>
          <w:rFonts w:hint="eastAsia" w:ascii="宋体" w:hAnsi="宋体" w:eastAsia="宋体" w:cs="宋体"/>
          <w:color w:val="000000"/>
          <w:sz w:val="20"/>
          <w:szCs w:val="20"/>
          <w:highlight w:val="none"/>
          <w:lang w:val="en-US" w:eastAsia="zh-CN"/>
        </w:rPr>
        <w:t>7</w:t>
      </w:r>
      <w:r>
        <w:rPr>
          <w:rFonts w:hint="eastAsia" w:ascii="宋体" w:hAnsi="宋体" w:eastAsia="宋体" w:cs="宋体"/>
          <w:color w:val="000000"/>
          <w:sz w:val="20"/>
          <w:szCs w:val="20"/>
          <w:highlight w:val="none"/>
        </w:rPr>
        <w:t>日内，向乙方退还履约保证金。</w:t>
      </w:r>
    </w:p>
    <w:p w14:paraId="760ACDB2">
      <w:pPr>
        <w:pageBreakBefore w:val="0"/>
        <w:widowControl/>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color w:val="000000"/>
          <w:sz w:val="20"/>
          <w:szCs w:val="20"/>
          <w:highlight w:val="none"/>
        </w:rPr>
        <w:t>5.乙方可以履约担保函的形式交纳履约保证金（格式见附件1）。</w:t>
      </w:r>
    </w:p>
    <w:p w14:paraId="4B9C1890">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5" w:name="_Toc4663"/>
      <w:r>
        <w:rPr>
          <w:rFonts w:hint="eastAsia" w:ascii="宋体" w:hAnsi="宋体" w:eastAsia="宋体" w:cs="宋体"/>
          <w:b/>
          <w:color w:val="000000"/>
          <w:sz w:val="20"/>
          <w:szCs w:val="20"/>
          <w:highlight w:val="none"/>
        </w:rPr>
        <w:t>第九条  甲方的权利和义务</w:t>
      </w:r>
      <w:bookmarkEnd w:id="25"/>
    </w:p>
    <w:p w14:paraId="16FFB266">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13AFFB8">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2.甲方有权依据双方签订的考评办法对乙方提供的服务进行定期考评。当考评结果未达到标准时，有权依据考评办法约定的数额扣除履约保证金。</w:t>
      </w:r>
    </w:p>
    <w:p w14:paraId="56B14258">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3.负责检查监督乙方管理工作的实施及制度的执行情况。</w:t>
      </w:r>
    </w:p>
    <w:p w14:paraId="4CC0C285">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4.根据本合同规定，按时向乙方支付应付服务费用。</w:t>
      </w:r>
    </w:p>
    <w:p w14:paraId="765322D8">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5.国家法律、法规所规定由甲方承担的其它责任。</w:t>
      </w:r>
    </w:p>
    <w:p w14:paraId="773F901E">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6" w:name="_Toc14322"/>
      <w:r>
        <w:rPr>
          <w:rFonts w:hint="eastAsia" w:ascii="宋体" w:hAnsi="宋体" w:eastAsia="宋体" w:cs="宋体"/>
          <w:b/>
          <w:color w:val="000000"/>
          <w:sz w:val="20"/>
          <w:szCs w:val="20"/>
          <w:highlight w:val="none"/>
        </w:rPr>
        <w:t>第十条  乙方的权利和义务</w:t>
      </w:r>
      <w:bookmarkEnd w:id="26"/>
    </w:p>
    <w:p w14:paraId="20C413E6">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1.对本合同规定的委托服务范围内的项目享有管理权及服务义务。</w:t>
      </w:r>
    </w:p>
    <w:p w14:paraId="7D24DF32">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2.根据本合同的规定向甲方收取相关服务费用，并有权在本项目管理范围内管理及合理使用。</w:t>
      </w:r>
    </w:p>
    <w:p w14:paraId="79DA8FA2">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color w:val="000000"/>
          <w:sz w:val="20"/>
          <w:szCs w:val="20"/>
          <w:highlight w:val="none"/>
          <w:lang w:val="en-US" w:eastAsia="zh-CN"/>
        </w:rPr>
      </w:pPr>
      <w:r>
        <w:rPr>
          <w:rFonts w:hint="eastAsia" w:ascii="宋体" w:hAnsi="宋体" w:eastAsia="宋体" w:cs="宋体"/>
          <w:color w:val="000000"/>
          <w:sz w:val="20"/>
          <w:szCs w:val="20"/>
          <w:highlight w:val="none"/>
        </w:rPr>
        <w:t>3.</w:t>
      </w:r>
      <w:r>
        <w:rPr>
          <w:rFonts w:hint="eastAsia" w:ascii="宋体" w:hAnsi="宋体" w:eastAsia="宋体" w:cs="宋体"/>
          <w:color w:val="000000"/>
          <w:sz w:val="20"/>
          <w:szCs w:val="20"/>
          <w:highlight w:val="none"/>
          <w:lang w:val="en-US" w:eastAsia="zh-CN"/>
        </w:rPr>
        <w:t>合同履行期间设置专门的农民工工资账户，及时足额支付农民工工资，不得拖欠、扣留等。</w:t>
      </w:r>
    </w:p>
    <w:p w14:paraId="24623AF7">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4</w:t>
      </w:r>
      <w:r>
        <w:rPr>
          <w:rFonts w:hint="eastAsia" w:ascii="宋体" w:hAnsi="宋体" w:eastAsia="宋体" w:cs="宋体"/>
          <w:color w:val="000000"/>
          <w:sz w:val="20"/>
          <w:szCs w:val="20"/>
          <w:highlight w:val="none"/>
        </w:rPr>
        <w:t>及时向甲方通告本项目服务范围内有关服务的重大事项，及时配合处理投诉。</w:t>
      </w:r>
    </w:p>
    <w:p w14:paraId="516EB8A2">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color w:val="000000"/>
          <w:sz w:val="20"/>
          <w:szCs w:val="20"/>
          <w:highlight w:val="none"/>
          <w:lang w:val="en-US" w:eastAsia="zh-CN"/>
        </w:rPr>
        <w:t>5</w:t>
      </w:r>
      <w:r>
        <w:rPr>
          <w:rFonts w:hint="eastAsia" w:ascii="宋体" w:hAnsi="宋体" w:eastAsia="宋体" w:cs="宋体"/>
          <w:color w:val="000000"/>
          <w:sz w:val="20"/>
          <w:szCs w:val="20"/>
          <w:highlight w:val="none"/>
        </w:rPr>
        <w:t>.</w:t>
      </w:r>
      <w:r>
        <w:rPr>
          <w:rFonts w:hint="eastAsia" w:ascii="宋体" w:hAnsi="宋体" w:eastAsia="宋体" w:cs="宋体"/>
          <w:bCs/>
          <w:color w:val="000000"/>
          <w:sz w:val="20"/>
          <w:szCs w:val="20"/>
          <w:highlight w:val="none"/>
        </w:rPr>
        <w:t>接受项目行业管理部门及政府有关部门的指导，接受甲方的监督。</w:t>
      </w:r>
    </w:p>
    <w:p w14:paraId="6C8CC319">
      <w:pPr>
        <w:pageBreakBefore w:val="0"/>
        <w:kinsoku/>
        <w:wordWrap/>
        <w:overflowPunct/>
        <w:topLinePunct w:val="0"/>
        <w:autoSpaceDE/>
        <w:autoSpaceDN/>
        <w:bidi w:val="0"/>
        <w:adjustRightInd w:val="0"/>
        <w:snapToGrid/>
        <w:spacing w:line="360" w:lineRule="auto"/>
        <w:ind w:firstLine="400" w:firstLineChars="200"/>
        <w:jc w:val="left"/>
        <w:textAlignment w:val="baseline"/>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lang w:val="en-US" w:eastAsia="zh-CN"/>
        </w:rPr>
        <w:t>6</w:t>
      </w:r>
      <w:r>
        <w:rPr>
          <w:rFonts w:hint="eastAsia" w:ascii="宋体" w:hAnsi="宋体" w:eastAsia="宋体" w:cs="宋体"/>
          <w:bCs/>
          <w:color w:val="000000"/>
          <w:sz w:val="20"/>
          <w:szCs w:val="20"/>
          <w:highlight w:val="none"/>
        </w:rPr>
        <w:t>.国家法律、法规所规定由乙方承担的其它责任。</w:t>
      </w:r>
    </w:p>
    <w:p w14:paraId="6315122A">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7" w:name="_Toc13514"/>
      <w:r>
        <w:rPr>
          <w:rFonts w:hint="eastAsia" w:ascii="宋体" w:hAnsi="宋体" w:eastAsia="宋体" w:cs="宋体"/>
          <w:b/>
          <w:color w:val="000000"/>
          <w:sz w:val="20"/>
          <w:szCs w:val="20"/>
          <w:highlight w:val="none"/>
        </w:rPr>
        <w:t>第十一条  违约责任</w:t>
      </w:r>
      <w:bookmarkEnd w:id="27"/>
    </w:p>
    <w:p w14:paraId="4BA81158">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按《中华人民共和国民法典》第三编中的相关条款执行。</w:t>
      </w:r>
    </w:p>
    <w:p w14:paraId="053825DE">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w:t>
      </w:r>
      <w:r>
        <w:rPr>
          <w:rFonts w:hint="eastAsia" w:ascii="宋体" w:hAnsi="宋体" w:eastAsia="宋体" w:cs="宋体"/>
          <w:bCs/>
          <w:color w:val="000000"/>
          <w:sz w:val="20"/>
          <w:szCs w:val="20"/>
          <w:highlight w:val="none"/>
          <w:lang w:eastAsia="zh-CN"/>
        </w:rPr>
        <w:t>.</w:t>
      </w:r>
      <w:r>
        <w:rPr>
          <w:rFonts w:hint="eastAsia" w:ascii="宋体" w:hAnsi="宋体" w:eastAsia="宋体" w:cs="宋体"/>
          <w:bCs/>
          <w:color w:val="000000"/>
          <w:sz w:val="20"/>
          <w:szCs w:val="20"/>
          <w:highlight w:val="none"/>
        </w:rPr>
        <w:t>乙方履约延误</w:t>
      </w:r>
    </w:p>
    <w:p w14:paraId="18DC9983">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2-1</w:t>
      </w:r>
      <w:r>
        <w:rPr>
          <w:rFonts w:hint="eastAsia" w:ascii="宋体" w:hAnsi="宋体" w:eastAsia="宋体" w:cs="宋体"/>
          <w:bCs/>
          <w:color w:val="000000"/>
          <w:sz w:val="20"/>
          <w:szCs w:val="20"/>
          <w:highlight w:val="none"/>
          <w:lang w:val="en-US" w:eastAsia="zh-CN"/>
        </w:rPr>
        <w:t>.</w:t>
      </w:r>
      <w:r>
        <w:rPr>
          <w:rFonts w:hint="eastAsia" w:ascii="宋体" w:hAnsi="宋体" w:eastAsia="宋体" w:cs="宋体"/>
          <w:bCs/>
          <w:color w:val="000000"/>
          <w:sz w:val="20"/>
          <w:szCs w:val="20"/>
          <w:highlight w:val="none"/>
        </w:rPr>
        <w:t>如乙方事先未征得甲方同意并得到甲方的谅解而单方面延迟交货，将按违约终止合同。</w:t>
      </w:r>
    </w:p>
    <w:p w14:paraId="58D4588A">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2-2</w:t>
      </w:r>
      <w:r>
        <w:rPr>
          <w:rFonts w:hint="eastAsia" w:ascii="宋体" w:hAnsi="宋体" w:eastAsia="宋体" w:cs="宋体"/>
          <w:bCs/>
          <w:color w:val="000000"/>
          <w:sz w:val="20"/>
          <w:szCs w:val="20"/>
          <w:highlight w:val="none"/>
          <w:lang w:val="en-US" w:eastAsia="zh-CN"/>
        </w:rPr>
        <w:t>.</w:t>
      </w:r>
      <w:r>
        <w:rPr>
          <w:rFonts w:hint="eastAsia" w:ascii="宋体" w:hAnsi="宋体" w:eastAsia="宋体" w:cs="宋体"/>
          <w:bCs/>
          <w:color w:val="000000"/>
          <w:sz w:val="20"/>
          <w:szCs w:val="20"/>
          <w:highlight w:val="none"/>
        </w:rPr>
        <w:t>在履行合同过程中，乙方不能按时管理（除不可抗力及甲方同意的原因顺延外）或未按技术规范进行维护管理，经甲方通知而未在甲方指定时间整改，每延误一天，应按合同总价款的千分之五向甲方支付违约金，延误超过 5天的，甲方有权单方解除本合同，乙方应向甲方支付合同总价20%的违约金。</w:t>
      </w:r>
    </w:p>
    <w:p w14:paraId="2871A4F7">
      <w:pPr>
        <w:pageBreakBefore w:val="0"/>
        <w:kinsoku/>
        <w:wordWrap/>
        <w:overflowPunct/>
        <w:topLinePunct w:val="0"/>
        <w:autoSpaceDE/>
        <w:autoSpaceDN/>
        <w:bidi w:val="0"/>
        <w:snapToGrid/>
        <w:spacing w:line="360" w:lineRule="auto"/>
        <w:ind w:firstLine="400" w:firstLineChars="200"/>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2-3</w:t>
      </w:r>
      <w:r>
        <w:rPr>
          <w:rFonts w:hint="eastAsia" w:ascii="宋体" w:hAnsi="宋体" w:eastAsia="宋体" w:cs="宋体"/>
          <w:bCs/>
          <w:color w:val="000000"/>
          <w:sz w:val="20"/>
          <w:szCs w:val="20"/>
          <w:highlight w:val="none"/>
          <w:lang w:val="en-US" w:eastAsia="zh-CN"/>
        </w:rPr>
        <w:t>.</w:t>
      </w:r>
      <w:r>
        <w:rPr>
          <w:rFonts w:hint="eastAsia" w:ascii="宋体" w:hAnsi="宋体" w:eastAsia="宋体" w:cs="宋体"/>
          <w:bCs/>
          <w:color w:val="000000"/>
          <w:sz w:val="20"/>
          <w:szCs w:val="20"/>
          <w:highlight w:val="none"/>
        </w:rPr>
        <w:t>乙方违反本协议规定，造成损失、设施遭到破坏的，甲方将根据情节和造成的损失大小，给予乙方扣发管护费，赔偿一切经济损失等处罚或者解除协议</w:t>
      </w:r>
    </w:p>
    <w:p w14:paraId="6D90E758">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28" w:name="_Toc14551"/>
      <w:r>
        <w:rPr>
          <w:rFonts w:hint="eastAsia" w:ascii="宋体" w:hAnsi="宋体" w:eastAsia="宋体" w:cs="宋体"/>
          <w:b/>
          <w:color w:val="000000"/>
          <w:sz w:val="20"/>
          <w:szCs w:val="20"/>
          <w:highlight w:val="none"/>
        </w:rPr>
        <w:t>第十二条  不可抗力事件处理</w:t>
      </w:r>
      <w:bookmarkEnd w:id="28"/>
    </w:p>
    <w:p w14:paraId="73935CD2">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1.在合同有效期内，任何一方因不可抗力事件导致不能履行合同，则合同履行期可延长，其延长期与不可抗力影响期相同。</w:t>
      </w:r>
    </w:p>
    <w:p w14:paraId="45DECC8B">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2.不可抗力事件发生后，应立即通知对方，并寄送有关权威机构出具的证明。</w:t>
      </w:r>
    </w:p>
    <w:p w14:paraId="3FC3F5FF">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3.不可抗力事件延续</w:t>
      </w:r>
      <w:r>
        <w:rPr>
          <w:rFonts w:hint="eastAsia" w:ascii="宋体" w:hAnsi="宋体" w:eastAsia="宋体" w:cs="宋体"/>
          <w:color w:val="000000"/>
          <w:sz w:val="20"/>
          <w:szCs w:val="20"/>
          <w:highlight w:val="none"/>
          <w:lang w:val="en-US" w:eastAsia="zh-CN"/>
        </w:rPr>
        <w:t>60</w:t>
      </w:r>
      <w:r>
        <w:rPr>
          <w:rFonts w:hint="eastAsia" w:ascii="宋体" w:hAnsi="宋体" w:eastAsia="宋体" w:cs="宋体"/>
          <w:color w:val="000000"/>
          <w:sz w:val="20"/>
          <w:szCs w:val="20"/>
          <w:highlight w:val="none"/>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6D9D7C0D">
      <w:pPr>
        <w:pageBreakBefore w:val="0"/>
        <w:widowControl/>
        <w:kinsoku/>
        <w:wordWrap/>
        <w:overflowPunct/>
        <w:topLinePunct w:val="0"/>
        <w:autoSpaceDE/>
        <w:autoSpaceDN/>
        <w:bidi w:val="0"/>
        <w:snapToGrid/>
        <w:spacing w:before="120" w:beforeLines="50" w:after="120" w:afterLines="50" w:line="360" w:lineRule="auto"/>
        <w:jc w:val="left"/>
        <w:outlineLvl w:val="1"/>
        <w:rPr>
          <w:rFonts w:hint="eastAsia" w:ascii="宋体" w:hAnsi="宋体" w:eastAsia="宋体" w:cs="宋体"/>
          <w:color w:val="000000"/>
          <w:kern w:val="0"/>
          <w:sz w:val="20"/>
          <w:szCs w:val="20"/>
          <w:highlight w:val="none"/>
        </w:rPr>
      </w:pPr>
      <w:bookmarkStart w:id="29" w:name="_Toc247334846"/>
      <w:bookmarkStart w:id="30" w:name="_Toc211854454"/>
      <w:bookmarkStart w:id="31" w:name="_Toc286993792"/>
      <w:bookmarkStart w:id="32" w:name="_Toc239568423"/>
      <w:bookmarkStart w:id="33" w:name="_Toc239233919"/>
      <w:bookmarkStart w:id="34" w:name="_Toc238984980"/>
      <w:bookmarkStart w:id="35" w:name="_Toc237145411"/>
      <w:bookmarkStart w:id="36" w:name="_Toc225670756"/>
      <w:bookmarkStart w:id="37" w:name="_Toc232492933"/>
      <w:bookmarkStart w:id="38" w:name="_Toc225654649"/>
      <w:bookmarkStart w:id="39" w:name="_Toc212019599"/>
      <w:bookmarkStart w:id="40" w:name="_Toc225244857"/>
      <w:bookmarkStart w:id="41" w:name="_Toc211911353"/>
      <w:bookmarkStart w:id="42" w:name="_Toc241833908"/>
      <w:bookmarkStart w:id="43" w:name="_Toc251768867"/>
      <w:bookmarkStart w:id="44" w:name="_Toc185395254"/>
      <w:r>
        <w:rPr>
          <w:rFonts w:hint="eastAsia" w:ascii="宋体" w:hAnsi="宋体" w:eastAsia="宋体" w:cs="宋体"/>
          <w:b/>
          <w:color w:val="000000"/>
          <w:sz w:val="20"/>
          <w:szCs w:val="20"/>
          <w:highlight w:val="none"/>
        </w:rPr>
        <w:t xml:space="preserve">   </w:t>
      </w:r>
      <w:bookmarkStart w:id="45" w:name="_Toc12006"/>
      <w:r>
        <w:rPr>
          <w:rFonts w:hint="eastAsia" w:ascii="宋体" w:hAnsi="宋体" w:eastAsia="宋体" w:cs="宋体"/>
          <w:b/>
          <w:color w:val="000000"/>
          <w:sz w:val="20"/>
          <w:szCs w:val="20"/>
          <w:highlight w:val="none"/>
        </w:rPr>
        <w:t xml:space="preserve">第十三条  </w:t>
      </w:r>
      <w:r>
        <w:rPr>
          <w:rFonts w:hint="eastAsia" w:ascii="宋体" w:hAnsi="宋体" w:eastAsia="宋体" w:cs="宋体"/>
          <w:b/>
          <w:color w:val="000000"/>
          <w:kern w:val="0"/>
          <w:sz w:val="20"/>
          <w:szCs w:val="20"/>
          <w:highlight w:val="none"/>
        </w:rPr>
        <w:t>合同的变更和终止</w:t>
      </w:r>
      <w:bookmarkEnd w:id="45"/>
    </w:p>
    <w:p w14:paraId="317F1CCB">
      <w:pPr>
        <w:pageBreakBefore w:val="0"/>
        <w:widowControl/>
        <w:kinsoku/>
        <w:wordWrap/>
        <w:overflowPunct/>
        <w:topLinePunct w:val="0"/>
        <w:autoSpaceDE/>
        <w:autoSpaceDN/>
        <w:bidi w:val="0"/>
        <w:snapToGrid/>
        <w:spacing w:line="360" w:lineRule="auto"/>
        <w:ind w:firstLine="400" w:firstLineChars="200"/>
        <w:jc w:val="left"/>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除《中华人民共和国政府采购法》第49条、第50条第二款规定的情形外，本合同一经签订，甲乙双方不得擅自变更、中止或终止合同。</w:t>
      </w:r>
    </w:p>
    <w:p w14:paraId="74FD8818">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46" w:name="_Toc12362"/>
      <w:r>
        <w:rPr>
          <w:rFonts w:hint="eastAsia" w:ascii="宋体" w:hAnsi="宋体" w:eastAsia="宋体" w:cs="宋体"/>
          <w:b/>
          <w:color w:val="000000"/>
          <w:sz w:val="20"/>
          <w:szCs w:val="20"/>
          <w:highlight w:val="none"/>
        </w:rPr>
        <w:t>第十四条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0527F452">
      <w:pPr>
        <w:pStyle w:val="10"/>
        <w:pageBreakBefore w:val="0"/>
        <w:kinsoku/>
        <w:wordWrap/>
        <w:overflowPunct/>
        <w:topLinePunct w:val="0"/>
        <w:autoSpaceDE/>
        <w:autoSpaceDN/>
        <w:bidi w:val="0"/>
        <w:snapToGrid/>
        <w:spacing w:line="360" w:lineRule="auto"/>
        <w:ind w:firstLine="420"/>
        <w:rPr>
          <w:rFonts w:hint="eastAsia" w:ascii="宋体" w:hAnsi="宋体" w:eastAsia="宋体" w:cs="宋体"/>
          <w:color w:val="000000"/>
          <w:kern w:val="0"/>
          <w:sz w:val="20"/>
          <w:szCs w:val="20"/>
          <w:highlight w:val="none"/>
        </w:rPr>
      </w:pPr>
      <w:r>
        <w:rPr>
          <w:rFonts w:hint="eastAsia" w:ascii="宋体" w:hAnsi="宋体" w:eastAsia="宋体" w:cs="宋体"/>
          <w:color w:val="000000"/>
          <w:sz w:val="20"/>
          <w:szCs w:val="20"/>
          <w:highlight w:val="none"/>
        </w:rPr>
        <w:t>1.在执行本合同中发生的或与本合同有关的争端，双方应通过友好协商解决，经协商在</w:t>
      </w:r>
      <w:r>
        <w:rPr>
          <w:rFonts w:hint="eastAsia" w:ascii="宋体" w:hAnsi="宋体" w:eastAsia="宋体" w:cs="宋体"/>
          <w:color w:val="000000"/>
          <w:sz w:val="20"/>
          <w:szCs w:val="20"/>
          <w:highlight w:val="none"/>
          <w:lang w:val="en-US" w:eastAsia="zh-CN"/>
        </w:rPr>
        <w:t>30</w:t>
      </w:r>
      <w:r>
        <w:rPr>
          <w:rFonts w:hint="eastAsia" w:ascii="宋体" w:hAnsi="宋体" w:eastAsia="宋体" w:cs="宋体"/>
          <w:color w:val="000000"/>
          <w:sz w:val="20"/>
          <w:szCs w:val="20"/>
          <w:highlight w:val="none"/>
        </w:rPr>
        <w:t>天内不能达成协议时，</w:t>
      </w:r>
      <w:r>
        <w:rPr>
          <w:rFonts w:hint="eastAsia" w:ascii="宋体" w:hAnsi="宋体" w:eastAsia="宋体" w:cs="宋体"/>
          <w:color w:val="000000"/>
          <w:kern w:val="0"/>
          <w:sz w:val="20"/>
          <w:szCs w:val="20"/>
          <w:highlight w:val="none"/>
        </w:rPr>
        <w:t>则采取以下第</w:t>
      </w:r>
      <w:r>
        <w:rPr>
          <w:rFonts w:hint="eastAsia" w:ascii="宋体" w:hAnsi="宋体" w:eastAsia="宋体" w:cs="宋体"/>
          <w:color w:val="000000"/>
          <w:kern w:val="0"/>
          <w:sz w:val="20"/>
          <w:szCs w:val="20"/>
          <w:highlight w:val="none"/>
          <w:lang w:val="en-US" w:eastAsia="zh-CN"/>
        </w:rPr>
        <w:t>(1)</w:t>
      </w:r>
      <w:r>
        <w:rPr>
          <w:rFonts w:hint="eastAsia" w:ascii="宋体" w:hAnsi="宋体" w:eastAsia="宋体" w:cs="宋体"/>
          <w:color w:val="000000"/>
          <w:kern w:val="0"/>
          <w:sz w:val="20"/>
          <w:szCs w:val="20"/>
          <w:highlight w:val="none"/>
        </w:rPr>
        <w:t>种方式解决争议：</w:t>
      </w:r>
    </w:p>
    <w:p w14:paraId="0ED8E63F">
      <w:pPr>
        <w:pStyle w:val="10"/>
        <w:pageBreakBefore w:val="0"/>
        <w:kinsoku/>
        <w:wordWrap/>
        <w:overflowPunct/>
        <w:topLinePunct w:val="0"/>
        <w:autoSpaceDE/>
        <w:autoSpaceDN/>
        <w:bidi w:val="0"/>
        <w:snapToGrid/>
        <w:spacing w:line="360" w:lineRule="auto"/>
        <w:ind w:firstLine="420"/>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（1）向甲方所在地有管辖权的人民法院提起诉讼；</w:t>
      </w:r>
    </w:p>
    <w:p w14:paraId="3B3F365C">
      <w:pPr>
        <w:pStyle w:val="10"/>
        <w:pageBreakBefore w:val="0"/>
        <w:kinsoku/>
        <w:wordWrap/>
        <w:overflowPunct/>
        <w:topLinePunct w:val="0"/>
        <w:autoSpaceDE/>
        <w:autoSpaceDN/>
        <w:bidi w:val="0"/>
        <w:snapToGrid/>
        <w:spacing w:line="360" w:lineRule="auto"/>
        <w:ind w:firstLine="420"/>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（2）向</w:t>
      </w:r>
      <w:r>
        <w:rPr>
          <w:rFonts w:hint="eastAsia" w:ascii="宋体" w:hAnsi="宋体" w:eastAsia="宋体" w:cs="宋体"/>
          <w:color w:val="000000"/>
          <w:kern w:val="0"/>
          <w:sz w:val="20"/>
          <w:szCs w:val="20"/>
          <w:highlight w:val="none"/>
          <w:lang w:val="en-US" w:eastAsia="zh-CN"/>
        </w:rPr>
        <w:t>西安市</w:t>
      </w:r>
      <w:r>
        <w:rPr>
          <w:rFonts w:hint="eastAsia" w:ascii="宋体" w:hAnsi="宋体" w:eastAsia="宋体" w:cs="宋体"/>
          <w:color w:val="000000"/>
          <w:kern w:val="0"/>
          <w:sz w:val="20"/>
          <w:szCs w:val="20"/>
          <w:highlight w:val="none"/>
        </w:rPr>
        <w:t>仲裁委员会按其仲裁规则申请仲裁。</w:t>
      </w:r>
    </w:p>
    <w:p w14:paraId="4060DB3B">
      <w:pPr>
        <w:pageBreakBefore w:val="0"/>
        <w:tabs>
          <w:tab w:val="left" w:pos="0"/>
        </w:tabs>
        <w:kinsoku/>
        <w:wordWrap/>
        <w:overflowPunct/>
        <w:topLinePunct w:val="0"/>
        <w:autoSpaceDE/>
        <w:autoSpaceDN/>
        <w:bidi w:val="0"/>
        <w:snapToGrid/>
        <w:spacing w:line="360" w:lineRule="auto"/>
        <w:ind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2.在仲裁期间，本合同应继续履行。</w:t>
      </w:r>
    </w:p>
    <w:p w14:paraId="248E2A2F">
      <w:pPr>
        <w:pageBreakBefore w:val="0"/>
        <w:kinsoku/>
        <w:wordWrap/>
        <w:overflowPunct/>
        <w:topLinePunct w:val="0"/>
        <w:autoSpaceDE/>
        <w:autoSpaceDN/>
        <w:bidi w:val="0"/>
        <w:snapToGrid/>
        <w:spacing w:before="120" w:beforeLines="50" w:after="120" w:afterLines="50" w:line="360" w:lineRule="auto"/>
        <w:ind w:left="425"/>
        <w:outlineLvl w:val="1"/>
        <w:rPr>
          <w:rFonts w:hint="eastAsia" w:ascii="宋体" w:hAnsi="宋体" w:eastAsia="宋体" w:cs="宋体"/>
          <w:b/>
          <w:color w:val="000000"/>
          <w:sz w:val="20"/>
          <w:szCs w:val="20"/>
          <w:highlight w:val="none"/>
        </w:rPr>
      </w:pPr>
      <w:bookmarkStart w:id="47" w:name="_Toc286993793"/>
      <w:bookmarkStart w:id="48" w:name="_Toc185395255"/>
      <w:bookmarkStart w:id="49" w:name="_Toc211854455"/>
      <w:bookmarkStart w:id="50" w:name="_Toc225670757"/>
      <w:bookmarkStart w:id="51" w:name="_Toc283019219"/>
      <w:bookmarkStart w:id="52" w:name="_Toc225244858"/>
      <w:bookmarkStart w:id="53" w:name="_Toc251768868"/>
      <w:bookmarkStart w:id="54" w:name="_Toc241833909"/>
      <w:bookmarkStart w:id="55" w:name="_Toc239568424"/>
      <w:bookmarkStart w:id="56" w:name="_Toc282696231"/>
      <w:bookmarkStart w:id="57" w:name="_Toc238984981"/>
      <w:bookmarkStart w:id="58" w:name="_Toc232492934"/>
      <w:bookmarkStart w:id="59" w:name="_Toc237145412"/>
      <w:bookmarkStart w:id="60" w:name="_Toc212019600"/>
      <w:bookmarkStart w:id="61" w:name="_Toc239233920"/>
      <w:bookmarkStart w:id="62" w:name="_Toc247334847"/>
      <w:bookmarkStart w:id="63" w:name="_Toc211911354"/>
      <w:bookmarkStart w:id="64" w:name="_Toc225654650"/>
      <w:bookmarkStart w:id="65" w:name="_Toc728"/>
      <w:r>
        <w:rPr>
          <w:rFonts w:hint="eastAsia" w:ascii="宋体" w:hAnsi="宋体" w:eastAsia="宋体" w:cs="宋体"/>
          <w:b/>
          <w:color w:val="000000"/>
          <w:sz w:val="20"/>
          <w:szCs w:val="20"/>
          <w:highlight w:val="none"/>
        </w:rPr>
        <w:t>第十</w:t>
      </w:r>
      <w:r>
        <w:rPr>
          <w:rFonts w:hint="eastAsia" w:ascii="宋体" w:hAnsi="宋体" w:eastAsia="宋体" w:cs="宋体"/>
          <w:b/>
          <w:color w:val="000000"/>
          <w:sz w:val="20"/>
          <w:szCs w:val="20"/>
          <w:highlight w:val="none"/>
          <w:lang w:val="en-US" w:eastAsia="zh-CN"/>
        </w:rPr>
        <w:t>五</w:t>
      </w:r>
      <w:r>
        <w:rPr>
          <w:rFonts w:hint="eastAsia" w:ascii="宋体" w:hAnsi="宋体" w:eastAsia="宋体" w:cs="宋体"/>
          <w:b/>
          <w:color w:val="000000"/>
          <w:sz w:val="20"/>
          <w:szCs w:val="20"/>
          <w:highlight w:val="none"/>
        </w:rPr>
        <w:t>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000000"/>
          <w:sz w:val="20"/>
          <w:szCs w:val="20"/>
          <w:highlight w:val="none"/>
        </w:rPr>
        <w:t>生效及其他</w:t>
      </w:r>
      <w:bookmarkEnd w:id="65"/>
    </w:p>
    <w:p w14:paraId="619B0B86">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1.合同经双方法定代表人或授权委托代理人签字并加盖单位公章后生效。</w:t>
      </w:r>
    </w:p>
    <w:p w14:paraId="3FF0475C">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2.合同执行中涉及采购资金和采购内容修改或补充的，须经政府采购监管部门审批，并签书面补充协议报政府采购监督管理部门备案，方可作为主合同不可分割的一部分。</w:t>
      </w:r>
    </w:p>
    <w:p w14:paraId="498BD4F8">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3.本合同一式XX份，自双方签章之日起起效。甲方XX份，乙方XX份，政府采购代理机构XX份，同级财政部门备案XX份，具有同等法律效力。</w:t>
      </w:r>
    </w:p>
    <w:p w14:paraId="4C44A7CE">
      <w:pPr>
        <w:pageBreakBefore w:val="0"/>
        <w:kinsoku/>
        <w:wordWrap/>
        <w:overflowPunct/>
        <w:topLinePunct w:val="0"/>
        <w:autoSpaceDE/>
        <w:autoSpaceDN/>
        <w:bidi w:val="0"/>
        <w:snapToGrid/>
        <w:spacing w:after="120" w:afterLines="50" w:line="360" w:lineRule="auto"/>
        <w:ind w:left="425"/>
        <w:outlineLvl w:val="1"/>
        <w:rPr>
          <w:rFonts w:hint="eastAsia" w:ascii="宋体" w:hAnsi="宋体" w:eastAsia="宋体" w:cs="宋体"/>
          <w:b/>
          <w:color w:val="000000"/>
          <w:sz w:val="20"/>
          <w:szCs w:val="20"/>
          <w:highlight w:val="none"/>
        </w:rPr>
      </w:pPr>
      <w:bookmarkStart w:id="66" w:name="_Toc17068"/>
      <w:r>
        <w:rPr>
          <w:rFonts w:hint="eastAsia" w:ascii="宋体" w:hAnsi="宋体" w:eastAsia="宋体" w:cs="宋体"/>
          <w:b/>
          <w:color w:val="000000"/>
          <w:sz w:val="20"/>
          <w:szCs w:val="20"/>
          <w:highlight w:val="none"/>
        </w:rPr>
        <w:t>第十</w:t>
      </w:r>
      <w:r>
        <w:rPr>
          <w:rFonts w:hint="eastAsia" w:ascii="宋体" w:hAnsi="宋体" w:eastAsia="宋体" w:cs="宋体"/>
          <w:b/>
          <w:color w:val="000000"/>
          <w:sz w:val="20"/>
          <w:szCs w:val="20"/>
          <w:highlight w:val="none"/>
          <w:lang w:val="en-US" w:eastAsia="zh-CN"/>
        </w:rPr>
        <w:t>六</w:t>
      </w:r>
      <w:r>
        <w:rPr>
          <w:rFonts w:hint="eastAsia" w:ascii="宋体" w:hAnsi="宋体" w:eastAsia="宋体" w:cs="宋体"/>
          <w:b/>
          <w:color w:val="000000"/>
          <w:sz w:val="20"/>
          <w:szCs w:val="20"/>
          <w:highlight w:val="none"/>
        </w:rPr>
        <w:t>条  附件</w:t>
      </w:r>
      <w:bookmarkEnd w:id="66"/>
    </w:p>
    <w:p w14:paraId="47E92445">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1.项目招标文件</w:t>
      </w:r>
    </w:p>
    <w:p w14:paraId="7B4794A6">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2.项目修改澄清文件</w:t>
      </w:r>
    </w:p>
    <w:p w14:paraId="5C07B413">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3.项目投标文件</w:t>
      </w:r>
    </w:p>
    <w:p w14:paraId="2EEDB848">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4.中标通知书</w:t>
      </w:r>
    </w:p>
    <w:p w14:paraId="612BAAF0">
      <w:pPr>
        <w:pStyle w:val="11"/>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5.其他</w:t>
      </w:r>
    </w:p>
    <w:p w14:paraId="1EA13E5D">
      <w:pPr>
        <w:pageBreakBefore w:val="0"/>
        <w:kinsoku/>
        <w:wordWrap/>
        <w:overflowPunct/>
        <w:topLinePunct w:val="0"/>
        <w:autoSpaceDE/>
        <w:autoSpaceDN/>
        <w:bidi w:val="0"/>
        <w:snapToGrid/>
        <w:spacing w:line="360" w:lineRule="auto"/>
        <w:rPr>
          <w:rFonts w:hint="eastAsia" w:ascii="宋体" w:hAnsi="宋体" w:eastAsia="宋体" w:cs="宋体"/>
          <w:color w:val="000000"/>
          <w:sz w:val="20"/>
          <w:szCs w:val="20"/>
          <w:highlight w:val="none"/>
        </w:rPr>
      </w:pPr>
    </w:p>
    <w:p w14:paraId="0E218AE5">
      <w:pPr>
        <w:pageBreakBefore w:val="0"/>
        <w:widowControl/>
        <w:kinsoku/>
        <w:wordWrap/>
        <w:overflowPunct/>
        <w:topLinePunct w:val="0"/>
        <w:autoSpaceDE/>
        <w:autoSpaceDN/>
        <w:bidi w:val="0"/>
        <w:snapToGrid/>
        <w:spacing w:line="360" w:lineRule="auto"/>
        <w:jc w:val="center"/>
        <w:rPr>
          <w:rFonts w:hint="eastAsia" w:ascii="宋体" w:hAnsi="宋体" w:eastAsia="宋体" w:cs="宋体"/>
          <w:b w:val="0"/>
          <w:bCs w:val="0"/>
          <w:color w:val="auto"/>
          <w:kern w:val="0"/>
          <w:sz w:val="20"/>
          <w:szCs w:val="20"/>
          <w:highlight w:val="none"/>
          <w:u w:val="single"/>
        </w:rPr>
      </w:pPr>
    </w:p>
    <w:tbl>
      <w:tblPr>
        <w:tblStyle w:val="8"/>
        <w:tblW w:w="92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19"/>
        <w:gridCol w:w="4620"/>
      </w:tblGrid>
      <w:tr w14:paraId="493D0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1C8D94AD">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 xml:space="preserve">甲方：   （盖章） </w:t>
            </w:r>
          </w:p>
        </w:tc>
        <w:tc>
          <w:tcPr>
            <w:tcW w:w="4620" w:type="dxa"/>
            <w:vAlign w:val="top"/>
          </w:tcPr>
          <w:p w14:paraId="334CC05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cs="宋体"/>
                <w:color w:val="000000"/>
                <w:sz w:val="20"/>
                <w:szCs w:val="20"/>
                <w:highlight w:val="none"/>
                <w:lang w:val="en-US" w:eastAsia="zh-CN"/>
              </w:rPr>
              <w:t>乙</w:t>
            </w:r>
            <w:r>
              <w:rPr>
                <w:rFonts w:hint="eastAsia" w:ascii="宋体" w:hAnsi="宋体" w:eastAsia="宋体" w:cs="宋体"/>
                <w:color w:val="000000"/>
                <w:sz w:val="20"/>
                <w:szCs w:val="20"/>
                <w:highlight w:val="none"/>
              </w:rPr>
              <w:t xml:space="preserve">方：   （盖章） </w:t>
            </w:r>
          </w:p>
        </w:tc>
      </w:tr>
      <w:tr w14:paraId="4CBD7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4183054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法定代表人（委托代理人）：</w:t>
            </w:r>
          </w:p>
        </w:tc>
        <w:tc>
          <w:tcPr>
            <w:tcW w:w="4620" w:type="dxa"/>
            <w:vAlign w:val="top"/>
          </w:tcPr>
          <w:p w14:paraId="79BFA51A">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法定代表人（委托代理人）：</w:t>
            </w:r>
          </w:p>
        </w:tc>
      </w:tr>
      <w:tr w14:paraId="05176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2421680E">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地    址：</w:t>
            </w:r>
          </w:p>
        </w:tc>
        <w:tc>
          <w:tcPr>
            <w:tcW w:w="4620" w:type="dxa"/>
            <w:vAlign w:val="top"/>
          </w:tcPr>
          <w:p w14:paraId="6212CB5F">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地    址：</w:t>
            </w:r>
          </w:p>
        </w:tc>
      </w:tr>
      <w:tr w14:paraId="7CD7F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25947C5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开户银行：</w:t>
            </w:r>
          </w:p>
        </w:tc>
        <w:tc>
          <w:tcPr>
            <w:tcW w:w="4620" w:type="dxa"/>
            <w:vAlign w:val="top"/>
          </w:tcPr>
          <w:p w14:paraId="5445118F">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开户银行：</w:t>
            </w:r>
          </w:p>
        </w:tc>
      </w:tr>
      <w:tr w14:paraId="147CA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0E7EFD6D">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账号：</w:t>
            </w:r>
          </w:p>
        </w:tc>
        <w:tc>
          <w:tcPr>
            <w:tcW w:w="4620" w:type="dxa"/>
            <w:vAlign w:val="top"/>
          </w:tcPr>
          <w:p w14:paraId="0872DFC8">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账号：</w:t>
            </w:r>
          </w:p>
        </w:tc>
      </w:tr>
      <w:tr w14:paraId="1A363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603669F8">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电    话：</w:t>
            </w:r>
          </w:p>
        </w:tc>
        <w:tc>
          <w:tcPr>
            <w:tcW w:w="4620" w:type="dxa"/>
            <w:vAlign w:val="top"/>
          </w:tcPr>
          <w:p w14:paraId="3D0C3A74">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电    话：</w:t>
            </w:r>
          </w:p>
        </w:tc>
      </w:tr>
      <w:tr w14:paraId="2724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375E3FFE">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传    真：</w:t>
            </w:r>
          </w:p>
        </w:tc>
        <w:tc>
          <w:tcPr>
            <w:tcW w:w="4620" w:type="dxa"/>
            <w:vAlign w:val="top"/>
          </w:tcPr>
          <w:p w14:paraId="580030C3">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传    真：</w:t>
            </w:r>
          </w:p>
        </w:tc>
      </w:tr>
      <w:tr w14:paraId="27880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0" w:hRule="atLeast"/>
        </w:trPr>
        <w:tc>
          <w:tcPr>
            <w:tcW w:w="4619" w:type="dxa"/>
          </w:tcPr>
          <w:p w14:paraId="6843375A">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 xml:space="preserve">签约日期：  年  月 </w:t>
            </w:r>
            <w:r>
              <w:rPr>
                <w:rFonts w:hint="eastAsia" w:ascii="宋体" w:hAnsi="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 xml:space="preserve"> 日 </w:t>
            </w:r>
          </w:p>
        </w:tc>
        <w:tc>
          <w:tcPr>
            <w:tcW w:w="4620" w:type="dxa"/>
            <w:vAlign w:val="top"/>
          </w:tcPr>
          <w:p w14:paraId="5E5144CF">
            <w:pPr>
              <w:pageBreakBefore w:val="0"/>
              <w:widowControl/>
              <w:kinsoku/>
              <w:wordWrap/>
              <w:overflowPunct/>
              <w:topLinePunct w:val="0"/>
              <w:autoSpaceDE/>
              <w:autoSpaceDN/>
              <w:bidi w:val="0"/>
              <w:snapToGrid/>
              <w:spacing w:line="360" w:lineRule="auto"/>
              <w:jc w:val="left"/>
              <w:rPr>
                <w:rFonts w:hint="eastAsia" w:ascii="宋体" w:hAnsi="宋体" w:eastAsia="宋体" w:cs="宋体"/>
                <w:b w:val="0"/>
                <w:bCs w:val="0"/>
                <w:color w:val="auto"/>
                <w:kern w:val="0"/>
                <w:sz w:val="20"/>
                <w:szCs w:val="20"/>
                <w:highlight w:val="none"/>
                <w:u w:val="single"/>
                <w:vertAlign w:val="baseline"/>
              </w:rPr>
            </w:pPr>
            <w:r>
              <w:rPr>
                <w:rFonts w:hint="eastAsia" w:ascii="宋体" w:hAnsi="宋体" w:eastAsia="宋体" w:cs="宋体"/>
                <w:color w:val="000000"/>
                <w:sz w:val="20"/>
                <w:szCs w:val="20"/>
                <w:highlight w:val="none"/>
              </w:rPr>
              <w:t xml:space="preserve">签约日期：  年  月 </w:t>
            </w:r>
            <w:r>
              <w:rPr>
                <w:rFonts w:hint="eastAsia" w:ascii="宋体" w:hAnsi="宋体" w:cs="宋体"/>
                <w:color w:val="000000"/>
                <w:sz w:val="20"/>
                <w:szCs w:val="20"/>
                <w:highlight w:val="none"/>
                <w:lang w:val="en-US" w:eastAsia="zh-CN"/>
              </w:rPr>
              <w:t xml:space="preserve"> </w:t>
            </w:r>
            <w:r>
              <w:rPr>
                <w:rFonts w:hint="eastAsia" w:ascii="宋体" w:hAnsi="宋体" w:eastAsia="宋体" w:cs="宋体"/>
                <w:color w:val="000000"/>
                <w:sz w:val="20"/>
                <w:szCs w:val="20"/>
                <w:highlight w:val="none"/>
              </w:rPr>
              <w:t xml:space="preserve"> 日 </w:t>
            </w:r>
          </w:p>
        </w:tc>
      </w:tr>
    </w:tbl>
    <w:p w14:paraId="72186AED">
      <w:pPr>
        <w:pageBreakBefore w:val="0"/>
        <w:widowControl/>
        <w:kinsoku/>
        <w:wordWrap/>
        <w:overflowPunct/>
        <w:topLinePunct w:val="0"/>
        <w:autoSpaceDE/>
        <w:autoSpaceDN/>
        <w:bidi w:val="0"/>
        <w:snapToGrid/>
        <w:spacing w:line="360" w:lineRule="auto"/>
        <w:jc w:val="center"/>
        <w:rPr>
          <w:rFonts w:hint="eastAsia" w:ascii="宋体" w:hAnsi="宋体" w:eastAsia="宋体" w:cs="宋体"/>
          <w:b w:val="0"/>
          <w:bCs w:val="0"/>
          <w:color w:val="auto"/>
          <w:kern w:val="0"/>
          <w:sz w:val="20"/>
          <w:szCs w:val="20"/>
          <w:highlight w:val="none"/>
          <w:u w:val="singl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bookmarkStart w:id="67" w:name="_GoBack"/>
      <w:bookmarkEnd w:id="67"/>
    </w:p>
    <w:p w14:paraId="0FD1841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附件：</w:t>
      </w:r>
    </w:p>
    <w:p w14:paraId="3D9A9ED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b w:val="0"/>
          <w:bCs w:val="0"/>
          <w:spacing w:val="0"/>
          <w:sz w:val="20"/>
          <w:szCs w:val="20"/>
          <w:highlight w:val="none"/>
          <w:lang w:val="en-US" w:eastAsia="zh-CN"/>
        </w:rPr>
      </w:pPr>
      <w:r>
        <w:rPr>
          <w:rFonts w:hint="eastAsia" w:ascii="宋体" w:hAnsi="宋体" w:eastAsia="宋体" w:cs="宋体"/>
          <w:b w:val="0"/>
          <w:bCs w:val="0"/>
          <w:sz w:val="20"/>
          <w:szCs w:val="20"/>
          <w:highlight w:val="none"/>
        </w:rPr>
        <w:t>西安市西北郊城市排洪渠道管理中心</w:t>
      </w:r>
      <w:r>
        <w:rPr>
          <w:rFonts w:hint="eastAsia" w:ascii="宋体" w:hAnsi="宋体" w:eastAsia="宋体" w:cs="宋体"/>
          <w:b w:val="0"/>
          <w:bCs w:val="0"/>
          <w:spacing w:val="0"/>
          <w:sz w:val="20"/>
          <w:szCs w:val="20"/>
          <w:highlight w:val="none"/>
        </w:rPr>
        <w:t>精细化管理考核办法</w:t>
      </w:r>
    </w:p>
    <w:p w14:paraId="025423F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 xml:space="preserve">   </w:t>
      </w:r>
    </w:p>
    <w:p w14:paraId="1734171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color w:val="auto"/>
          <w:sz w:val="20"/>
          <w:szCs w:val="20"/>
          <w:highlight w:val="none"/>
        </w:rPr>
        <w:t>为</w:t>
      </w:r>
      <w:r>
        <w:rPr>
          <w:rFonts w:hint="eastAsia" w:ascii="宋体" w:hAnsi="宋体" w:eastAsia="宋体" w:cs="宋体"/>
          <w:b w:val="0"/>
          <w:bCs w:val="0"/>
          <w:color w:val="auto"/>
          <w:sz w:val="20"/>
          <w:szCs w:val="20"/>
          <w:highlight w:val="none"/>
          <w:lang w:eastAsia="zh-CN"/>
        </w:rPr>
        <w:t>进一步</w:t>
      </w:r>
      <w:r>
        <w:rPr>
          <w:rFonts w:hint="eastAsia" w:ascii="宋体" w:hAnsi="宋体" w:eastAsia="宋体" w:cs="宋体"/>
          <w:b w:val="0"/>
          <w:bCs w:val="0"/>
          <w:color w:val="auto"/>
          <w:sz w:val="20"/>
          <w:szCs w:val="20"/>
          <w:highlight w:val="none"/>
        </w:rPr>
        <w:t>加强水利工程管理，建立健全考核机制，</w:t>
      </w:r>
      <w:r>
        <w:rPr>
          <w:rFonts w:hint="eastAsia" w:ascii="宋体" w:hAnsi="宋体" w:eastAsia="宋体" w:cs="宋体"/>
          <w:b w:val="0"/>
          <w:bCs w:val="0"/>
          <w:color w:val="auto"/>
          <w:sz w:val="20"/>
          <w:szCs w:val="20"/>
          <w:highlight w:val="none"/>
          <w:lang w:eastAsia="zh-CN"/>
        </w:rPr>
        <w:t>提升河湖精细化管理水平</w:t>
      </w:r>
      <w:r>
        <w:rPr>
          <w:rFonts w:hint="eastAsia" w:ascii="宋体" w:hAnsi="宋体" w:eastAsia="宋体" w:cs="宋体"/>
          <w:b w:val="0"/>
          <w:bCs w:val="0"/>
          <w:sz w:val="20"/>
          <w:szCs w:val="20"/>
          <w:highlight w:val="none"/>
          <w:lang w:eastAsia="zh-CN"/>
        </w:rPr>
        <w:t>，按照</w:t>
      </w:r>
      <w:r>
        <w:rPr>
          <w:rFonts w:hint="eastAsia" w:ascii="宋体" w:hAnsi="宋体" w:eastAsia="宋体" w:cs="宋体"/>
          <w:b w:val="0"/>
          <w:bCs w:val="0"/>
          <w:color w:val="auto"/>
          <w:sz w:val="20"/>
          <w:szCs w:val="20"/>
          <w:highlight w:val="none"/>
          <w:lang w:eastAsia="zh-CN"/>
        </w:rPr>
        <w:t>《西安市水务局精细化管理考核标准》</w:t>
      </w:r>
      <w:r>
        <w:rPr>
          <w:rFonts w:hint="eastAsia" w:ascii="宋体" w:hAnsi="宋体" w:eastAsia="宋体" w:cs="宋体"/>
          <w:b w:val="0"/>
          <w:bCs w:val="0"/>
          <w:sz w:val="20"/>
          <w:szCs w:val="20"/>
          <w:highlight w:val="none"/>
          <w:lang w:eastAsia="zh-CN"/>
        </w:rPr>
        <w:t>要求，</w:t>
      </w:r>
      <w:r>
        <w:rPr>
          <w:rFonts w:hint="eastAsia" w:ascii="宋体" w:hAnsi="宋体" w:eastAsia="宋体" w:cs="宋体"/>
          <w:b w:val="0"/>
          <w:bCs w:val="0"/>
          <w:sz w:val="20"/>
          <w:szCs w:val="20"/>
          <w:highlight w:val="none"/>
        </w:rPr>
        <w:t>制定本办法</w:t>
      </w:r>
      <w:r>
        <w:rPr>
          <w:rFonts w:hint="eastAsia" w:ascii="宋体" w:hAnsi="宋体" w:eastAsia="宋体" w:cs="宋体"/>
          <w:b w:val="0"/>
          <w:bCs w:val="0"/>
          <w:sz w:val="20"/>
          <w:szCs w:val="20"/>
          <w:highlight w:val="none"/>
          <w:lang w:eastAsia="zh-CN"/>
        </w:rPr>
        <w:t>，具体内容如下：</w:t>
      </w:r>
    </w:p>
    <w:p w14:paraId="44EE9FE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rPr>
        <w:t>一、考核</w:t>
      </w:r>
      <w:r>
        <w:rPr>
          <w:rFonts w:hint="eastAsia" w:ascii="宋体" w:hAnsi="宋体" w:eastAsia="宋体" w:cs="宋体"/>
          <w:b w:val="0"/>
          <w:bCs w:val="0"/>
          <w:sz w:val="20"/>
          <w:szCs w:val="20"/>
          <w:highlight w:val="none"/>
          <w:lang w:eastAsia="zh-CN"/>
        </w:rPr>
        <w:t>对象及管护工作范围</w:t>
      </w:r>
    </w:p>
    <w:p w14:paraId="6D57DD7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lang w:eastAsia="zh-CN"/>
        </w:rPr>
        <w:t>（一）</w:t>
      </w:r>
      <w:r>
        <w:rPr>
          <w:rFonts w:hint="eastAsia" w:ascii="宋体" w:hAnsi="宋体" w:eastAsia="宋体" w:cs="宋体"/>
          <w:b w:val="0"/>
          <w:bCs w:val="0"/>
          <w:sz w:val="20"/>
          <w:szCs w:val="20"/>
          <w:highlight w:val="none"/>
        </w:rPr>
        <w:t>考核</w:t>
      </w:r>
      <w:r>
        <w:rPr>
          <w:rFonts w:hint="eastAsia" w:ascii="宋体" w:hAnsi="宋体" w:eastAsia="宋体" w:cs="宋体"/>
          <w:b w:val="0"/>
          <w:bCs w:val="0"/>
          <w:sz w:val="20"/>
          <w:szCs w:val="20"/>
          <w:highlight w:val="none"/>
          <w:lang w:eastAsia="zh-CN"/>
        </w:rPr>
        <w:t>对象</w:t>
      </w:r>
    </w:p>
    <w:p w14:paraId="3E24653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kern w:val="0"/>
          <w:sz w:val="20"/>
          <w:szCs w:val="20"/>
          <w:highlight w:val="none"/>
          <w:lang w:eastAsia="zh-CN"/>
        </w:rPr>
      </w:pPr>
      <w:r>
        <w:rPr>
          <w:rFonts w:hint="eastAsia" w:ascii="宋体" w:hAnsi="宋体" w:eastAsia="宋体" w:cs="宋体"/>
          <w:b w:val="0"/>
          <w:bCs w:val="0"/>
          <w:kern w:val="0"/>
          <w:sz w:val="20"/>
          <w:szCs w:val="20"/>
          <w:highlight w:val="none"/>
          <w:lang w:eastAsia="zh-CN"/>
        </w:rPr>
        <w:t>各</w:t>
      </w:r>
      <w:r>
        <w:rPr>
          <w:rFonts w:hint="eastAsia" w:ascii="宋体" w:hAnsi="宋体" w:eastAsia="宋体" w:cs="宋体"/>
          <w:b w:val="0"/>
          <w:bCs w:val="0"/>
          <w:sz w:val="20"/>
          <w:szCs w:val="20"/>
          <w:highlight w:val="none"/>
          <w:lang w:val="en-US" w:eastAsia="zh-CN"/>
        </w:rPr>
        <w:t>河道</w:t>
      </w:r>
      <w:r>
        <w:rPr>
          <w:rFonts w:hint="eastAsia" w:ascii="宋体" w:hAnsi="宋体" w:eastAsia="宋体" w:cs="宋体"/>
          <w:b w:val="0"/>
          <w:bCs w:val="0"/>
          <w:sz w:val="20"/>
          <w:szCs w:val="20"/>
          <w:highlight w:val="none"/>
          <w:lang w:eastAsia="zh-CN"/>
        </w:rPr>
        <w:t>及渠道</w:t>
      </w:r>
      <w:r>
        <w:rPr>
          <w:rFonts w:hint="eastAsia" w:ascii="宋体" w:hAnsi="宋体" w:eastAsia="宋体" w:cs="宋体"/>
          <w:b w:val="0"/>
          <w:bCs w:val="0"/>
          <w:kern w:val="0"/>
          <w:sz w:val="20"/>
          <w:szCs w:val="20"/>
          <w:highlight w:val="none"/>
          <w:lang w:eastAsia="zh-CN"/>
        </w:rPr>
        <w:t>养护单位。</w:t>
      </w:r>
    </w:p>
    <w:p w14:paraId="3BBEE85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kern w:val="0"/>
          <w:sz w:val="20"/>
          <w:szCs w:val="20"/>
          <w:highlight w:val="none"/>
          <w:lang w:eastAsia="zh-CN"/>
        </w:rPr>
      </w:pPr>
      <w:r>
        <w:rPr>
          <w:rFonts w:hint="eastAsia" w:ascii="宋体" w:hAnsi="宋体" w:eastAsia="宋体" w:cs="宋体"/>
          <w:b w:val="0"/>
          <w:bCs w:val="0"/>
          <w:kern w:val="0"/>
          <w:sz w:val="20"/>
          <w:szCs w:val="20"/>
          <w:highlight w:val="none"/>
          <w:lang w:eastAsia="zh-CN"/>
        </w:rPr>
        <w:t>（二）</w:t>
      </w:r>
      <w:r>
        <w:rPr>
          <w:rFonts w:hint="eastAsia" w:ascii="宋体" w:hAnsi="宋体" w:eastAsia="宋体" w:cs="宋体"/>
          <w:b w:val="0"/>
          <w:bCs w:val="0"/>
          <w:sz w:val="20"/>
          <w:szCs w:val="20"/>
          <w:highlight w:val="none"/>
          <w:lang w:eastAsia="zh-CN"/>
        </w:rPr>
        <w:t>管护工作范围</w:t>
      </w:r>
    </w:p>
    <w:p w14:paraId="54A8DB0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kern w:val="0"/>
          <w:sz w:val="20"/>
          <w:szCs w:val="20"/>
          <w:highlight w:val="none"/>
        </w:rPr>
      </w:pPr>
      <w:r>
        <w:rPr>
          <w:rFonts w:hint="eastAsia" w:ascii="宋体" w:hAnsi="宋体" w:eastAsia="宋体" w:cs="宋体"/>
          <w:b w:val="0"/>
          <w:bCs w:val="0"/>
          <w:kern w:val="0"/>
          <w:sz w:val="20"/>
          <w:szCs w:val="20"/>
          <w:highlight w:val="none"/>
        </w:rPr>
        <w:t>重点考核水利工程</w:t>
      </w:r>
      <w:r>
        <w:rPr>
          <w:rFonts w:hint="eastAsia" w:ascii="宋体" w:hAnsi="宋体" w:eastAsia="宋体" w:cs="宋体"/>
          <w:b w:val="0"/>
          <w:bCs w:val="0"/>
          <w:kern w:val="0"/>
          <w:sz w:val="20"/>
          <w:szCs w:val="20"/>
          <w:highlight w:val="none"/>
          <w:lang w:eastAsia="zh-CN"/>
        </w:rPr>
        <w:t>运行维护</w:t>
      </w:r>
      <w:r>
        <w:rPr>
          <w:rFonts w:hint="eastAsia" w:ascii="宋体" w:hAnsi="宋体" w:eastAsia="宋体" w:cs="宋体"/>
          <w:b w:val="0"/>
          <w:bCs w:val="0"/>
          <w:kern w:val="0"/>
          <w:sz w:val="20"/>
          <w:szCs w:val="20"/>
          <w:highlight w:val="none"/>
        </w:rPr>
        <w:t>工作</w:t>
      </w:r>
      <w:r>
        <w:rPr>
          <w:rFonts w:hint="eastAsia" w:ascii="宋体" w:hAnsi="宋体" w:eastAsia="宋体" w:cs="宋体"/>
          <w:b w:val="0"/>
          <w:bCs w:val="0"/>
          <w:kern w:val="0"/>
          <w:sz w:val="20"/>
          <w:szCs w:val="20"/>
          <w:highlight w:val="none"/>
          <w:lang w:eastAsia="zh-CN"/>
        </w:rPr>
        <w:t>，包括渠道（湖）水面、坡面、道路、绿化带及所有配套设施的日常管理及维修等</w:t>
      </w:r>
      <w:r>
        <w:rPr>
          <w:rFonts w:hint="eastAsia" w:ascii="宋体" w:hAnsi="宋体" w:eastAsia="宋体" w:cs="宋体"/>
          <w:b w:val="0"/>
          <w:bCs w:val="0"/>
          <w:kern w:val="0"/>
          <w:sz w:val="20"/>
          <w:szCs w:val="20"/>
          <w:highlight w:val="none"/>
        </w:rPr>
        <w:t>。</w:t>
      </w:r>
    </w:p>
    <w:p w14:paraId="30CB20E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二、考核内容</w:t>
      </w:r>
    </w:p>
    <w:p w14:paraId="44D11EF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lang w:eastAsia="zh-CN"/>
        </w:rPr>
        <w:t>城排中心河湖精细化管理</w:t>
      </w:r>
      <w:r>
        <w:rPr>
          <w:rFonts w:hint="eastAsia" w:ascii="宋体" w:hAnsi="宋体" w:eastAsia="宋体" w:cs="宋体"/>
          <w:b w:val="0"/>
          <w:bCs w:val="0"/>
          <w:sz w:val="20"/>
          <w:szCs w:val="20"/>
          <w:highlight w:val="none"/>
        </w:rPr>
        <w:t>考核内容</w:t>
      </w:r>
      <w:r>
        <w:rPr>
          <w:rFonts w:hint="eastAsia" w:ascii="宋体" w:hAnsi="宋体" w:eastAsia="宋体" w:cs="宋体"/>
          <w:b w:val="0"/>
          <w:bCs w:val="0"/>
          <w:sz w:val="20"/>
          <w:szCs w:val="20"/>
          <w:highlight w:val="none"/>
          <w:lang w:eastAsia="zh-CN"/>
        </w:rPr>
        <w:t>主要</w:t>
      </w:r>
      <w:r>
        <w:rPr>
          <w:rFonts w:hint="eastAsia" w:ascii="宋体" w:hAnsi="宋体" w:eastAsia="宋体" w:cs="宋体"/>
          <w:b w:val="0"/>
          <w:bCs w:val="0"/>
          <w:sz w:val="20"/>
          <w:szCs w:val="20"/>
          <w:highlight w:val="none"/>
        </w:rPr>
        <w:t>包括以下</w:t>
      </w:r>
      <w:r>
        <w:rPr>
          <w:rFonts w:hint="eastAsia" w:ascii="宋体" w:hAnsi="宋体" w:eastAsia="宋体" w:cs="宋体"/>
          <w:b w:val="0"/>
          <w:bCs w:val="0"/>
          <w:sz w:val="20"/>
          <w:szCs w:val="20"/>
          <w:highlight w:val="none"/>
          <w:lang w:eastAsia="zh-CN"/>
        </w:rPr>
        <w:t>三</w:t>
      </w:r>
      <w:r>
        <w:rPr>
          <w:rFonts w:hint="eastAsia" w:ascii="宋体" w:hAnsi="宋体" w:eastAsia="宋体" w:cs="宋体"/>
          <w:b w:val="0"/>
          <w:bCs w:val="0"/>
          <w:sz w:val="20"/>
          <w:szCs w:val="20"/>
          <w:highlight w:val="none"/>
        </w:rPr>
        <w:t>方面</w:t>
      </w:r>
      <w:r>
        <w:rPr>
          <w:rFonts w:hint="eastAsia" w:ascii="宋体" w:hAnsi="宋体" w:eastAsia="宋体" w:cs="宋体"/>
          <w:b w:val="0"/>
          <w:bCs w:val="0"/>
          <w:sz w:val="20"/>
          <w:szCs w:val="20"/>
          <w:highlight w:val="none"/>
          <w:lang w:eastAsia="zh-CN"/>
        </w:rPr>
        <w:t>：</w:t>
      </w:r>
    </w:p>
    <w:p w14:paraId="1492DA8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w:t>
      </w:r>
      <w:r>
        <w:rPr>
          <w:rFonts w:hint="eastAsia" w:ascii="宋体" w:hAnsi="宋体" w:eastAsia="宋体" w:cs="宋体"/>
          <w:b w:val="0"/>
          <w:bCs w:val="0"/>
          <w:sz w:val="20"/>
          <w:szCs w:val="20"/>
          <w:highlight w:val="none"/>
          <w:lang w:eastAsia="zh-CN"/>
        </w:rPr>
        <w:t>养护单位巡查</w:t>
      </w:r>
    </w:p>
    <w:p w14:paraId="04E01E0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主要</w:t>
      </w:r>
      <w:r>
        <w:rPr>
          <w:rFonts w:hint="eastAsia" w:ascii="宋体" w:hAnsi="宋体" w:eastAsia="宋体" w:cs="宋体"/>
          <w:b w:val="0"/>
          <w:bCs w:val="0"/>
          <w:sz w:val="20"/>
          <w:szCs w:val="20"/>
          <w:highlight w:val="none"/>
          <w:lang w:eastAsia="zh-CN"/>
        </w:rPr>
        <w:t>考核养护单位项目负责人坚持</w:t>
      </w:r>
      <w:r>
        <w:rPr>
          <w:rFonts w:hint="eastAsia" w:ascii="宋体" w:hAnsi="宋体" w:eastAsia="宋体" w:cs="宋体"/>
          <w:b w:val="0"/>
          <w:bCs w:val="0"/>
          <w:sz w:val="20"/>
          <w:szCs w:val="20"/>
          <w:highlight w:val="none"/>
          <w:lang w:eastAsia="zh-CN"/>
        </w:rPr>
        <w:t>非汛期工作日内每周至少巡查一次，汛期每周至少巡查二次；养护单位巡查人员</w:t>
      </w:r>
      <w:r>
        <w:rPr>
          <w:rFonts w:hint="eastAsia" w:ascii="宋体" w:hAnsi="宋体" w:eastAsia="宋体" w:cs="宋体"/>
          <w:b w:val="0"/>
          <w:bCs w:val="0"/>
          <w:sz w:val="20"/>
          <w:szCs w:val="20"/>
          <w:highlight w:val="none"/>
          <w:lang w:eastAsia="zh-CN"/>
        </w:rPr>
        <w:t>坚持</w:t>
      </w:r>
      <w:r>
        <w:rPr>
          <w:rFonts w:hint="eastAsia" w:ascii="宋体" w:hAnsi="宋体" w:eastAsia="宋体" w:cs="宋体"/>
          <w:b w:val="0"/>
          <w:bCs w:val="0"/>
          <w:sz w:val="20"/>
          <w:szCs w:val="20"/>
          <w:highlight w:val="none"/>
          <w:lang w:eastAsia="zh-CN"/>
        </w:rPr>
        <w:t>非汛期工作日内每日至少巡查一次，汛期每日至少巡查二次。养护单位在巡查过程中</w:t>
      </w:r>
      <w:r>
        <w:rPr>
          <w:rFonts w:hint="eastAsia" w:ascii="宋体" w:hAnsi="宋体" w:eastAsia="宋体" w:cs="宋体"/>
          <w:b w:val="0"/>
          <w:bCs w:val="0"/>
          <w:sz w:val="20"/>
          <w:szCs w:val="20"/>
          <w:highlight w:val="none"/>
        </w:rPr>
        <w:t>排查问题、</w:t>
      </w:r>
      <w:r>
        <w:rPr>
          <w:rFonts w:hint="eastAsia" w:ascii="宋体" w:hAnsi="宋体" w:eastAsia="宋体" w:cs="宋体"/>
          <w:b w:val="0"/>
          <w:bCs w:val="0"/>
          <w:sz w:val="20"/>
          <w:szCs w:val="20"/>
          <w:highlight w:val="none"/>
          <w:lang w:eastAsia="zh-CN"/>
        </w:rPr>
        <w:t>反映问题或</w:t>
      </w:r>
      <w:r>
        <w:rPr>
          <w:rFonts w:hint="eastAsia" w:ascii="宋体" w:hAnsi="宋体" w:eastAsia="宋体" w:cs="宋体"/>
          <w:b w:val="0"/>
          <w:bCs w:val="0"/>
          <w:sz w:val="20"/>
          <w:szCs w:val="20"/>
          <w:highlight w:val="none"/>
        </w:rPr>
        <w:t>现场解决，</w:t>
      </w:r>
      <w:r>
        <w:rPr>
          <w:rFonts w:hint="eastAsia" w:ascii="宋体" w:hAnsi="宋体" w:eastAsia="宋体" w:cs="宋体"/>
          <w:b w:val="0"/>
          <w:bCs w:val="0"/>
          <w:sz w:val="20"/>
          <w:szCs w:val="20"/>
          <w:highlight w:val="none"/>
          <w:lang w:eastAsia="zh-CN"/>
        </w:rPr>
        <w:t>按照规定记录巡查情况，留存巡查照片，</w:t>
      </w:r>
      <w:r>
        <w:rPr>
          <w:rFonts w:hint="eastAsia" w:ascii="宋体" w:hAnsi="宋体" w:eastAsia="宋体" w:cs="宋体"/>
          <w:b w:val="0"/>
          <w:bCs w:val="0"/>
          <w:sz w:val="20"/>
          <w:szCs w:val="20"/>
          <w:highlight w:val="none"/>
        </w:rPr>
        <w:t>达到不断提高</w:t>
      </w:r>
      <w:r>
        <w:rPr>
          <w:rFonts w:hint="eastAsia" w:ascii="宋体" w:hAnsi="宋体" w:eastAsia="宋体" w:cs="宋体"/>
          <w:b w:val="0"/>
          <w:bCs w:val="0"/>
          <w:sz w:val="20"/>
          <w:szCs w:val="20"/>
          <w:highlight w:val="none"/>
          <w:lang w:eastAsia="zh-CN"/>
        </w:rPr>
        <w:t>河湖</w:t>
      </w:r>
      <w:r>
        <w:rPr>
          <w:rFonts w:hint="eastAsia" w:ascii="宋体" w:hAnsi="宋体" w:eastAsia="宋体" w:cs="宋体"/>
          <w:b w:val="0"/>
          <w:bCs w:val="0"/>
          <w:sz w:val="20"/>
          <w:szCs w:val="20"/>
          <w:highlight w:val="none"/>
        </w:rPr>
        <w:t>精细化管理水平的目的。</w:t>
      </w:r>
    </w:p>
    <w:p w14:paraId="7638FA5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（二）</w:t>
      </w:r>
      <w:r>
        <w:rPr>
          <w:rFonts w:hint="eastAsia" w:ascii="宋体" w:hAnsi="宋体" w:eastAsia="宋体" w:cs="宋体"/>
          <w:b w:val="0"/>
          <w:bCs w:val="0"/>
          <w:sz w:val="20"/>
          <w:szCs w:val="20"/>
          <w:highlight w:val="none"/>
          <w:lang w:eastAsia="zh-CN"/>
        </w:rPr>
        <w:t>考核</w:t>
      </w:r>
      <w:r>
        <w:rPr>
          <w:rFonts w:hint="eastAsia" w:ascii="宋体" w:hAnsi="宋体" w:eastAsia="宋体" w:cs="宋体"/>
          <w:b w:val="0"/>
          <w:bCs w:val="0"/>
          <w:sz w:val="20"/>
          <w:szCs w:val="20"/>
          <w:highlight w:val="none"/>
        </w:rPr>
        <w:t>标准</w:t>
      </w:r>
      <w:r>
        <w:rPr>
          <w:rFonts w:hint="eastAsia" w:ascii="宋体" w:hAnsi="宋体" w:eastAsia="宋体" w:cs="宋体"/>
          <w:b w:val="0"/>
          <w:bCs w:val="0"/>
          <w:sz w:val="20"/>
          <w:szCs w:val="20"/>
          <w:highlight w:val="none"/>
          <w:lang w:eastAsia="zh-CN"/>
        </w:rPr>
        <w:t>落实情况</w:t>
      </w:r>
    </w:p>
    <w:p w14:paraId="37AB2DF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主要考核</w:t>
      </w:r>
      <w:r>
        <w:rPr>
          <w:rFonts w:hint="eastAsia" w:ascii="宋体" w:hAnsi="宋体" w:eastAsia="宋体" w:cs="宋体"/>
          <w:b w:val="0"/>
          <w:bCs w:val="0"/>
          <w:sz w:val="20"/>
          <w:szCs w:val="20"/>
          <w:highlight w:val="none"/>
          <w:lang w:eastAsia="zh-CN"/>
        </w:rPr>
        <w:t>养护单位管理区域内</w:t>
      </w:r>
      <w:r>
        <w:rPr>
          <w:rFonts w:hint="eastAsia" w:ascii="宋体" w:hAnsi="宋体" w:eastAsia="宋体" w:cs="宋体"/>
          <w:b w:val="0"/>
          <w:bCs w:val="0"/>
          <w:sz w:val="20"/>
          <w:szCs w:val="20"/>
          <w:highlight w:val="none"/>
        </w:rPr>
        <w:t>水域维护、道路养护、护坡养护、绿化带养护、跨河桥缆、设施</w:t>
      </w:r>
      <w:r>
        <w:rPr>
          <w:rFonts w:hint="eastAsia" w:ascii="宋体" w:hAnsi="宋体" w:eastAsia="宋体" w:cs="宋体"/>
          <w:b w:val="0"/>
          <w:bCs w:val="0"/>
          <w:sz w:val="20"/>
          <w:szCs w:val="20"/>
          <w:highlight w:val="none"/>
          <w:lang w:eastAsia="zh-CN"/>
        </w:rPr>
        <w:t>设备</w:t>
      </w:r>
      <w:r>
        <w:rPr>
          <w:rFonts w:hint="eastAsia" w:ascii="宋体" w:hAnsi="宋体" w:eastAsia="宋体" w:cs="宋体"/>
          <w:b w:val="0"/>
          <w:bCs w:val="0"/>
          <w:sz w:val="20"/>
          <w:szCs w:val="20"/>
          <w:highlight w:val="none"/>
        </w:rPr>
        <w:t>管护、管理考核、舆论宣传等方面的内容，</w:t>
      </w:r>
      <w:r>
        <w:rPr>
          <w:rFonts w:hint="eastAsia" w:ascii="宋体" w:hAnsi="宋体" w:eastAsia="宋体" w:cs="宋体"/>
          <w:b w:val="0"/>
          <w:bCs w:val="0"/>
          <w:sz w:val="20"/>
          <w:szCs w:val="20"/>
          <w:highlight w:val="none"/>
        </w:rPr>
        <w:t>具体养护标准</w:t>
      </w:r>
      <w:r>
        <w:rPr>
          <w:rFonts w:hint="eastAsia" w:ascii="宋体" w:hAnsi="宋体" w:eastAsia="宋体" w:cs="宋体"/>
          <w:b w:val="0"/>
          <w:bCs w:val="0"/>
          <w:sz w:val="20"/>
          <w:szCs w:val="20"/>
          <w:highlight w:val="none"/>
          <w:lang w:eastAsia="zh-CN"/>
        </w:rPr>
        <w:t>见附件执行</w:t>
      </w:r>
      <w:r>
        <w:rPr>
          <w:rFonts w:hint="eastAsia" w:ascii="宋体" w:hAnsi="宋体" w:eastAsia="宋体" w:cs="宋体"/>
          <w:b w:val="0"/>
          <w:bCs w:val="0"/>
          <w:sz w:val="20"/>
          <w:szCs w:val="20"/>
          <w:highlight w:val="none"/>
        </w:rPr>
        <w:t>。</w:t>
      </w:r>
    </w:p>
    <w:p w14:paraId="1C1ECD5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rPr>
        <w:t>（三）信息</w:t>
      </w:r>
      <w:r>
        <w:rPr>
          <w:rFonts w:hint="eastAsia" w:ascii="宋体" w:hAnsi="宋体" w:eastAsia="宋体" w:cs="宋体"/>
          <w:b w:val="0"/>
          <w:bCs w:val="0"/>
          <w:sz w:val="20"/>
          <w:szCs w:val="20"/>
          <w:highlight w:val="none"/>
          <w:lang w:eastAsia="zh-CN"/>
        </w:rPr>
        <w:t>报送情况</w:t>
      </w:r>
    </w:p>
    <w:p w14:paraId="58B4F48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lang w:val="en-US" w:eastAsia="zh-CN"/>
        </w:rPr>
        <w:t>按照</w:t>
      </w:r>
      <w:r>
        <w:rPr>
          <w:rFonts w:hint="eastAsia" w:ascii="宋体" w:hAnsi="宋体" w:eastAsia="宋体" w:cs="宋体"/>
          <w:b w:val="0"/>
          <w:bCs w:val="0"/>
          <w:sz w:val="20"/>
          <w:szCs w:val="20"/>
          <w:highlight w:val="none"/>
        </w:rPr>
        <w:t>规定</w:t>
      </w:r>
      <w:r>
        <w:rPr>
          <w:rFonts w:hint="eastAsia" w:ascii="宋体" w:hAnsi="宋体" w:eastAsia="宋体" w:cs="宋体"/>
          <w:b w:val="0"/>
          <w:bCs w:val="0"/>
          <w:sz w:val="20"/>
          <w:szCs w:val="20"/>
          <w:highlight w:val="none"/>
          <w:lang w:eastAsia="zh-CN"/>
        </w:rPr>
        <w:t>报送日常养护及专项工作</w:t>
      </w:r>
      <w:r>
        <w:rPr>
          <w:rFonts w:hint="eastAsia" w:ascii="宋体" w:hAnsi="宋体" w:eastAsia="宋体" w:cs="宋体"/>
          <w:b w:val="0"/>
          <w:bCs w:val="0"/>
          <w:sz w:val="20"/>
          <w:szCs w:val="20"/>
          <w:highlight w:val="none"/>
        </w:rPr>
        <w:t>动态</w:t>
      </w:r>
      <w:r>
        <w:rPr>
          <w:rFonts w:hint="eastAsia" w:ascii="宋体" w:hAnsi="宋体" w:eastAsia="宋体" w:cs="宋体"/>
          <w:b w:val="0"/>
          <w:bCs w:val="0"/>
          <w:sz w:val="20"/>
          <w:szCs w:val="20"/>
          <w:highlight w:val="none"/>
          <w:lang w:val="en-US" w:eastAsia="zh-CN"/>
        </w:rPr>
        <w:t>等</w:t>
      </w:r>
      <w:r>
        <w:rPr>
          <w:rFonts w:hint="eastAsia" w:ascii="宋体" w:hAnsi="宋体" w:eastAsia="宋体" w:cs="宋体"/>
          <w:b w:val="0"/>
          <w:bCs w:val="0"/>
          <w:sz w:val="20"/>
          <w:szCs w:val="20"/>
          <w:highlight w:val="none"/>
        </w:rPr>
        <w:t>，全面展示</w:t>
      </w:r>
      <w:r>
        <w:rPr>
          <w:rFonts w:hint="eastAsia" w:ascii="宋体" w:hAnsi="宋体" w:eastAsia="宋体" w:cs="宋体"/>
          <w:b w:val="0"/>
          <w:bCs w:val="0"/>
          <w:sz w:val="20"/>
          <w:szCs w:val="20"/>
          <w:highlight w:val="none"/>
          <w:lang w:eastAsia="zh-CN"/>
        </w:rPr>
        <w:t>工作中</w:t>
      </w:r>
      <w:r>
        <w:rPr>
          <w:rFonts w:hint="eastAsia" w:ascii="宋体" w:hAnsi="宋体" w:eastAsia="宋体" w:cs="宋体"/>
          <w:b w:val="0"/>
          <w:bCs w:val="0"/>
          <w:sz w:val="20"/>
          <w:szCs w:val="20"/>
          <w:highlight w:val="none"/>
        </w:rPr>
        <w:t>排查问题</w:t>
      </w:r>
      <w:r>
        <w:rPr>
          <w:rFonts w:hint="eastAsia" w:ascii="宋体" w:hAnsi="宋体" w:eastAsia="宋体" w:cs="宋体"/>
          <w:b w:val="0"/>
          <w:bCs w:val="0"/>
          <w:sz w:val="20"/>
          <w:szCs w:val="20"/>
          <w:highlight w:val="none"/>
          <w:lang w:eastAsia="zh-CN"/>
        </w:rPr>
        <w:t>、工作开展、解决结果等情况</w:t>
      </w:r>
      <w:r>
        <w:rPr>
          <w:rFonts w:hint="eastAsia" w:ascii="宋体" w:hAnsi="宋体" w:eastAsia="宋体" w:cs="宋体"/>
          <w:b w:val="0"/>
          <w:bCs w:val="0"/>
          <w:sz w:val="20"/>
          <w:szCs w:val="20"/>
          <w:highlight w:val="none"/>
        </w:rPr>
        <w:t>。</w:t>
      </w:r>
    </w:p>
    <w:p w14:paraId="220AA7A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三、考核方式</w:t>
      </w:r>
    </w:p>
    <w:p w14:paraId="78883B3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lang w:eastAsia="zh-CN"/>
        </w:rPr>
        <w:t>（一）精细化</w:t>
      </w:r>
      <w:r>
        <w:rPr>
          <w:rFonts w:hint="eastAsia" w:ascii="宋体" w:hAnsi="宋体" w:eastAsia="宋体" w:cs="宋体"/>
          <w:b w:val="0"/>
          <w:bCs w:val="0"/>
          <w:sz w:val="20"/>
          <w:szCs w:val="20"/>
          <w:highlight w:val="none"/>
        </w:rPr>
        <w:t>考核工作由</w:t>
      </w:r>
      <w:r>
        <w:rPr>
          <w:rFonts w:hint="eastAsia" w:ascii="宋体" w:hAnsi="宋体" w:eastAsia="宋体" w:cs="宋体"/>
          <w:b w:val="0"/>
          <w:bCs w:val="0"/>
          <w:sz w:val="20"/>
          <w:szCs w:val="20"/>
          <w:highlight w:val="none"/>
          <w:lang w:eastAsia="zh-CN"/>
        </w:rPr>
        <w:t>城排</w:t>
      </w:r>
      <w:r>
        <w:rPr>
          <w:rFonts w:hint="eastAsia" w:ascii="宋体" w:hAnsi="宋体" w:eastAsia="宋体" w:cs="宋体"/>
          <w:b w:val="0"/>
          <w:bCs w:val="0"/>
          <w:sz w:val="20"/>
          <w:szCs w:val="20"/>
          <w:highlight w:val="none"/>
        </w:rPr>
        <w:t>中心负责，对</w:t>
      </w:r>
      <w:r>
        <w:rPr>
          <w:rFonts w:hint="eastAsia" w:ascii="宋体" w:hAnsi="宋体" w:eastAsia="宋体" w:cs="宋体"/>
          <w:b w:val="0"/>
          <w:bCs w:val="0"/>
          <w:sz w:val="20"/>
          <w:szCs w:val="20"/>
          <w:highlight w:val="none"/>
          <w:lang w:eastAsia="zh-CN"/>
        </w:rPr>
        <w:t>养护单位</w:t>
      </w:r>
      <w:r>
        <w:rPr>
          <w:rFonts w:hint="eastAsia" w:ascii="宋体" w:hAnsi="宋体" w:eastAsia="宋体" w:cs="宋体"/>
          <w:b w:val="0"/>
          <w:bCs w:val="0"/>
          <w:sz w:val="20"/>
          <w:szCs w:val="20"/>
          <w:highlight w:val="none"/>
        </w:rPr>
        <w:t>日常管理工作进行考核。</w:t>
      </w:r>
    </w:p>
    <w:p w14:paraId="16E1AE8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lang w:eastAsia="zh-CN"/>
        </w:rPr>
        <w:t>（二）精细化</w:t>
      </w:r>
      <w:r>
        <w:rPr>
          <w:rFonts w:hint="eastAsia" w:ascii="宋体" w:hAnsi="宋体" w:eastAsia="宋体" w:cs="宋体"/>
          <w:b w:val="0"/>
          <w:bCs w:val="0"/>
          <w:sz w:val="20"/>
          <w:szCs w:val="20"/>
          <w:highlight w:val="none"/>
        </w:rPr>
        <w:t>管理检查采取</w:t>
      </w:r>
      <w:r>
        <w:rPr>
          <w:rFonts w:hint="eastAsia" w:ascii="宋体" w:hAnsi="宋体" w:eastAsia="宋体" w:cs="宋体"/>
          <w:b w:val="0"/>
          <w:bCs w:val="0"/>
          <w:sz w:val="20"/>
          <w:szCs w:val="20"/>
          <w:highlight w:val="none"/>
          <w:lang w:eastAsia="zh-CN"/>
        </w:rPr>
        <w:t>随</w:t>
      </w:r>
      <w:r>
        <w:rPr>
          <w:rFonts w:hint="eastAsia" w:ascii="宋体" w:hAnsi="宋体" w:eastAsia="宋体" w:cs="宋体"/>
          <w:b w:val="0"/>
          <w:bCs w:val="0"/>
          <w:sz w:val="20"/>
          <w:szCs w:val="20"/>
          <w:highlight w:val="none"/>
          <w:lang w:val="en-US" w:eastAsia="zh-CN"/>
        </w:rPr>
        <w:t>机</w:t>
      </w:r>
      <w:r>
        <w:rPr>
          <w:rFonts w:hint="eastAsia" w:ascii="宋体" w:hAnsi="宋体" w:eastAsia="宋体" w:cs="宋体"/>
          <w:b w:val="0"/>
          <w:bCs w:val="0"/>
          <w:sz w:val="20"/>
          <w:szCs w:val="20"/>
          <w:highlight w:val="none"/>
          <w:lang w:eastAsia="zh-CN"/>
        </w:rPr>
        <w:t>抽查</w:t>
      </w:r>
      <w:r>
        <w:rPr>
          <w:rFonts w:hint="eastAsia" w:ascii="宋体" w:hAnsi="宋体" w:eastAsia="宋体" w:cs="宋体"/>
          <w:b w:val="0"/>
          <w:bCs w:val="0"/>
          <w:sz w:val="20"/>
          <w:szCs w:val="20"/>
          <w:highlight w:val="none"/>
        </w:rPr>
        <w:t>和重点</w:t>
      </w:r>
      <w:r>
        <w:rPr>
          <w:rFonts w:hint="eastAsia" w:ascii="宋体" w:hAnsi="宋体" w:eastAsia="宋体" w:cs="宋体"/>
          <w:b w:val="0"/>
          <w:bCs w:val="0"/>
          <w:sz w:val="20"/>
          <w:szCs w:val="20"/>
          <w:highlight w:val="none"/>
          <w:lang w:eastAsia="zh-CN"/>
        </w:rPr>
        <w:t>检查</w:t>
      </w:r>
      <w:r>
        <w:rPr>
          <w:rFonts w:hint="eastAsia" w:ascii="宋体" w:hAnsi="宋体" w:eastAsia="宋体" w:cs="宋体"/>
          <w:b w:val="0"/>
          <w:bCs w:val="0"/>
          <w:sz w:val="20"/>
          <w:szCs w:val="20"/>
          <w:highlight w:val="none"/>
        </w:rPr>
        <w:t>相结合的方式进行。</w:t>
      </w:r>
    </w:p>
    <w:p w14:paraId="2E4736E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lang w:val="en-US" w:eastAsia="zh-CN"/>
        </w:rPr>
        <w:t>1.随机抽查</w:t>
      </w:r>
      <w:r>
        <w:rPr>
          <w:rFonts w:hint="eastAsia" w:ascii="宋体" w:hAnsi="宋体" w:eastAsia="宋体" w:cs="宋体"/>
          <w:b w:val="0"/>
          <w:bCs w:val="0"/>
          <w:sz w:val="20"/>
          <w:szCs w:val="20"/>
          <w:highlight w:val="none"/>
          <w:lang w:eastAsia="zh-CN"/>
        </w:rPr>
        <w:t>：联评当天每个管理站分别随</w:t>
      </w:r>
      <w:r>
        <w:rPr>
          <w:rFonts w:hint="eastAsia" w:ascii="宋体" w:hAnsi="宋体" w:eastAsia="宋体" w:cs="宋体"/>
          <w:b w:val="0"/>
          <w:bCs w:val="0"/>
          <w:sz w:val="20"/>
          <w:szCs w:val="20"/>
          <w:highlight w:val="none"/>
          <w:lang w:val="en-US" w:eastAsia="zh-CN"/>
        </w:rPr>
        <w:t>机</w:t>
      </w:r>
      <w:r>
        <w:rPr>
          <w:rFonts w:hint="eastAsia" w:ascii="宋体" w:hAnsi="宋体" w:eastAsia="宋体" w:cs="宋体"/>
          <w:b w:val="0"/>
          <w:bCs w:val="0"/>
          <w:sz w:val="20"/>
          <w:szCs w:val="20"/>
          <w:highlight w:val="none"/>
          <w:lang w:eastAsia="zh-CN"/>
        </w:rPr>
        <w:t>抽取</w:t>
      </w:r>
      <w:r>
        <w:rPr>
          <w:rFonts w:hint="eastAsia" w:ascii="宋体" w:hAnsi="宋体" w:eastAsia="宋体" w:cs="宋体"/>
          <w:b w:val="0"/>
          <w:bCs w:val="0"/>
          <w:sz w:val="20"/>
          <w:szCs w:val="20"/>
          <w:highlight w:val="none"/>
          <w:lang w:val="en-US" w:eastAsia="zh-CN"/>
        </w:rPr>
        <w:t>各河道</w:t>
      </w:r>
      <w:r>
        <w:rPr>
          <w:rFonts w:hint="eastAsia" w:ascii="宋体" w:hAnsi="宋体" w:eastAsia="宋体" w:cs="宋体"/>
          <w:b w:val="0"/>
          <w:bCs w:val="0"/>
          <w:sz w:val="20"/>
          <w:szCs w:val="20"/>
          <w:highlight w:val="none"/>
          <w:lang w:eastAsia="zh-CN"/>
        </w:rPr>
        <w:t>及渠道一个段进行现场检查，根据</w:t>
      </w:r>
      <w:r>
        <w:rPr>
          <w:rFonts w:hint="eastAsia" w:ascii="宋体" w:hAnsi="宋体" w:eastAsia="宋体" w:cs="宋体"/>
          <w:b w:val="0"/>
          <w:bCs w:val="0"/>
          <w:sz w:val="20"/>
          <w:szCs w:val="20"/>
          <w:highlight w:val="none"/>
          <w:lang w:val="en-US" w:eastAsia="zh-CN"/>
        </w:rPr>
        <w:t>各</w:t>
      </w:r>
      <w:r>
        <w:rPr>
          <w:rFonts w:hint="eastAsia" w:ascii="宋体" w:hAnsi="宋体" w:eastAsia="宋体" w:cs="宋体"/>
          <w:b w:val="0"/>
          <w:bCs w:val="0"/>
          <w:sz w:val="20"/>
          <w:szCs w:val="20"/>
          <w:highlight w:val="none"/>
          <w:lang w:eastAsia="zh-CN"/>
        </w:rPr>
        <w:t>养护段的检查情况进行综合打分。</w:t>
      </w:r>
    </w:p>
    <w:p w14:paraId="7A19120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lang w:val="en-US" w:eastAsia="zh-CN"/>
        </w:rPr>
        <w:t>2.</w:t>
      </w:r>
      <w:r>
        <w:rPr>
          <w:rFonts w:hint="eastAsia" w:ascii="宋体" w:hAnsi="宋体" w:eastAsia="宋体" w:cs="宋体"/>
          <w:b w:val="0"/>
          <w:bCs w:val="0"/>
          <w:sz w:val="20"/>
          <w:szCs w:val="20"/>
          <w:highlight w:val="none"/>
        </w:rPr>
        <w:t>重点</w:t>
      </w:r>
      <w:r>
        <w:rPr>
          <w:rFonts w:hint="eastAsia" w:ascii="宋体" w:hAnsi="宋体" w:eastAsia="宋体" w:cs="宋体"/>
          <w:b w:val="0"/>
          <w:bCs w:val="0"/>
          <w:sz w:val="20"/>
          <w:szCs w:val="20"/>
          <w:highlight w:val="none"/>
          <w:lang w:eastAsia="zh-CN"/>
        </w:rPr>
        <w:t>检查</w:t>
      </w: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中心领导及运行部对管辖的</w:t>
      </w:r>
      <w:r>
        <w:rPr>
          <w:rFonts w:hint="eastAsia" w:ascii="宋体" w:hAnsi="宋体" w:eastAsia="宋体" w:cs="宋体"/>
          <w:b w:val="0"/>
          <w:bCs w:val="0"/>
          <w:sz w:val="20"/>
          <w:szCs w:val="20"/>
          <w:highlight w:val="none"/>
          <w:lang w:val="en-US" w:eastAsia="zh-CN"/>
        </w:rPr>
        <w:t>河道</w:t>
      </w:r>
      <w:r>
        <w:rPr>
          <w:rFonts w:hint="eastAsia" w:ascii="宋体" w:hAnsi="宋体" w:eastAsia="宋体" w:cs="宋体"/>
          <w:b w:val="0"/>
          <w:bCs w:val="0"/>
          <w:sz w:val="20"/>
          <w:szCs w:val="20"/>
          <w:highlight w:val="none"/>
          <w:lang w:eastAsia="zh-CN"/>
        </w:rPr>
        <w:t>及渠道部分进行检查，</w:t>
      </w:r>
      <w:r>
        <w:rPr>
          <w:rFonts w:hint="eastAsia" w:ascii="宋体" w:hAnsi="宋体" w:eastAsia="宋体" w:cs="宋体"/>
          <w:b w:val="0"/>
          <w:bCs w:val="0"/>
          <w:sz w:val="20"/>
          <w:szCs w:val="20"/>
          <w:highlight w:val="none"/>
          <w:lang w:eastAsia="zh-CN"/>
        </w:rPr>
        <w:t>每发现一个问题扣除相应分值</w:t>
      </w:r>
      <w:r>
        <w:rPr>
          <w:rFonts w:hint="eastAsia" w:ascii="宋体" w:hAnsi="宋体" w:eastAsia="宋体" w:cs="宋体"/>
          <w:b w:val="0"/>
          <w:bCs w:val="0"/>
          <w:sz w:val="20"/>
          <w:szCs w:val="20"/>
          <w:highlight w:val="none"/>
        </w:rPr>
        <w:t>。</w:t>
      </w:r>
    </w:p>
    <w:p w14:paraId="487E9EB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pacing w:val="-11"/>
          <w:sz w:val="20"/>
          <w:szCs w:val="20"/>
          <w:highlight w:val="none"/>
        </w:rPr>
      </w:pPr>
      <w:r>
        <w:rPr>
          <w:rFonts w:hint="eastAsia" w:ascii="宋体" w:hAnsi="宋体" w:eastAsia="宋体" w:cs="宋体"/>
          <w:b w:val="0"/>
          <w:bCs w:val="0"/>
          <w:sz w:val="20"/>
          <w:szCs w:val="20"/>
          <w:highlight w:val="none"/>
          <w:lang w:eastAsia="zh-CN"/>
        </w:rPr>
        <w:t>（三）</w:t>
      </w:r>
      <w:r>
        <w:rPr>
          <w:rFonts w:hint="eastAsia" w:ascii="宋体" w:hAnsi="宋体" w:eastAsia="宋体" w:cs="宋体"/>
          <w:b w:val="0"/>
          <w:bCs w:val="0"/>
          <w:sz w:val="20"/>
          <w:szCs w:val="20"/>
          <w:highlight w:val="none"/>
        </w:rPr>
        <w:t>考核工作按</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进行，在</w:t>
      </w:r>
      <w:r>
        <w:rPr>
          <w:rFonts w:hint="eastAsia" w:ascii="宋体" w:hAnsi="宋体" w:eastAsia="宋体" w:cs="宋体"/>
          <w:b w:val="0"/>
          <w:bCs w:val="0"/>
          <w:sz w:val="20"/>
          <w:szCs w:val="20"/>
          <w:highlight w:val="none"/>
          <w:lang w:eastAsia="zh-CN"/>
        </w:rPr>
        <w:t>次月</w:t>
      </w:r>
      <w:r>
        <w:rPr>
          <w:rFonts w:hint="eastAsia" w:ascii="宋体" w:hAnsi="宋体" w:eastAsia="宋体" w:cs="宋体"/>
          <w:b w:val="0"/>
          <w:bCs w:val="0"/>
          <w:sz w:val="20"/>
          <w:szCs w:val="20"/>
          <w:highlight w:val="none"/>
          <w:lang w:val="en-US" w:eastAsia="zh-CN"/>
        </w:rPr>
        <w:t>10</w:t>
      </w:r>
      <w:r>
        <w:rPr>
          <w:rFonts w:hint="eastAsia" w:ascii="宋体" w:hAnsi="宋体" w:eastAsia="宋体" w:cs="宋体"/>
          <w:b w:val="0"/>
          <w:bCs w:val="0"/>
          <w:sz w:val="20"/>
          <w:szCs w:val="20"/>
          <w:highlight w:val="none"/>
        </w:rPr>
        <w:t>日前完成考核工作。</w:t>
      </w:r>
      <w:r>
        <w:rPr>
          <w:rFonts w:hint="eastAsia" w:ascii="宋体" w:hAnsi="宋体" w:eastAsia="宋体" w:cs="宋体"/>
          <w:b w:val="0"/>
          <w:bCs w:val="0"/>
          <w:sz w:val="20"/>
          <w:szCs w:val="20"/>
          <w:highlight w:val="none"/>
          <w:lang w:eastAsia="zh-CN"/>
        </w:rPr>
        <w:t>考核评分为百分制，</w:t>
      </w:r>
      <w:r>
        <w:rPr>
          <w:rFonts w:hint="eastAsia" w:ascii="宋体" w:hAnsi="宋体" w:eastAsia="宋体" w:cs="宋体"/>
          <w:b w:val="0"/>
          <w:bCs w:val="0"/>
          <w:sz w:val="20"/>
          <w:szCs w:val="20"/>
          <w:highlight w:val="none"/>
        </w:rPr>
        <w:t>考核结果分为优秀、</w:t>
      </w:r>
      <w:r>
        <w:rPr>
          <w:rFonts w:hint="eastAsia" w:ascii="宋体" w:hAnsi="宋体" w:eastAsia="宋体" w:cs="宋体"/>
          <w:b w:val="0"/>
          <w:bCs w:val="0"/>
          <w:sz w:val="20"/>
          <w:szCs w:val="20"/>
          <w:highlight w:val="none"/>
          <w:lang w:eastAsia="zh-CN"/>
        </w:rPr>
        <w:t>良好</w:t>
      </w:r>
      <w:r>
        <w:rPr>
          <w:rFonts w:hint="eastAsia" w:ascii="宋体" w:hAnsi="宋体" w:eastAsia="宋体" w:cs="宋体"/>
          <w:b w:val="0"/>
          <w:bCs w:val="0"/>
          <w:sz w:val="20"/>
          <w:szCs w:val="20"/>
          <w:highlight w:val="none"/>
        </w:rPr>
        <w:t>、合格</w:t>
      </w:r>
      <w:r>
        <w:rPr>
          <w:rFonts w:hint="eastAsia" w:ascii="宋体" w:hAnsi="宋体" w:eastAsia="宋体" w:cs="宋体"/>
          <w:b w:val="0"/>
          <w:bCs w:val="0"/>
          <w:sz w:val="20"/>
          <w:szCs w:val="20"/>
          <w:highlight w:val="none"/>
          <w:lang w:eastAsia="zh-CN"/>
        </w:rPr>
        <w:t>、不合格四</w:t>
      </w:r>
      <w:r>
        <w:rPr>
          <w:rFonts w:hint="eastAsia" w:ascii="宋体" w:hAnsi="宋体" w:eastAsia="宋体" w:cs="宋体"/>
          <w:b w:val="0"/>
          <w:bCs w:val="0"/>
          <w:spacing w:val="-11"/>
          <w:sz w:val="20"/>
          <w:szCs w:val="20"/>
          <w:highlight w:val="none"/>
        </w:rPr>
        <w:t>个等次，考核结果总分达到90分（含）以上为优秀，85分</w:t>
      </w:r>
      <w:r>
        <w:rPr>
          <w:rFonts w:hint="eastAsia" w:ascii="宋体" w:hAnsi="宋体" w:eastAsia="宋体" w:cs="宋体"/>
          <w:b w:val="0"/>
          <w:bCs w:val="0"/>
          <w:spacing w:val="-11"/>
          <w:sz w:val="20"/>
          <w:szCs w:val="20"/>
          <w:highlight w:val="none"/>
          <w:lang w:eastAsia="zh-CN"/>
        </w:rPr>
        <w:t>（含）</w:t>
      </w:r>
      <w:r>
        <w:rPr>
          <w:rFonts w:hint="eastAsia" w:ascii="宋体" w:hAnsi="宋体" w:eastAsia="宋体" w:cs="宋体"/>
          <w:b w:val="0"/>
          <w:bCs w:val="0"/>
          <w:spacing w:val="-11"/>
          <w:sz w:val="20"/>
          <w:szCs w:val="20"/>
          <w:highlight w:val="none"/>
        </w:rPr>
        <w:t>-</w:t>
      </w:r>
      <w:r>
        <w:rPr>
          <w:rFonts w:hint="eastAsia" w:ascii="宋体" w:hAnsi="宋体" w:eastAsia="宋体" w:cs="宋体"/>
          <w:b w:val="0"/>
          <w:bCs w:val="0"/>
          <w:spacing w:val="-11"/>
          <w:sz w:val="20"/>
          <w:szCs w:val="20"/>
          <w:highlight w:val="none"/>
          <w:lang w:val="en-US" w:eastAsia="zh-CN"/>
        </w:rPr>
        <w:t>90</w:t>
      </w:r>
      <w:r>
        <w:rPr>
          <w:rFonts w:hint="eastAsia" w:ascii="宋体" w:hAnsi="宋体" w:eastAsia="宋体" w:cs="宋体"/>
          <w:b w:val="0"/>
          <w:bCs w:val="0"/>
          <w:spacing w:val="-11"/>
          <w:sz w:val="20"/>
          <w:szCs w:val="20"/>
          <w:highlight w:val="none"/>
        </w:rPr>
        <w:t>分</w:t>
      </w:r>
      <w:r>
        <w:rPr>
          <w:rFonts w:hint="eastAsia" w:ascii="宋体" w:hAnsi="宋体" w:eastAsia="宋体" w:cs="宋体"/>
          <w:b w:val="0"/>
          <w:bCs w:val="0"/>
          <w:spacing w:val="-11"/>
          <w:sz w:val="20"/>
          <w:szCs w:val="20"/>
          <w:highlight w:val="none"/>
          <w:lang w:eastAsia="zh-CN"/>
        </w:rPr>
        <w:t>（不含）</w:t>
      </w:r>
      <w:r>
        <w:rPr>
          <w:rFonts w:hint="eastAsia" w:ascii="宋体" w:hAnsi="宋体" w:eastAsia="宋体" w:cs="宋体"/>
          <w:b w:val="0"/>
          <w:bCs w:val="0"/>
          <w:spacing w:val="-11"/>
          <w:sz w:val="20"/>
          <w:szCs w:val="20"/>
          <w:highlight w:val="none"/>
        </w:rPr>
        <w:t>为</w:t>
      </w:r>
      <w:r>
        <w:rPr>
          <w:rFonts w:hint="eastAsia" w:ascii="宋体" w:hAnsi="宋体" w:eastAsia="宋体" w:cs="宋体"/>
          <w:b w:val="0"/>
          <w:bCs w:val="0"/>
          <w:spacing w:val="-11"/>
          <w:sz w:val="20"/>
          <w:szCs w:val="20"/>
          <w:highlight w:val="none"/>
          <w:lang w:eastAsia="zh-CN"/>
        </w:rPr>
        <w:t>良好</w:t>
      </w:r>
      <w:r>
        <w:rPr>
          <w:rFonts w:hint="eastAsia" w:ascii="宋体" w:hAnsi="宋体" w:eastAsia="宋体" w:cs="宋体"/>
          <w:b w:val="0"/>
          <w:bCs w:val="0"/>
          <w:spacing w:val="-11"/>
          <w:sz w:val="20"/>
          <w:szCs w:val="20"/>
          <w:highlight w:val="none"/>
        </w:rPr>
        <w:t>，8</w:t>
      </w:r>
      <w:r>
        <w:rPr>
          <w:rFonts w:hint="eastAsia" w:ascii="宋体" w:hAnsi="宋体" w:eastAsia="宋体" w:cs="宋体"/>
          <w:b w:val="0"/>
          <w:bCs w:val="0"/>
          <w:spacing w:val="-11"/>
          <w:sz w:val="20"/>
          <w:szCs w:val="20"/>
          <w:highlight w:val="none"/>
          <w:lang w:val="en-US" w:eastAsia="zh-CN"/>
        </w:rPr>
        <w:t>0</w:t>
      </w:r>
      <w:r>
        <w:rPr>
          <w:rFonts w:hint="eastAsia" w:ascii="宋体" w:hAnsi="宋体" w:eastAsia="宋体" w:cs="宋体"/>
          <w:b w:val="0"/>
          <w:bCs w:val="0"/>
          <w:spacing w:val="-11"/>
          <w:sz w:val="20"/>
          <w:szCs w:val="20"/>
          <w:highlight w:val="none"/>
        </w:rPr>
        <w:t>分</w:t>
      </w:r>
      <w:r>
        <w:rPr>
          <w:rFonts w:hint="eastAsia" w:ascii="宋体" w:hAnsi="宋体" w:eastAsia="宋体" w:cs="宋体"/>
          <w:b w:val="0"/>
          <w:bCs w:val="0"/>
          <w:spacing w:val="-11"/>
          <w:sz w:val="20"/>
          <w:szCs w:val="20"/>
          <w:highlight w:val="none"/>
          <w:lang w:eastAsia="zh-CN"/>
        </w:rPr>
        <w:t>（含）</w:t>
      </w:r>
      <w:r>
        <w:rPr>
          <w:rFonts w:hint="eastAsia" w:ascii="宋体" w:hAnsi="宋体" w:eastAsia="宋体" w:cs="宋体"/>
          <w:b w:val="0"/>
          <w:bCs w:val="0"/>
          <w:spacing w:val="-11"/>
          <w:sz w:val="20"/>
          <w:szCs w:val="20"/>
          <w:highlight w:val="none"/>
          <w:lang w:val="en-US" w:eastAsia="zh-CN"/>
        </w:rPr>
        <w:t>-85</w:t>
      </w:r>
      <w:r>
        <w:rPr>
          <w:rFonts w:hint="eastAsia" w:ascii="宋体" w:hAnsi="宋体" w:eastAsia="宋体" w:cs="宋体"/>
          <w:b w:val="0"/>
          <w:bCs w:val="0"/>
          <w:spacing w:val="-11"/>
          <w:sz w:val="20"/>
          <w:szCs w:val="20"/>
          <w:highlight w:val="none"/>
        </w:rPr>
        <w:t>分</w:t>
      </w:r>
      <w:r>
        <w:rPr>
          <w:rFonts w:hint="eastAsia" w:ascii="宋体" w:hAnsi="宋体" w:eastAsia="宋体" w:cs="宋体"/>
          <w:b w:val="0"/>
          <w:bCs w:val="0"/>
          <w:spacing w:val="-11"/>
          <w:sz w:val="20"/>
          <w:szCs w:val="20"/>
          <w:highlight w:val="none"/>
          <w:lang w:eastAsia="zh-CN"/>
        </w:rPr>
        <w:t>（不含）</w:t>
      </w:r>
      <w:r>
        <w:rPr>
          <w:rFonts w:hint="eastAsia" w:ascii="宋体" w:hAnsi="宋体" w:eastAsia="宋体" w:cs="宋体"/>
          <w:b w:val="0"/>
          <w:bCs w:val="0"/>
          <w:spacing w:val="-11"/>
          <w:sz w:val="20"/>
          <w:szCs w:val="20"/>
          <w:highlight w:val="none"/>
        </w:rPr>
        <w:t>为合格</w:t>
      </w:r>
      <w:r>
        <w:rPr>
          <w:rFonts w:hint="eastAsia" w:ascii="宋体" w:hAnsi="宋体" w:eastAsia="宋体" w:cs="宋体"/>
          <w:b w:val="0"/>
          <w:bCs w:val="0"/>
          <w:spacing w:val="-11"/>
          <w:sz w:val="20"/>
          <w:szCs w:val="20"/>
          <w:highlight w:val="none"/>
          <w:lang w:eastAsia="zh-CN"/>
        </w:rPr>
        <w:t>，</w:t>
      </w:r>
      <w:r>
        <w:rPr>
          <w:rFonts w:hint="eastAsia" w:ascii="宋体" w:hAnsi="宋体" w:eastAsia="宋体" w:cs="宋体"/>
          <w:b w:val="0"/>
          <w:bCs w:val="0"/>
          <w:spacing w:val="-11"/>
          <w:sz w:val="20"/>
          <w:szCs w:val="20"/>
          <w:highlight w:val="none"/>
          <w:lang w:val="en-US" w:eastAsia="zh-CN"/>
        </w:rPr>
        <w:t>80分</w:t>
      </w:r>
      <w:r>
        <w:rPr>
          <w:rFonts w:hint="eastAsia" w:ascii="宋体" w:hAnsi="宋体" w:eastAsia="宋体" w:cs="宋体"/>
          <w:b w:val="0"/>
          <w:bCs w:val="0"/>
          <w:spacing w:val="-11"/>
          <w:sz w:val="20"/>
          <w:szCs w:val="20"/>
          <w:highlight w:val="none"/>
          <w:lang w:eastAsia="zh-CN"/>
        </w:rPr>
        <w:t>（不含）</w:t>
      </w:r>
      <w:r>
        <w:rPr>
          <w:rFonts w:hint="eastAsia" w:ascii="宋体" w:hAnsi="宋体" w:eastAsia="宋体" w:cs="宋体"/>
          <w:b w:val="0"/>
          <w:bCs w:val="0"/>
          <w:spacing w:val="-11"/>
          <w:sz w:val="20"/>
          <w:szCs w:val="20"/>
          <w:highlight w:val="none"/>
          <w:lang w:val="en-US" w:eastAsia="zh-CN"/>
        </w:rPr>
        <w:t>以下为不合格</w:t>
      </w:r>
      <w:r>
        <w:rPr>
          <w:rFonts w:hint="eastAsia" w:ascii="宋体" w:hAnsi="宋体" w:eastAsia="宋体" w:cs="宋体"/>
          <w:b w:val="0"/>
          <w:bCs w:val="0"/>
          <w:spacing w:val="-11"/>
          <w:sz w:val="20"/>
          <w:szCs w:val="20"/>
          <w:highlight w:val="none"/>
          <w:lang w:val="en-US" w:eastAsia="zh-CN"/>
        </w:rPr>
        <w:t>。</w:t>
      </w:r>
    </w:p>
    <w:p w14:paraId="26DBB7D1">
      <w:pPr>
        <w:keepNext w:val="0"/>
        <w:keepLines w:val="0"/>
        <w:pageBreakBefore w:val="0"/>
        <w:widowControl w:val="0"/>
        <w:kinsoku/>
        <w:wordWrap/>
        <w:overflowPunct/>
        <w:topLinePunct w:val="0"/>
        <w:autoSpaceDE/>
        <w:autoSpaceDN/>
        <w:bidi w:val="0"/>
        <w:adjustRightInd/>
        <w:snapToGrid/>
        <w:spacing w:line="360" w:lineRule="auto"/>
        <w:ind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rPr>
        <w:t>四、</w:t>
      </w:r>
      <w:r>
        <w:rPr>
          <w:rFonts w:hint="eastAsia" w:ascii="宋体" w:hAnsi="宋体" w:eastAsia="宋体" w:cs="宋体"/>
          <w:b w:val="0"/>
          <w:bCs w:val="0"/>
          <w:sz w:val="20"/>
          <w:szCs w:val="20"/>
          <w:highlight w:val="none"/>
          <w:lang w:eastAsia="zh-CN"/>
        </w:rPr>
        <w:t>评分</w:t>
      </w:r>
      <w:r>
        <w:rPr>
          <w:rFonts w:hint="eastAsia" w:ascii="宋体" w:hAnsi="宋体" w:eastAsia="宋体" w:cs="宋体"/>
          <w:b w:val="0"/>
          <w:bCs w:val="0"/>
          <w:sz w:val="20"/>
          <w:szCs w:val="20"/>
          <w:highlight w:val="none"/>
        </w:rPr>
        <w:t>标准</w:t>
      </w:r>
    </w:p>
    <w:p w14:paraId="53AE7D3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lang w:val="en-US" w:eastAsia="zh-CN"/>
        </w:rPr>
        <w:t>各河道</w:t>
      </w:r>
      <w:r>
        <w:rPr>
          <w:rFonts w:hint="eastAsia" w:ascii="宋体" w:hAnsi="宋体" w:eastAsia="宋体" w:cs="宋体"/>
          <w:b w:val="0"/>
          <w:bCs w:val="0"/>
          <w:sz w:val="20"/>
          <w:szCs w:val="20"/>
          <w:highlight w:val="none"/>
          <w:lang w:eastAsia="zh-CN"/>
        </w:rPr>
        <w:t>及渠道</w:t>
      </w:r>
      <w:r>
        <w:rPr>
          <w:rFonts w:hint="eastAsia" w:ascii="宋体" w:hAnsi="宋体" w:eastAsia="宋体" w:cs="宋体"/>
          <w:b w:val="0"/>
          <w:bCs w:val="0"/>
          <w:sz w:val="20"/>
          <w:szCs w:val="20"/>
          <w:highlight w:val="none"/>
        </w:rPr>
        <w:t>管理考核以</w:t>
      </w:r>
      <w:r>
        <w:rPr>
          <w:rFonts w:hint="eastAsia" w:ascii="宋体" w:hAnsi="宋体" w:eastAsia="宋体" w:cs="宋体"/>
          <w:b w:val="0"/>
          <w:bCs w:val="0"/>
          <w:sz w:val="20"/>
          <w:szCs w:val="20"/>
          <w:highlight w:val="none"/>
          <w:lang w:eastAsia="zh-CN"/>
        </w:rPr>
        <w:t>每月</w:t>
      </w:r>
      <w:r>
        <w:rPr>
          <w:rFonts w:hint="eastAsia" w:ascii="宋体" w:hAnsi="宋体" w:eastAsia="宋体" w:cs="宋体"/>
          <w:b w:val="0"/>
          <w:bCs w:val="0"/>
          <w:sz w:val="20"/>
          <w:szCs w:val="20"/>
          <w:highlight w:val="none"/>
        </w:rPr>
        <w:t>联评</w:t>
      </w:r>
      <w:r>
        <w:rPr>
          <w:rFonts w:hint="eastAsia" w:ascii="宋体" w:hAnsi="宋体" w:eastAsia="宋体" w:cs="宋体"/>
          <w:b w:val="0"/>
          <w:bCs w:val="0"/>
          <w:sz w:val="20"/>
          <w:szCs w:val="20"/>
          <w:highlight w:val="none"/>
          <w:lang w:eastAsia="zh-CN"/>
        </w:rPr>
        <w:t>、日常抽查、动态维护事项</w:t>
      </w:r>
      <w:r>
        <w:rPr>
          <w:rFonts w:hint="eastAsia" w:ascii="宋体" w:hAnsi="宋体" w:eastAsia="宋体" w:cs="宋体"/>
          <w:b w:val="0"/>
          <w:bCs w:val="0"/>
          <w:sz w:val="20"/>
          <w:szCs w:val="20"/>
          <w:highlight w:val="none"/>
        </w:rPr>
        <w:t>为基础，按</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进行汇总计分，</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考核总分为100分。</w:t>
      </w:r>
    </w:p>
    <w:p w14:paraId="1F1F46B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一</w:t>
      </w: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每月联评</w:t>
      </w: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满分</w:t>
      </w:r>
      <w:r>
        <w:rPr>
          <w:rFonts w:hint="eastAsia" w:ascii="宋体" w:hAnsi="宋体" w:eastAsia="宋体" w:cs="宋体"/>
          <w:b w:val="0"/>
          <w:bCs w:val="0"/>
          <w:sz w:val="20"/>
          <w:szCs w:val="20"/>
          <w:highlight w:val="none"/>
          <w:lang w:val="en-US" w:eastAsia="zh-CN"/>
        </w:rPr>
        <w:t>100分</w:t>
      </w:r>
      <w:r>
        <w:rPr>
          <w:rFonts w:hint="eastAsia" w:ascii="宋体" w:hAnsi="宋体" w:eastAsia="宋体" w:cs="宋体"/>
          <w:b w:val="0"/>
          <w:bCs w:val="0"/>
          <w:sz w:val="20"/>
          <w:szCs w:val="20"/>
          <w:highlight w:val="none"/>
        </w:rPr>
        <w:t>）</w:t>
      </w:r>
    </w:p>
    <w:p w14:paraId="7C934A4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eastAsia="zh-CN"/>
        </w:rPr>
        <w:t>分别由城排中心、各管理站、</w:t>
      </w:r>
      <w:r>
        <w:rPr>
          <w:rFonts w:hint="eastAsia" w:ascii="宋体" w:hAnsi="宋体" w:eastAsia="宋体" w:cs="宋体"/>
          <w:b w:val="0"/>
          <w:bCs w:val="0"/>
          <w:sz w:val="20"/>
          <w:szCs w:val="20"/>
          <w:highlight w:val="none"/>
          <w:lang w:val="en-US" w:eastAsia="zh-CN"/>
        </w:rPr>
        <w:t>各养护公司</w:t>
      </w:r>
      <w:r>
        <w:rPr>
          <w:rFonts w:hint="eastAsia" w:ascii="宋体" w:hAnsi="宋体" w:eastAsia="宋体" w:cs="宋体"/>
          <w:b w:val="0"/>
          <w:bCs w:val="0"/>
          <w:sz w:val="20"/>
          <w:szCs w:val="20"/>
          <w:highlight w:val="none"/>
          <w:lang w:eastAsia="zh-CN"/>
        </w:rPr>
        <w:t>组成</w:t>
      </w:r>
      <w:r>
        <w:rPr>
          <w:rFonts w:hint="eastAsia" w:ascii="宋体" w:hAnsi="宋体" w:eastAsia="宋体" w:cs="宋体"/>
          <w:b w:val="0"/>
          <w:bCs w:val="0"/>
          <w:sz w:val="20"/>
          <w:szCs w:val="20"/>
          <w:highlight w:val="none"/>
          <w:lang w:val="en-US" w:eastAsia="zh-CN"/>
        </w:rPr>
        <w:t>人联评小组，</w:t>
      </w:r>
      <w:r>
        <w:rPr>
          <w:rFonts w:hint="eastAsia" w:ascii="宋体" w:hAnsi="宋体" w:eastAsia="宋体" w:cs="宋体"/>
          <w:b w:val="0"/>
          <w:bCs w:val="0"/>
          <w:sz w:val="20"/>
          <w:szCs w:val="20"/>
          <w:highlight w:val="none"/>
          <w:lang w:eastAsia="zh-CN"/>
        </w:rPr>
        <w:t>进行现场检查、评比打分，联评满分</w:t>
      </w:r>
      <w:r>
        <w:rPr>
          <w:rFonts w:hint="eastAsia" w:ascii="宋体" w:hAnsi="宋体" w:eastAsia="宋体" w:cs="宋体"/>
          <w:b w:val="0"/>
          <w:bCs w:val="0"/>
          <w:sz w:val="20"/>
          <w:szCs w:val="20"/>
          <w:highlight w:val="none"/>
          <w:lang w:val="en-US" w:eastAsia="zh-CN"/>
        </w:rPr>
        <w:t>100分</w:t>
      </w:r>
      <w:r>
        <w:rPr>
          <w:rFonts w:hint="eastAsia" w:ascii="宋体" w:hAnsi="宋体" w:eastAsia="宋体" w:cs="宋体"/>
          <w:b w:val="0"/>
          <w:bCs w:val="0"/>
          <w:sz w:val="20"/>
          <w:szCs w:val="20"/>
          <w:highlight w:val="none"/>
          <w:lang w:eastAsia="zh-CN"/>
        </w:rPr>
        <w:t>。</w:t>
      </w:r>
    </w:p>
    <w:p w14:paraId="20A03B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lang w:eastAsia="zh-CN"/>
        </w:rPr>
        <w:t>（二）日常抽查（实行扣分制）</w:t>
      </w:r>
    </w:p>
    <w:p w14:paraId="092A854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eastAsia="zh-CN"/>
        </w:rPr>
        <w:t>中心领导、运行部、各管理站日常对养护范围进行检查，每发现一个问题按照中心精细化管理考核标准（见附件）扣除相应分值。</w:t>
      </w:r>
    </w:p>
    <w:p w14:paraId="20485E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eastAsia="zh-CN"/>
        </w:rPr>
        <w:t>（三）动态维护事项（实行扣分制）</w:t>
      </w:r>
    </w:p>
    <w:p w14:paraId="6C585E4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eastAsia="zh-CN"/>
        </w:rPr>
        <w:t>动态维护事项发生以下任意一项情况，本月精细化考核总分直接认定为</w:t>
      </w:r>
      <w:r>
        <w:rPr>
          <w:rFonts w:hint="eastAsia" w:ascii="宋体" w:hAnsi="宋体" w:eastAsia="宋体" w:cs="宋体"/>
          <w:b w:val="0"/>
          <w:bCs w:val="0"/>
          <w:sz w:val="20"/>
          <w:szCs w:val="20"/>
          <w:highlight w:val="none"/>
          <w:lang w:val="en-US" w:eastAsia="zh-CN"/>
        </w:rPr>
        <w:t>60分以下，为不合格档次</w:t>
      </w:r>
      <w:r>
        <w:rPr>
          <w:rFonts w:hint="eastAsia" w:ascii="宋体" w:hAnsi="宋体" w:eastAsia="宋体" w:cs="宋体"/>
          <w:b w:val="0"/>
          <w:bCs w:val="0"/>
          <w:sz w:val="20"/>
          <w:szCs w:val="20"/>
          <w:highlight w:val="none"/>
          <w:lang w:eastAsia="zh-CN"/>
        </w:rPr>
        <w:t>，扣减相应养护费。</w:t>
      </w:r>
    </w:p>
    <w:p w14:paraId="12B1FA5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1.在日常工作中，养护单位对督办事项须限期完成整改，按照工作流程留存整改前、中、后影像资料，报送整改单等；未按期完成整改（特殊情况除外），给予通报批评的扣减养护费5000元；因整改不及时或逾期不整改造成安全生产事故等负面影响的，情节严重的通报批评扣减养护费10000元。</w:t>
      </w:r>
    </w:p>
    <w:p w14:paraId="722F89D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2.在中心组织、安排的重要工作中，养护单位态度不积极、响应不及时、措施不得力、保障不到位，造成延误、失误或受到上级单位批评，造成负面影响的，扣减养护费50000元。</w:t>
      </w:r>
    </w:p>
    <w:p w14:paraId="00E3570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3.被媒体批评曝光一次，造成负面影响的，扣减养护费50000元；被媒体批评曝光二次，扣减养护费70000元；被媒体批评曝光三次，扣减养护费90000元。</w:t>
      </w:r>
    </w:p>
    <w:p w14:paraId="2FEC514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五、结果运用</w:t>
      </w:r>
    </w:p>
    <w:p w14:paraId="29868CE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按照</w:t>
      </w:r>
      <w:r>
        <w:rPr>
          <w:rFonts w:hint="eastAsia" w:ascii="宋体" w:hAnsi="宋体" w:eastAsia="宋体" w:cs="宋体"/>
          <w:b w:val="0"/>
          <w:bCs w:val="0"/>
          <w:sz w:val="20"/>
          <w:szCs w:val="20"/>
          <w:highlight w:val="none"/>
          <w:lang w:eastAsia="zh-CN"/>
        </w:rPr>
        <w:t>市局精细化管理</w:t>
      </w:r>
      <w:r>
        <w:rPr>
          <w:rFonts w:hint="eastAsia" w:ascii="宋体" w:hAnsi="宋体" w:eastAsia="宋体" w:cs="宋体"/>
          <w:b w:val="0"/>
          <w:bCs w:val="0"/>
          <w:sz w:val="20"/>
          <w:szCs w:val="20"/>
          <w:highlight w:val="none"/>
        </w:rPr>
        <w:t>精神和要求，加强结果运用，实行奖励激励和责任追究</w:t>
      </w:r>
      <w:r>
        <w:rPr>
          <w:rFonts w:hint="eastAsia" w:ascii="宋体" w:hAnsi="宋体" w:eastAsia="宋体" w:cs="宋体"/>
          <w:b w:val="0"/>
          <w:bCs w:val="0"/>
          <w:sz w:val="20"/>
          <w:szCs w:val="20"/>
          <w:highlight w:val="none"/>
          <w:lang w:eastAsia="zh-CN"/>
        </w:rPr>
        <w:t>制度</w:t>
      </w:r>
      <w:r>
        <w:rPr>
          <w:rFonts w:hint="eastAsia" w:ascii="宋体" w:hAnsi="宋体" w:eastAsia="宋体" w:cs="宋体"/>
          <w:b w:val="0"/>
          <w:bCs w:val="0"/>
          <w:sz w:val="20"/>
          <w:szCs w:val="20"/>
          <w:highlight w:val="none"/>
        </w:rPr>
        <w:t>。</w:t>
      </w:r>
    </w:p>
    <w:p w14:paraId="65F01E4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（一）每</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向各</w:t>
      </w:r>
      <w:r>
        <w:rPr>
          <w:rFonts w:hint="eastAsia" w:ascii="宋体" w:hAnsi="宋体" w:eastAsia="宋体" w:cs="宋体"/>
          <w:b w:val="0"/>
          <w:bCs w:val="0"/>
          <w:sz w:val="20"/>
          <w:szCs w:val="20"/>
          <w:highlight w:val="none"/>
          <w:lang w:eastAsia="zh-CN"/>
        </w:rPr>
        <w:t>管理站、养护单位</w:t>
      </w:r>
      <w:r>
        <w:rPr>
          <w:rFonts w:hint="eastAsia" w:ascii="宋体" w:hAnsi="宋体" w:eastAsia="宋体" w:cs="宋体"/>
          <w:b w:val="0"/>
          <w:bCs w:val="0"/>
          <w:sz w:val="20"/>
          <w:szCs w:val="20"/>
          <w:highlight w:val="none"/>
        </w:rPr>
        <w:t>通报考核结果和排序情况。</w:t>
      </w:r>
    </w:p>
    <w:p w14:paraId="4DC8FDE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rPr>
        <w:t>（二）在</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考核中取得优秀等次</w:t>
      </w:r>
      <w:r>
        <w:rPr>
          <w:rFonts w:hint="eastAsia" w:ascii="宋体" w:hAnsi="宋体" w:eastAsia="宋体" w:cs="宋体"/>
          <w:b w:val="0"/>
          <w:bCs w:val="0"/>
          <w:sz w:val="20"/>
          <w:szCs w:val="20"/>
          <w:highlight w:val="none"/>
          <w:lang w:eastAsia="zh-CN"/>
        </w:rPr>
        <w:t>养护单位</w:t>
      </w: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分别授予流动红旗进行表彰。</w:t>
      </w:r>
    </w:p>
    <w:p w14:paraId="5CD5BE7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eastAsia="zh-CN"/>
        </w:rPr>
      </w:pPr>
      <w:r>
        <w:rPr>
          <w:rFonts w:hint="eastAsia" w:ascii="宋体" w:hAnsi="宋体" w:eastAsia="宋体" w:cs="宋体"/>
          <w:b w:val="0"/>
          <w:bCs w:val="0"/>
          <w:sz w:val="20"/>
          <w:szCs w:val="20"/>
          <w:highlight w:val="none"/>
          <w:lang w:eastAsia="zh-CN"/>
        </w:rPr>
        <w:t>（三）</w:t>
      </w:r>
      <w:r>
        <w:rPr>
          <w:rFonts w:hint="eastAsia" w:ascii="宋体" w:hAnsi="宋体" w:eastAsia="宋体" w:cs="宋体"/>
          <w:b w:val="0"/>
          <w:bCs w:val="0"/>
          <w:sz w:val="20"/>
          <w:szCs w:val="20"/>
          <w:highlight w:val="none"/>
          <w:lang w:val="en-US" w:eastAsia="zh-CN"/>
        </w:rPr>
        <w:t>发生安全生产事故，引起其他重大舆情的，实行一票否决制，当月考核得分不得高于60分，并按得分比例支付当月管护费。</w:t>
      </w:r>
    </w:p>
    <w:p w14:paraId="1F9A440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四</w:t>
      </w: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考核</w:t>
      </w:r>
      <w:r>
        <w:rPr>
          <w:rFonts w:hint="eastAsia" w:ascii="宋体" w:hAnsi="宋体" w:eastAsia="宋体" w:cs="宋体"/>
          <w:b w:val="0"/>
          <w:bCs w:val="0"/>
          <w:sz w:val="20"/>
          <w:szCs w:val="20"/>
          <w:highlight w:val="none"/>
          <w:lang w:eastAsia="zh-CN"/>
        </w:rPr>
        <w:t>得分为</w:t>
      </w:r>
      <w:r>
        <w:rPr>
          <w:rFonts w:hint="eastAsia" w:ascii="宋体" w:hAnsi="宋体" w:eastAsia="宋体" w:cs="宋体"/>
          <w:b w:val="0"/>
          <w:bCs w:val="0"/>
          <w:sz w:val="20"/>
          <w:szCs w:val="20"/>
          <w:highlight w:val="none"/>
          <w:lang w:val="en-US" w:eastAsia="zh-CN"/>
        </w:rPr>
        <w:t>90</w:t>
      </w:r>
      <w:r>
        <w:rPr>
          <w:rFonts w:hint="eastAsia" w:ascii="宋体" w:hAnsi="宋体" w:eastAsia="宋体" w:cs="宋体"/>
          <w:b w:val="0"/>
          <w:bCs w:val="0"/>
          <w:sz w:val="20"/>
          <w:szCs w:val="20"/>
          <w:highlight w:val="none"/>
        </w:rPr>
        <w:t>分</w:t>
      </w:r>
      <w:r>
        <w:rPr>
          <w:rFonts w:hint="eastAsia" w:ascii="宋体" w:hAnsi="宋体" w:eastAsia="宋体" w:cs="宋体"/>
          <w:b w:val="0"/>
          <w:bCs w:val="0"/>
          <w:sz w:val="20"/>
          <w:szCs w:val="20"/>
          <w:highlight w:val="none"/>
          <w:lang w:eastAsia="zh-CN"/>
        </w:rPr>
        <w:t>（不含）以下，每</w:t>
      </w:r>
      <w:r>
        <w:rPr>
          <w:rFonts w:hint="eastAsia" w:ascii="宋体" w:hAnsi="宋体" w:eastAsia="宋体" w:cs="宋体"/>
          <w:b w:val="0"/>
          <w:bCs w:val="0"/>
          <w:sz w:val="20"/>
          <w:szCs w:val="20"/>
          <w:highlight w:val="none"/>
          <w:lang w:val="en-US" w:eastAsia="zh-CN"/>
        </w:rPr>
        <w:t>1</w:t>
      </w:r>
      <w:r>
        <w:rPr>
          <w:rFonts w:hint="eastAsia" w:ascii="宋体" w:hAnsi="宋体" w:eastAsia="宋体" w:cs="宋体"/>
          <w:b w:val="0"/>
          <w:bCs w:val="0"/>
          <w:sz w:val="20"/>
          <w:szCs w:val="20"/>
          <w:highlight w:val="none"/>
          <w:lang w:eastAsia="zh-CN"/>
        </w:rPr>
        <w:t>分扣除</w:t>
      </w:r>
      <w:r>
        <w:rPr>
          <w:rFonts w:hint="eastAsia" w:ascii="宋体" w:hAnsi="宋体" w:eastAsia="宋体" w:cs="宋体"/>
          <w:b w:val="0"/>
          <w:bCs w:val="0"/>
          <w:sz w:val="20"/>
          <w:szCs w:val="20"/>
          <w:highlight w:val="none"/>
          <w:lang w:val="en-US" w:eastAsia="zh-CN"/>
        </w:rPr>
        <w:t>200元，起扣点为2000元，其他扣减情况累加计入。</w:t>
      </w:r>
    </w:p>
    <w:p w14:paraId="1175139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（五）</w:t>
      </w:r>
      <w:r>
        <w:rPr>
          <w:rFonts w:hint="eastAsia" w:ascii="宋体" w:hAnsi="宋体" w:eastAsia="宋体" w:cs="宋体"/>
          <w:b w:val="0"/>
          <w:bCs w:val="0"/>
          <w:sz w:val="20"/>
          <w:szCs w:val="20"/>
          <w:highlight w:val="none"/>
        </w:rPr>
        <w:t>对于</w:t>
      </w:r>
      <w:r>
        <w:rPr>
          <w:rFonts w:hint="eastAsia" w:ascii="宋体" w:hAnsi="宋体" w:eastAsia="宋体" w:cs="宋体"/>
          <w:b w:val="0"/>
          <w:bCs w:val="0"/>
          <w:sz w:val="20"/>
          <w:szCs w:val="20"/>
          <w:highlight w:val="none"/>
          <w:lang w:eastAsia="zh-CN"/>
        </w:rPr>
        <w:t>月</w:t>
      </w:r>
      <w:r>
        <w:rPr>
          <w:rFonts w:hint="eastAsia" w:ascii="宋体" w:hAnsi="宋体" w:eastAsia="宋体" w:cs="宋体"/>
          <w:b w:val="0"/>
          <w:bCs w:val="0"/>
          <w:sz w:val="20"/>
          <w:szCs w:val="20"/>
          <w:highlight w:val="none"/>
        </w:rPr>
        <w:t>考核排序末位的</w:t>
      </w:r>
      <w:r>
        <w:rPr>
          <w:rFonts w:hint="eastAsia" w:ascii="宋体" w:hAnsi="宋体" w:eastAsia="宋体" w:cs="宋体"/>
          <w:b w:val="0"/>
          <w:bCs w:val="0"/>
          <w:sz w:val="20"/>
          <w:szCs w:val="20"/>
          <w:highlight w:val="none"/>
          <w:lang w:eastAsia="zh-CN"/>
        </w:rPr>
        <w:t>养护单位且考核得分低于</w:t>
      </w:r>
      <w:r>
        <w:rPr>
          <w:rFonts w:hint="eastAsia" w:ascii="宋体" w:hAnsi="宋体" w:eastAsia="宋体" w:cs="宋体"/>
          <w:b w:val="0"/>
          <w:bCs w:val="0"/>
          <w:sz w:val="20"/>
          <w:szCs w:val="20"/>
          <w:highlight w:val="none"/>
          <w:lang w:val="en-US" w:eastAsia="zh-CN"/>
        </w:rPr>
        <w:t>80分以下</w:t>
      </w:r>
      <w:r>
        <w:rPr>
          <w:rFonts w:hint="eastAsia" w:ascii="宋体" w:hAnsi="宋体" w:eastAsia="宋体" w:cs="宋体"/>
          <w:b w:val="0"/>
          <w:bCs w:val="0"/>
          <w:sz w:val="20"/>
          <w:szCs w:val="20"/>
          <w:highlight w:val="none"/>
        </w:rPr>
        <w:t>，向</w:t>
      </w:r>
      <w:r>
        <w:rPr>
          <w:rFonts w:hint="eastAsia" w:ascii="宋体" w:hAnsi="宋体" w:eastAsia="宋体" w:cs="宋体"/>
          <w:b w:val="0"/>
          <w:bCs w:val="0"/>
          <w:sz w:val="20"/>
          <w:szCs w:val="20"/>
          <w:highlight w:val="none"/>
          <w:lang w:eastAsia="zh-CN"/>
        </w:rPr>
        <w:t>中心</w:t>
      </w:r>
      <w:r>
        <w:rPr>
          <w:rFonts w:hint="eastAsia" w:ascii="宋体" w:hAnsi="宋体" w:eastAsia="宋体" w:cs="宋体"/>
          <w:b w:val="0"/>
          <w:bCs w:val="0"/>
          <w:sz w:val="20"/>
          <w:szCs w:val="20"/>
          <w:highlight w:val="none"/>
        </w:rPr>
        <w:t>写出书面整改报告，分析产生原因，提出整改措施及整改时限</w:t>
      </w: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lang w:val="en-US" w:eastAsia="zh-CN"/>
        </w:rPr>
        <w:t>扣减养护费10000元。</w:t>
      </w:r>
    </w:p>
    <w:p w14:paraId="3A5E074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（六）月考核所有扣款按照备用金使用管理，月养护费支付按照考核得分比例进行支付（百分制）。</w:t>
      </w:r>
    </w:p>
    <w:p w14:paraId="267905D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六、其他</w:t>
      </w:r>
    </w:p>
    <w:p w14:paraId="37568FF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1.本办法自发布之日起实施，由</w:t>
      </w:r>
      <w:r>
        <w:rPr>
          <w:rFonts w:hint="eastAsia" w:ascii="宋体" w:hAnsi="宋体" w:eastAsia="宋体" w:cs="宋体"/>
          <w:b w:val="0"/>
          <w:bCs w:val="0"/>
          <w:sz w:val="20"/>
          <w:szCs w:val="20"/>
          <w:highlight w:val="none"/>
          <w:lang w:eastAsia="zh-CN"/>
        </w:rPr>
        <w:t>西安市西北郊城市排洪渠道管理中心</w:t>
      </w:r>
      <w:r>
        <w:rPr>
          <w:rFonts w:hint="eastAsia" w:ascii="宋体" w:hAnsi="宋体" w:eastAsia="宋体" w:cs="宋体"/>
          <w:b w:val="0"/>
          <w:bCs w:val="0"/>
          <w:sz w:val="20"/>
          <w:szCs w:val="20"/>
          <w:highlight w:val="none"/>
          <w:lang w:val="en-US" w:eastAsia="zh-CN"/>
        </w:rPr>
        <w:t>运行部</w:t>
      </w:r>
      <w:r>
        <w:rPr>
          <w:rFonts w:hint="eastAsia" w:ascii="宋体" w:hAnsi="宋体" w:eastAsia="宋体" w:cs="宋体"/>
          <w:b w:val="0"/>
          <w:bCs w:val="0"/>
          <w:sz w:val="20"/>
          <w:szCs w:val="20"/>
          <w:highlight w:val="none"/>
        </w:rPr>
        <w:t>负责解释。</w:t>
      </w:r>
    </w:p>
    <w:p w14:paraId="0AA5EF1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00" w:firstLineChars="200"/>
        <w:textAlignment w:val="auto"/>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rPr>
        <w:t>2</w:t>
      </w:r>
      <w:r>
        <w:rPr>
          <w:rFonts w:hint="eastAsia" w:ascii="宋体" w:hAnsi="宋体" w:eastAsia="宋体" w:cs="宋体"/>
          <w:b w:val="0"/>
          <w:bCs w:val="0"/>
          <w:sz w:val="20"/>
          <w:szCs w:val="20"/>
          <w:highlight w:val="none"/>
          <w:lang w:eastAsia="zh-CN"/>
        </w:rPr>
        <w:t>.</w:t>
      </w:r>
      <w:r>
        <w:rPr>
          <w:rFonts w:hint="eastAsia" w:ascii="宋体" w:hAnsi="宋体" w:eastAsia="宋体" w:cs="宋体"/>
          <w:b w:val="0"/>
          <w:bCs w:val="0"/>
          <w:sz w:val="20"/>
          <w:szCs w:val="20"/>
          <w:highlight w:val="none"/>
        </w:rPr>
        <w:t>本办法在试行阶段，在实施过程中根据具体情况将进一步修改完善。</w:t>
      </w:r>
      <w:r>
        <w:rPr>
          <w:rFonts w:hint="eastAsia" w:ascii="宋体" w:hAnsi="宋体" w:eastAsia="宋体" w:cs="宋体"/>
          <w:b w:val="0"/>
          <w:bCs w:val="0"/>
          <w:sz w:val="20"/>
          <w:szCs w:val="20"/>
          <w:highlight w:val="none"/>
          <w:lang w:val="en-US" w:eastAsia="zh-CN"/>
        </w:rPr>
        <w:t>如根据具体情况及相关要求，中心对考核办法进行修订，则以最新办法执行。</w:t>
      </w:r>
    </w:p>
    <w:p w14:paraId="3FE2CBD1">
      <w:pPr>
        <w:keepNext w:val="0"/>
        <w:keepLines w:val="0"/>
        <w:pageBreakBefore w:val="0"/>
        <w:widowControl w:val="0"/>
        <w:kinsoku/>
        <w:wordWrap/>
        <w:overflowPunct/>
        <w:topLinePunct w:val="0"/>
        <w:autoSpaceDE/>
        <w:autoSpaceDN/>
        <w:bidi w:val="0"/>
        <w:adjustRightInd/>
        <w:snapToGrid/>
        <w:spacing w:line="360" w:lineRule="auto"/>
        <w:ind w:left="1220" w:leftChars="200" w:right="0" w:rightChars="0" w:hanging="800" w:hangingChars="400"/>
        <w:textAlignment w:val="auto"/>
        <w:outlineLvl w:val="9"/>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附</w:t>
      </w:r>
      <w:r>
        <w:rPr>
          <w:rFonts w:hint="eastAsia" w:ascii="宋体" w:hAnsi="宋体" w:eastAsia="宋体" w:cs="宋体"/>
          <w:b w:val="0"/>
          <w:bCs w:val="0"/>
          <w:sz w:val="20"/>
          <w:szCs w:val="20"/>
          <w:highlight w:val="none"/>
          <w:lang w:eastAsia="zh-CN"/>
        </w:rPr>
        <w:t>件</w:t>
      </w: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val="en-US" w:eastAsia="zh-CN"/>
        </w:rPr>
        <w:t>西安市西北郊城市排洪渠道管理中心河湖精细化管理考核评分表</w:t>
      </w:r>
    </w:p>
    <w:p w14:paraId="683C97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1100" w:firstLineChars="550"/>
        <w:textAlignment w:val="auto"/>
        <w:outlineLvl w:val="9"/>
        <w:rPr>
          <w:rFonts w:hint="eastAsia" w:ascii="宋体" w:hAnsi="宋体" w:eastAsia="宋体" w:cs="宋体"/>
          <w:b w:val="0"/>
          <w:bCs w:val="0"/>
          <w:sz w:val="20"/>
          <w:szCs w:val="20"/>
          <w:highlight w:val="none"/>
          <w:lang w:val="en-US" w:eastAsia="zh-CN"/>
        </w:rPr>
        <w:sectPr>
          <w:footerReference r:id="rId3" w:type="default"/>
          <w:pgSz w:w="11900" w:h="16840"/>
          <w:pgMar w:top="2098" w:right="1474" w:bottom="1984" w:left="1587" w:header="0" w:footer="1395" w:gutter="0"/>
          <w:pgNumType w:fmt="decimal"/>
          <w:cols w:space="720" w:num="1"/>
        </w:sectPr>
      </w:pPr>
    </w:p>
    <w:p w14:paraId="5283548C">
      <w:pPr>
        <w:pageBreakBefore w:val="0"/>
        <w:kinsoku/>
        <w:wordWrap/>
        <w:overflowPunct/>
        <w:topLinePunct w:val="0"/>
        <w:autoSpaceDE/>
        <w:autoSpaceDN/>
        <w:bidi w:val="0"/>
        <w:snapToGrid/>
        <w:spacing w:line="360" w:lineRule="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附件一</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46"/>
        <w:gridCol w:w="1239"/>
        <w:gridCol w:w="658"/>
        <w:gridCol w:w="4822"/>
        <w:gridCol w:w="857"/>
      </w:tblGrid>
      <w:tr w14:paraId="6456E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5000" w:type="pct"/>
            <w:gridSpan w:val="5"/>
            <w:tcBorders>
              <w:top w:val="nil"/>
              <w:left w:val="nil"/>
              <w:bottom w:val="nil"/>
              <w:right w:val="nil"/>
            </w:tcBorders>
            <w:noWrap/>
            <w:vAlign w:val="center"/>
          </w:tcPr>
          <w:p w14:paraId="22CBB50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西安市西北郊城市排洪渠道管理中心河湖精细化管理考核评分表</w:t>
            </w:r>
          </w:p>
        </w:tc>
      </w:tr>
      <w:tr w14:paraId="17516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282" w:type="pct"/>
            <w:gridSpan w:val="2"/>
            <w:tcBorders>
              <w:top w:val="single" w:color="000000" w:sz="4" w:space="0"/>
              <w:left w:val="single" w:color="000000" w:sz="4" w:space="0"/>
              <w:bottom w:val="single" w:color="000000" w:sz="4" w:space="0"/>
              <w:right w:val="single" w:color="000000" w:sz="4" w:space="0"/>
            </w:tcBorders>
            <w:noWrap w:val="0"/>
            <w:vAlign w:val="center"/>
          </w:tcPr>
          <w:p w14:paraId="37F1A70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项目类别</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CF786C0">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赋分标准</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4073D591">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评分标准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53ACD96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扣分</w:t>
            </w:r>
          </w:p>
        </w:tc>
      </w:tr>
      <w:tr w14:paraId="6BA07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55" w:type="pct"/>
            <w:vMerge w:val="restart"/>
            <w:tcBorders>
              <w:top w:val="single" w:color="000000" w:sz="4" w:space="0"/>
              <w:left w:val="single" w:color="000000" w:sz="4" w:space="0"/>
              <w:bottom w:val="single" w:color="000000" w:sz="4" w:space="0"/>
              <w:right w:val="single" w:color="000000" w:sz="4" w:space="0"/>
            </w:tcBorders>
            <w:noWrap w:val="0"/>
            <w:vAlign w:val="center"/>
          </w:tcPr>
          <w:p w14:paraId="7356BE65">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水体</w:t>
            </w:r>
          </w:p>
          <w:p w14:paraId="0438DCD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养护</w:t>
            </w:r>
          </w:p>
          <w:p w14:paraId="64E9290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（15分）</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07EE4413">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水面</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3CB82D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1285D9D6">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有漂浮物、藻类每100平方米扣1分。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19C558FE">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411AC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EF4490">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484E47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水内鱼苗</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662F5A3B">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011B19DF">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有死鱼漂浮每处扣0.2分。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62749EA">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407FE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AA1633">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770E01D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浆砌石坡面</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D9DDDA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74326ABE">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有杂物每10平方米扣1分；浆砌石脱落，存在安全隐患，每10平方米扣2分。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5469A5CA">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2EEB4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8224E7">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0B1AC0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踏步</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70501013">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124224DE">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有杂物每处扣1分。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5E0462B1">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29BD3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555" w:type="pct"/>
            <w:vMerge w:val="restart"/>
            <w:tcBorders>
              <w:top w:val="single" w:color="000000" w:sz="4" w:space="0"/>
              <w:left w:val="single" w:color="000000" w:sz="4" w:space="0"/>
              <w:bottom w:val="single" w:color="000000" w:sz="4" w:space="0"/>
              <w:right w:val="single" w:color="000000" w:sz="4" w:space="0"/>
            </w:tcBorders>
            <w:noWrap w:val="0"/>
            <w:vAlign w:val="center"/>
          </w:tcPr>
          <w:p w14:paraId="1B19835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水生态治理养护（30分）</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7937139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行道林</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4124FDB">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0B37BD37">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行道林树坑不规整每处扣2分，补植、浇水、除草、修剪、 打药、刷白不及时每处扣2分；树木有枯枝、挂断等未及时清理每处扣1分。绿化带内有渣土堆积每发现一处扣0.5分。死树未及时移除补植，每处扣2分。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72A712D7">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5FCF9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ACFC99">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4C8D2CA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花灌木</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59A26457">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25A15554">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修剪不及时每处扣1分；落叶未及时清理每处扣1分； 除草、打药、施肥不及时每处扣1分。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0633F69F">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57D7F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D06F5D">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AC882F9">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地被草坪</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66FF4AD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45BEDA6B">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修剪不及时每处扣1分，覆盖率低于95%每处扣1分。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03EC7FB">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286A7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4"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27F6E5">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9702FAE">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病媒生物    防制</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598FB3E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1EFB3FE5">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药饵数量每盒10粒，抽查10处，数量不符每处扣0.5 分；每天投放检查记录，不符者每项扣0.5分。未按时进行病媒生物消杀扣1分。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65457753">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7E484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55" w:type="pct"/>
            <w:vMerge w:val="restart"/>
            <w:tcBorders>
              <w:top w:val="single" w:color="000000" w:sz="4" w:space="0"/>
              <w:left w:val="single" w:color="000000" w:sz="4" w:space="0"/>
              <w:bottom w:val="single" w:color="000000" w:sz="4" w:space="0"/>
              <w:right w:val="single" w:color="000000" w:sz="4" w:space="0"/>
            </w:tcBorders>
            <w:noWrap w:val="0"/>
            <w:vAlign w:val="center"/>
          </w:tcPr>
          <w:p w14:paraId="46C4E70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设施维护（40分）</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1B5193B6">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闸房</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58C03C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5D6EAA9C">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门、窗、地面有杂物每处扣1分；启闭设备启闭不灵活扣2分；维修保养记录不全，扣1分。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4EA159AE">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2E0B7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5638AF">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594847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护栏</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BBAF3B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03F4E1EC">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护栏有损坏未维修每处扣1分、未及时擦洗每处扣1分。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467178D0">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50B68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320627">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79427D9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路灯</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F12BB8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0DF57C49">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园区内路灯有破损、漆皮脱落等，每处扣1分。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5EA15166">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7D4DA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1FE3DE">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43031F4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垃圾箱</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F8DE6A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36B34648">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园区垃圾箱有破损等现象，未及时维修或更换，每处扣1分。垃圾桶未及时清理、擦拭等，每发现一处扣1分。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1C4E5D5">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0E68F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F5A49A">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4A8BE75">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坐凳</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56962D47">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08CC9093">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坐凳有损坏、漆皮脱落等，每处扣1分。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63B932CA">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53710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E7A23E">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71BF65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标识标牌</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7A48F6D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4435BADD">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沿途设置的标识标牌、标语及横幅干净整洁、不醒目美观，每处扣1分；标牌褪色严重，字体脱落，破损未及时维修更换，每处扣1分；埋设不牢固，东倒西歪，每处扣1分；标识牌上有野广告，每处扣1分。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0A06F8DA">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49322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BDA144">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6A8148D6">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广场、道路、亭子、桥梁及进入口</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53005CC3">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51D6FA1C">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广场及道路路面有尘土、有杂物每处扣1分；亭子亭沿有灰尘、亭顶有明显尘土、桥栏杆有明显尘土每米扣1分；路面石材有破损，每处扣0.5分。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169BAA49">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3F390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B4AC18">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D9D6667">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跨河线缆</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3C56AB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5EC8D400">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跨河线缆有附着物悬挂每处扣1分。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C75D521">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1E44C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62C6A9">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4FBCCAC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驳岸、平台</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0E83B4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7F77DEC4">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驳岸临时安全护栏内有杂物每处扣1分；地面不平每处扣1分；护栏有损坏未维修每10米扣1分。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287385B0">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0897E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B18175">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CF7A9E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漂浮物打捞  船只</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186409F9">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6BB791D5">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有尘土每处扣1分、有杂物每处扣1分；运行不正常， 存在安全隐患扣3分。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7740D01E">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1972E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C62243">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318A5BB6">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视频监控</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1A8B10CD">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5F929F2E">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视频监控设施有损坏，未及时维修，每处扣1分。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16FD44FC">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27EDF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D3243A">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6F22B857">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公厕</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10CCE0E8">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59156232">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公厕无专人管理的，无保洁制度的每处扣1分；公厕墙面、天花板、门窗、隔档有积灰、污迹、蛛网，照明灯具、洗手器具等设施有积灰、污物，每处扣0.5分；龙头、灯具损坏未及时维修，每发现一处扣1分；公厕蹲位不整洁，大便槽两侧有粪便污物，便池内有积粪、有尿碱，每处扣1分；公厕有明显臭味，无除四害设备的每处扣0.5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1FFD3B1">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37633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55" w:type="pct"/>
            <w:vMerge w:val="restart"/>
            <w:tcBorders>
              <w:top w:val="single" w:color="000000" w:sz="4" w:space="0"/>
              <w:left w:val="single" w:color="000000" w:sz="4" w:space="0"/>
              <w:bottom w:val="nil"/>
              <w:right w:val="single" w:color="000000" w:sz="4" w:space="0"/>
            </w:tcBorders>
            <w:noWrap w:val="0"/>
            <w:vAlign w:val="center"/>
          </w:tcPr>
          <w:p w14:paraId="7D6A8D60">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安全生产（10分）</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2E66DB8B">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消防安全</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8170DBA">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6BEE375B">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消防设施设备不全、失效扣2分；消防检查记录不全、缺失，每处扣1分。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4DDDA544">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66D64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55" w:type="pct"/>
            <w:vMerge w:val="continue"/>
            <w:tcBorders>
              <w:top w:val="single" w:color="000000" w:sz="4" w:space="0"/>
              <w:left w:val="single" w:color="000000" w:sz="4" w:space="0"/>
              <w:bottom w:val="nil"/>
              <w:right w:val="single" w:color="000000" w:sz="4" w:space="0"/>
            </w:tcBorders>
            <w:noWrap w:val="0"/>
            <w:vAlign w:val="center"/>
          </w:tcPr>
          <w:p w14:paraId="0661262C">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6DFA143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安全管理</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C434BD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3B1281AA">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无安全责任书扣2分；安全责任落实不到位扣1分；发生安全事故扣4分。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4C99662B">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5A39B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55" w:type="pct"/>
            <w:vMerge w:val="restart"/>
            <w:tcBorders>
              <w:top w:val="single" w:color="000000" w:sz="4" w:space="0"/>
              <w:left w:val="single" w:color="000000" w:sz="4" w:space="0"/>
              <w:bottom w:val="single" w:color="000000" w:sz="4" w:space="0"/>
              <w:right w:val="single" w:color="000000" w:sz="4" w:space="0"/>
            </w:tcBorders>
            <w:noWrap w:val="0"/>
            <w:vAlign w:val="center"/>
          </w:tcPr>
          <w:p w14:paraId="03FDF0AC">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管理考核（5分）</w:t>
            </w: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79096A53">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水面巡逻</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0CCA4337">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2E4E976D">
            <w:pPr>
              <w:keepNext w:val="0"/>
              <w:keepLines w:val="0"/>
              <w:pageBreakBefore w:val="0"/>
              <w:widowControl/>
              <w:suppressLineNumbers w:val="0"/>
              <w:kinsoku/>
              <w:wordWrap/>
              <w:overflowPunct/>
              <w:topLinePunct w:val="0"/>
              <w:autoSpaceDE/>
              <w:autoSpaceDN/>
              <w:bidi w:val="0"/>
              <w:snapToGrid/>
              <w:spacing w:line="360" w:lineRule="auto"/>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有人翻越栏杆、有人在管理范围内钓鱼（非钓鱼区）、游泳每次扣1分。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B01DDCB">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45B48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15488C">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407B78D2">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防汛应急    管理</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4C30E55B">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55DE35D3">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防汛物资储备不规范，存放不统一整齐，扣0.5分；未按照相关法规、工作要求及时清障，扣0.5分。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289C058C">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63582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133ACD">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5CFF8AF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养护工人    管理</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32DD32A4">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6BE433D3">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养护工有擅离岗位现象、未着养护服装现象等扣1分。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39541327">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11EC8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216B2F">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c>
          <w:tcPr>
            <w:tcW w:w="726" w:type="pct"/>
            <w:tcBorders>
              <w:top w:val="single" w:color="000000" w:sz="4" w:space="0"/>
              <w:left w:val="single" w:color="000000" w:sz="4" w:space="0"/>
              <w:bottom w:val="single" w:color="000000" w:sz="4" w:space="0"/>
              <w:right w:val="single" w:color="000000" w:sz="4" w:space="0"/>
            </w:tcBorders>
            <w:noWrap w:val="0"/>
            <w:vAlign w:val="center"/>
          </w:tcPr>
          <w:p w14:paraId="68492C00">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社会舆论</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5233E97F">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829" w:type="pct"/>
            <w:tcBorders>
              <w:top w:val="single" w:color="000000" w:sz="4" w:space="0"/>
              <w:left w:val="single" w:color="000000" w:sz="4" w:space="0"/>
              <w:bottom w:val="single" w:color="000000" w:sz="4" w:space="0"/>
              <w:right w:val="single" w:color="000000" w:sz="4" w:space="0"/>
            </w:tcBorders>
            <w:noWrap w:val="0"/>
            <w:vAlign w:val="center"/>
          </w:tcPr>
          <w:p w14:paraId="24C0EC49">
            <w:pPr>
              <w:keepNext w:val="0"/>
              <w:keepLines w:val="0"/>
              <w:pageBreakBefore w:val="0"/>
              <w:widowControl/>
              <w:suppressLineNumbers w:val="0"/>
              <w:kinsoku/>
              <w:wordWrap/>
              <w:overflowPunct/>
              <w:topLinePunct w:val="0"/>
              <w:autoSpaceDE/>
              <w:autoSpaceDN/>
              <w:bidi w:val="0"/>
              <w:snapToGrid/>
              <w:spacing w:line="360" w:lineRule="auto"/>
              <w:jc w:val="both"/>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出现舆论投诉每次扣1分，未及时整改处理问题每次扣1分。</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167F9B77">
            <w:pPr>
              <w:pageBreakBefore w:val="0"/>
              <w:kinsoku/>
              <w:wordWrap/>
              <w:overflowPunct/>
              <w:topLinePunct w:val="0"/>
              <w:autoSpaceDE/>
              <w:autoSpaceDN/>
              <w:bidi w:val="0"/>
              <w:snapToGrid/>
              <w:spacing w:line="360" w:lineRule="auto"/>
              <w:jc w:val="center"/>
              <w:rPr>
                <w:rFonts w:hint="eastAsia" w:ascii="宋体" w:hAnsi="宋体" w:eastAsia="宋体" w:cs="宋体"/>
                <w:i w:val="0"/>
                <w:iCs w:val="0"/>
                <w:color w:val="000000"/>
                <w:sz w:val="20"/>
                <w:szCs w:val="20"/>
                <w:highlight w:val="none"/>
                <w:u w:val="none"/>
              </w:rPr>
            </w:pPr>
          </w:p>
        </w:tc>
      </w:tr>
      <w:tr w14:paraId="72330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668" w:type="pct"/>
            <w:gridSpan w:val="3"/>
            <w:tcBorders>
              <w:top w:val="single" w:color="000000" w:sz="4" w:space="0"/>
              <w:left w:val="single" w:color="000000" w:sz="4" w:space="0"/>
              <w:bottom w:val="single" w:color="000000" w:sz="4" w:space="0"/>
              <w:right w:val="single" w:color="000000" w:sz="4" w:space="0"/>
            </w:tcBorders>
            <w:noWrap/>
            <w:vAlign w:val="center"/>
          </w:tcPr>
          <w:p w14:paraId="285BC293">
            <w:pPr>
              <w:keepNext w:val="0"/>
              <w:keepLines w:val="0"/>
              <w:pageBreakBefore w:val="0"/>
              <w:widowControl/>
              <w:suppressLineNumbers w:val="0"/>
              <w:kinsoku/>
              <w:wordWrap/>
              <w:overflowPunct/>
              <w:topLinePunct w:val="0"/>
              <w:autoSpaceDE/>
              <w:autoSpaceDN/>
              <w:bidi w:val="0"/>
              <w:snapToGrid/>
              <w:spacing w:line="36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总分（满分100分）</w:t>
            </w:r>
          </w:p>
        </w:tc>
        <w:tc>
          <w:tcPr>
            <w:tcW w:w="3331" w:type="pct"/>
            <w:gridSpan w:val="2"/>
            <w:tcBorders>
              <w:top w:val="single" w:color="000000" w:sz="4" w:space="0"/>
              <w:left w:val="single" w:color="000000" w:sz="4" w:space="0"/>
              <w:bottom w:val="single" w:color="000000" w:sz="4" w:space="0"/>
              <w:right w:val="single" w:color="000000" w:sz="4" w:space="0"/>
            </w:tcBorders>
            <w:noWrap/>
            <w:vAlign w:val="center"/>
          </w:tcPr>
          <w:p w14:paraId="40F61782">
            <w:pPr>
              <w:pageBreakBefore w:val="0"/>
              <w:kinsoku/>
              <w:wordWrap/>
              <w:overflowPunct/>
              <w:topLinePunct w:val="0"/>
              <w:autoSpaceDE/>
              <w:autoSpaceDN/>
              <w:bidi w:val="0"/>
              <w:snapToGrid/>
              <w:spacing w:line="360" w:lineRule="auto"/>
              <w:jc w:val="center"/>
              <w:rPr>
                <w:rFonts w:hint="eastAsia" w:ascii="宋体" w:hAnsi="宋体" w:eastAsia="宋体" w:cs="宋体"/>
                <w:b/>
                <w:bCs/>
                <w:i w:val="0"/>
                <w:iCs w:val="0"/>
                <w:color w:val="000000"/>
                <w:sz w:val="20"/>
                <w:szCs w:val="20"/>
                <w:highlight w:val="none"/>
                <w:u w:val="none"/>
              </w:rPr>
            </w:pPr>
          </w:p>
        </w:tc>
      </w:tr>
    </w:tbl>
    <w:p w14:paraId="70CB7313">
      <w:pPr>
        <w:rPr>
          <w:rFonts w:hint="eastAsia" w:ascii="宋体" w:hAnsi="宋体" w:eastAsia="宋体" w:cs="宋体"/>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DD08C">
    <w:pPr>
      <w:spacing w:line="176" w:lineRule="auto"/>
      <w:ind w:left="1214"/>
      <w:rPr>
        <w:rFonts w:ascii="宋体" w:hAnsi="宋体" w:eastAsia="宋体" w:cs="宋体"/>
        <w:spacing w:val="-3"/>
        <w:sz w:val="29"/>
        <w:szCs w:val="29"/>
      </w:rPr>
    </w:pPr>
    <w:r>
      <w:rPr>
        <w:sz w:val="29"/>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-5715</wp:posOffset>
              </wp:positionV>
              <wp:extent cx="717550" cy="30416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17550" cy="304165"/>
                      </a:xfrm>
                      <a:prstGeom prst="rect">
                        <a:avLst/>
                      </a:prstGeom>
                      <a:noFill/>
                      <a:ln w="6350">
                        <a:noFill/>
                      </a:ln>
                    </wps:spPr>
                    <wps:txbx>
                      <w:txbxContent>
                        <w:p w14:paraId="645BFB16">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upright="0"/>
                  </wps:wsp>
                </a:graphicData>
              </a:graphic>
            </wp:anchor>
          </w:drawing>
        </mc:Choice>
        <mc:Fallback>
          <w:pict>
            <v:shape id="_x0000_s1026" o:spid="_x0000_s1026" o:spt="202" type="#_x0000_t202" style="position:absolute;left:0pt;margin-top:-0.45pt;height:23.95pt;width:56.5pt;mso-position-horizontal:outside;mso-position-horizontal-relative:margin;z-index:251659264;mso-width-relative:page;mso-height-relative:page;" filled="f" stroked="f" coordsize="21600,21600" o:gfxdata="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ZXrGnUAAAABQEAAA8AAAAAAAAAAQAgAAAAIgAAAGRycy9kb3ducmV2LnhtbFBL&#10;AQIUABQAAAAIAIdO4kBMwz4TwQEAAHoDAAAOAAAAAAAAAAEAIAAAACMBAABkcnMvZTJvRG9jLnht&#10;bFBLBQYAAAAABgAGAFkBAABWBQAAAAA=&#10;">
              <v:fill on="f" focussize="0,0"/>
              <v:stroke on="f" weight="0.5pt"/>
              <v:imagedata o:title=""/>
              <o:lock v:ext="edit" aspectratio="f"/>
              <v:textbox inset="0mm,0mm,0mm,0mm">
                <w:txbxContent>
                  <w:p w14:paraId="645BFB16">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E591D"/>
    <w:rsid w:val="059D5548"/>
    <w:rsid w:val="13DE591D"/>
    <w:rsid w:val="212117DC"/>
    <w:rsid w:val="2E586286"/>
    <w:rsid w:val="5F16521D"/>
    <w:rsid w:val="62143C96"/>
    <w:rsid w:val="62D82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next w:val="1"/>
    <w:qFormat/>
    <w:uiPriority w:val="0"/>
    <w:pPr>
      <w:tabs>
        <w:tab w:val="center" w:pos="4153"/>
        <w:tab w:val="right" w:pos="8306"/>
      </w:tabs>
      <w:snapToGrid w:val="0"/>
      <w:jc w:val="left"/>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styleId="11">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11</Pages>
  <Words>4212</Words>
  <Characters>4438</Characters>
  <Lines>0</Lines>
  <Paragraphs>0</Paragraphs>
  <TotalTime>2</TotalTime>
  <ScaleCrop>false</ScaleCrop>
  <LinksUpToDate>false</LinksUpToDate>
  <CharactersWithSpaces>4798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2025-09-28T11:20:00Z</dcterms:created>
  <dc:creator>나무</dc:creator>
  <cp:lastModifiedBy>w**l</cp:lastModifiedBy>
  <dcterms:modified xsi:type="dcterms:W3CDTF">2025-09-29T03:35:51Z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44CE30AC8AAB44AF8B60B7446F929448_11</vt:lpwstr>
  </property>
  <property fmtid="{D5CDD505-2E9C-101B-9397-08002B2CF9AE}" pid="4" name="KSOTemplateDocerSaveRecord">
    <vt:lpwstr>eyJoZGlkIjoiNzNlNmY1N2M1NzM2ZDVlNDc4Y2JjNjc0YjQwODU1NmQiLCJ1c2VySWQiOiI1NjUyMTA3MzYifQ==</vt:lpwstr>
  </property>
</Properties>
</file>