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0C5A2">
      <w:pPr>
        <w:pStyle w:val="2"/>
        <w:pageBreakBefore w:val="0"/>
        <w:kinsoku/>
        <w:wordWrap/>
        <w:overflowPunct/>
        <w:topLinePunct w:val="0"/>
        <w:bidi w:val="0"/>
        <w:spacing w:before="0" w:after="360" w:line="360" w:lineRule="auto"/>
        <w:ind w:right="525" w:rightChars="250"/>
        <w:jc w:val="center"/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>采购包2费用组成明细表</w:t>
      </w:r>
      <w:bookmarkStart w:id="0" w:name="_GoBack"/>
      <w:bookmarkEnd w:id="0"/>
    </w:p>
    <w:tbl>
      <w:tblPr>
        <w:tblStyle w:val="3"/>
        <w:tblW w:w="10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970"/>
        <w:gridCol w:w="816"/>
        <w:gridCol w:w="764"/>
        <w:gridCol w:w="816"/>
        <w:gridCol w:w="2101"/>
        <w:gridCol w:w="2101"/>
        <w:gridCol w:w="2101"/>
      </w:tblGrid>
      <w:tr w14:paraId="6DAB1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E9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3B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项目内容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091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单位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2C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D76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养护期限（月）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A3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 注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9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C2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 w14:paraId="774D0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2B8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8BD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三河一山绿道维修养护项目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DB3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99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3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D2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养护期限为2026年1月1日-2026年6月30日，共计6个月。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3B7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FC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2952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C6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（一）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310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绿道保洁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29B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49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89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540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536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DBFF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742E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9E0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D0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绿道及保洁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014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A0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135058.1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6D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6D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对渭河城市段骑行道、步行道、广场及公共区域等进行保洁。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D21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EA3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C6D2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46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394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驿站保洁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F8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人*月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26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0C6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CA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对绿道沿线11处驿站公共区域、卫生间等进行保洁。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DC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19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A4A6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B3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（二）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9E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垃圾消纳及化粪池清理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333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2D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33A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A74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493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B7A9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7715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1E3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2A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89B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105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207.09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40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A5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对渭河城市段绿道沿线垃圾进行清理及消纳。（漕运明渠至灞渭桥）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089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3BD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E2B1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5D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D8B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化粪池清理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82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F31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6544.8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C23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F74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对绿道沿线11处驿站化粪池进行日常清理。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53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A5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FD17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CCE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（三）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0EA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绿道日常运行管理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099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0A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C0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8E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5F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FACF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5AD1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83F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CDF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安保巡查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F9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0F44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3E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95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安保巡查人员11名，对绿道及驿站进行安保巡查。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9A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B2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4909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83A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D0E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游服人员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5F3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05D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770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B97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聘用二级驿站游服人员10名进行公益服务。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83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9C5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F4DA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BB7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958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净化设备运行费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0F0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50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04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3A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对绿道沿线11处驿站水净化设备进行运行维护。此项为暂列金，按82600元填报。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42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941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F49E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D60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C9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照明灌溉用电电费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093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EA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0F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AC4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保证渭河绿道驿站、设施用电等。此项为暂列金，按201500元填报。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522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DB4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894E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721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（四）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5D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预备费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80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B4E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59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07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用于零星设施维修及应急、不可预见项目的实施等，按直接费用10%考虑。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E06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ED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376D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8A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二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215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渭河城市段维修养护项目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27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8B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B2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B21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养护期限为2025年11月1日-2026年6月30日，共计8个月。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D4C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AF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2C63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E10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（一）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87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渭河城市段堤防主体工程维修养护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0A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FF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B32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BE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5C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E59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7BDB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00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1C9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堤防主体工程日常保洁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8ED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859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80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D4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ED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F19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E1AA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695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0DD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堤顶道路保洁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0E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11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127710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95D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2BF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养护保洁8.8m(堤顶道路7.436km，灞渭桥1.288km）车行道、包括清扫、洒水、捡拾垃圾。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84A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760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0076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E9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22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堤坡除草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7DF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8D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285063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DA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B0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对渭河城市段14+700-22+136堤防迎水坡、背水坡草皮进行养护。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11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32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2A68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95D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58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渭河城市段广场保洁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CB3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9A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3554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C7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54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包括东石牛广场2074㎡；灞渭滩区门口广场1480㎡，包括清扫、洒水、捡拾垃圾。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C26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19A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4A50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A8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66F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渭河城市段水体维护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B77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AB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176217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21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02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包括堤南湖面、幸福渠、灞渭滩区等，按照湖面总面积10%处理。对蓝藻、水草等植物进行清除处理，保证水体质量。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14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971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6F1F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020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5D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上下堤路日常保洁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CC8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23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2218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B54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47B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2处上下堤路：华山厂、华圣。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31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88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15C0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F4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742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堤顶厕所养护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BEC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58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65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A2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灞渭桥西南角一处厕所保洁。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26A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8C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FC96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29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（7）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7C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灞渭桥保洁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88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137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7B2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FD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包括三组仿古建筑景观廊亭、两处桥头汉阙总长640米、栏杆2576米以及所有警示牌、垃圾桶等附属设施日常保洁。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12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A2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D95C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DC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A0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堤防绿化工程养护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267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2D4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CD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2F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A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998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BFE3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66E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ED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堤顶绿化养护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AC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B0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104019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291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A4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包括堤顶绿化以及下穿绿道周边绿化养护。养护内容包括浇水、除草、修枝、施肥、防害、涂白。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AF4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81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9550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E8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AFB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防浪林养护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FA0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66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384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C98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4CB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养护内容包括浇水、除草、修枝、施肥、防害、涂白。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B8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D5D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FDFA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9A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31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上下堤路两侧绿化养护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3CF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81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1357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BB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2E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2处上下堤路：华山厂、华圣，包括草皮养护以及灌木拔草、浇水、施肥、打药。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D2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B47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2D2D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525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90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设施维修养护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A0F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6C6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EB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4C7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05A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FF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CBE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5D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FB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渭河城市段限高维修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BC6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37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E87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8C6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每处倒链更换、限高打磨刷反光漆：其中包括1处电动限高、1处手动限高。此项为暂列金，按4333元填报。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94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93E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6E09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45D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DE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集水井维修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B1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E38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62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4EC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对渭河城市段7.5km堤顶集水井内垃圾清理外运、补井盖。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DF1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6D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2D9D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CA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9C0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冬季除雪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9A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9A5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EA9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11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包括购买融雪剂、租赁除雪机械、人工除雪等。此项为暂列金，按30000元填报。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671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913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5F98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A18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5D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限宽门维修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00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CC0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74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F3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刷漆、焊接。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1C2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4C7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39D8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7D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B34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公里桩百米桩维修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2F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EF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CDA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64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一次描字、扶正。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EA2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6D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55D34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93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（7）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BC5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排水沟翻修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BA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E4A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AB0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938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渭河城市段背水坡(集流槽维修)，对原有破损、塌陷部位进行拆除，重新提升保证效果，确保安全运行。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DB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34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2247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698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（8）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749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堤顶路面维修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2F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216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336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BAC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包括车行道路面、骑行道、步行道以及园区道路维修。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5D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908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4B09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0A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①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EA2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路面灌缝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B45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A06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680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8FC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行车道：清除缝内杂物，熬油，灌油缝，填充缝隙。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B0F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DF6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20EF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32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②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4E9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道路维修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53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BA0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330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DC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75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行车道路面：拆除、清底、旧料清理成堆、运油、加热，洒布机喷油，移动挡板（或遮盖物）、保护侧缘石、摊铺、接茬、找平、点补，撒垫料、碾压、清理。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B5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E72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8405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9A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③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68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堤顶园路维修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4E9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3E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101.33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397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C4C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对堤顶汀步石、透水砖等园路进行维修。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23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C7F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21DA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61F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（9）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4F5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灞渭桥设施维修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47C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C50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8D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01A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包括灞渭桥汉阙石材装饰条制作、安装及局部修复、对浮雕进行修复、描字、刷漆等。此项为暂列金，按50000元填报。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26A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C5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4547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17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（10）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FF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桥面伸缩缝维修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39D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593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49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49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包括幸福渠桥以及灞渭桥伸缩缝维修。此项为暂列金，按3000元/处填报。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76E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BF9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5078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6BC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F7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堤顶路缘石维修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F8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1CC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6DD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8FA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拆除原有破损路缘石，进行维修，原状恢复。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6F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AE9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E7A4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CB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39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堤顶路缘石刷漆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885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540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1102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EAC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BB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对桥梁、重点路口路缘石进行刷新（黑黄油漆）。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389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9E1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143F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B5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042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广场路面维修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96E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EC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59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20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堤顶广场（灞渭桥东西广场等）原有破损芝麻灰花岗岩路面拆除、重新进行贴砖维修。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D2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33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0FB9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0A3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2D2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土方养护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1CD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E8F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9C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6A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对渭河城市段14+700-22+136堤防背水坡土方养护。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64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82D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94A8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F10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1C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石方养护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10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D81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0A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2EF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对渭河城市段14+700-22+136堤防背水坡、河道护坡石方养护。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7C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0F6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408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703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F2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隔离围栏维护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B44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8C1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94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AD4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新增综合护栏，便于管理。棕色、锌钢、0.3米高,含混凝土基座。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94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009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0974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8E0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（18）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530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观景平台、木条凳刷漆维修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53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24F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480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EA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渭河城市段观景平台、堤南景观亭、木栈道维修、涂刷防腐漆及堤顶、堤南木条凳维修。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CC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7D2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87DB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3B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（19）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FE5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管理标志牌维修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79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8C3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121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AC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530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对渭河城市段宣传栏、水保牌等刷新、维修，按照要求更换内容。包括宣传栏，水保牌等。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CE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D4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7EC2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1BC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（二）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1A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渭河城市段堤南200m工程维修养护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BB0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05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58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93C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CFE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417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70ED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A69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84D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堤南200m工程日常保洁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D31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C87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AF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E2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32A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0540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C30A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FE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E4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堤南200米园路保洁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4A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4F8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26151.60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43F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360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包括堤南200米绿化带内园路保洁，附属设施保洁。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32B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F69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5C4B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FA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92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堤南200米湖面保洁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28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15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09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5B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湖面周边的漂浮物打捞、冬季芦苇清理、安全管理。其中天权湖2人、天玑湖3人，北辰湖4人。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911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57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0FF2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6C6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59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堤南厕所日常养护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65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C56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B4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33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厕所3处，全年养护保洁。其中天玑湖1处，桃园下堤踏步1处、北辰湖1处，每处2人。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26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2A6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DB13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086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F09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堤南200m绿化工程养护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85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753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B3F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627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AC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319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B0A5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7B0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D6C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堤南200米绿化养护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97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ACD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846039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D3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29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养护内容包括浇水、除草、修枝、施肥、防害、涂白。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211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16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A749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AE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A6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灌木补植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E11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4EA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95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682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补栽红叶石楠、女贞等灌木，包括按期养护。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474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0B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FF099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F13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A30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绿化移植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1D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株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559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932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26A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对堤顶、堤南行距较小苗木进行移植至堤南林带内，按期养护。包括红叶李、国槐、大叶女贞等。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668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60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5548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1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476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管理站绿化养护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5AD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B1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8187.00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7A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870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渭河管理三、四站院落养护。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FAD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F2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A625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262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1CD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设施维修养护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3A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40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B5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73A9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93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DECA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DD56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EC7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C6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堤南园区道路维修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A0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B9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7CD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168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渭河城市段堤南200米绿化带内包括石材、透水砖以及塑胶跑道的园路维修.破损率取1%。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9F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4B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9A41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B3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851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隔离网维修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83C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9C0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173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32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1B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堤南200m隔离刺网维修。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23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794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F107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7F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E2D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管理站设施维修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89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B07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97A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A79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2处管理用房设施维修。此项为暂列金，按20000元填报。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999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767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A710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527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D2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垃圾桶维修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3B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72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5F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B5F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对单桶垃圾桶进行维修（包括刷漆、补木条、更换内胆等），双桶垃圾维修(包括刷漆、更换内胆等）。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017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39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3568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4F9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49C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垃圾桶维护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E4B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5CA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47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0B2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BC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不锈钢成品垃圾桶，尺寸长940*宽360*高940mm，采用304不锈钢，经典喷塑，镀锌内筒。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F0B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77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E2597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9A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1D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安全设施维修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CD0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B13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67D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314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共36处，包含救生圈、救生杆及设施打磨刷新等,每年至少更新一次。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787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B3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60D5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8C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（三）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6CC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渭河城市段滩区工程维修养护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C7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C3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AC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01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3B0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7E2E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5C48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8DE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F5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漕运明渠入渭河口至西铜桥上下游滩区养护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51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7E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09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CE5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AA9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0D6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999C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066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95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漕运明渠漂浮物打捞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736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0B9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DA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0D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对漕运明渠入渭段200m以及滚水坝下游段进行漂浮物打捞及垃圾捡拾。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2F9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9DF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063F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C74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D4A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FA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63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8B1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99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园区内路面保洁,道路清扫；滩区、桥下、道路捡拾垃圾等。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4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50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5731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6DE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E6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F1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87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77228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90F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159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包括养护68228㎡紫穗槐、沙地柏、红叶李，华山湿地便道两侧种植的9000㎡灌木，小叶女贞及紫穗槐的养护。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12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4A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D713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D0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892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滩区日常除草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9B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F1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19200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DED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4E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路边清除杂草19200㎡，道路两侧各2m。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0E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374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2FF0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2E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777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闸门日常养护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6E4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DE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BD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63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进退水口各一处，对闸门进行日常保养。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47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99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3759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72B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11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沥青道路保洁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1F9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D00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A5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3F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漕运明渠下堤路至华山厂东上堤路车行道保洁：1.9km道路保洁，包括两侧绿化带内垃圾捡拾。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4EC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CE3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098D7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DE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2F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幸福河入渭段滩区养护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E46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42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F4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46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D8A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0FB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0570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01D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2A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湖边除草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E9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C39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33350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EA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95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湖边清除杂草50亩，包括打草、粉碎、还田。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CCB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9E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5BF4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B8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779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2AA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BE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E92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FB9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幸福渠湿地湖面保洁及周边保洁、垃圾捡拾。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41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64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14A8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0B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EF6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水面保洁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E12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08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3C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7BE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包括幸福渠入渭段放水、打捞漂浮物。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2E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767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0F23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1D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679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灞渭桥下游滩区养护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980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126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C6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88F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400亩滩区养护，包括水面保洁、滩区垃圾捡拾，以及清扫路面、洒水降尘。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A43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2A3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6099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BF8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85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灞渭生态滩区养护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B1F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83E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33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796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56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C95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DBF7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6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2F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8B2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滩区保洁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27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B9A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309165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F4E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D81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包括日常道路保洁、洒水、捡拾垃圾、日常除草、标识牌维护、休闲广场、停车场等附属设施日常保洁，防火员及滩区捡拾垃圾、栏杆的日常保洁、廊亭、房屋的保洁等。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F3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82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0E92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284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A71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厕所日常养护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949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5FB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EFE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54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对7处厕所进行日常保洁。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2A9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F1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A381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76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7E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湖面漂浮物打捞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5E0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12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8E3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D17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对2400亩湖面进行漂浮物打捞，水生植物养护。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86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63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5E35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28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BC9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草皮养护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A79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BE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17495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1F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DCB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无灌溉条件，包括黑麦草、三叶草、多年生花卉的养护。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2E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F1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1BD7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A9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9D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灌木养护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085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8E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19251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91F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B9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无灌溉条件，包括金边黄杨、小叶女贞、火棘等灌木的拔草、浇水、施肥、打药。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B9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352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219A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DAB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94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乔木养护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17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株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07F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2908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01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A1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无灌溉条件，包括拔草、浇水、施肥、打药、涂白。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3F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A92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2E98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67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（7）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0F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附属设施维修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82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798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FCE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E7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包括进出口闸门保养、船只、木栈道、道路、广场、厕所等所有附属设施的日常维修。此项为暂列金，按173333元处填报。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89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DA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53F4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2B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（8）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6C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花卉补植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0F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37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8016.72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2A4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0D2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20种花混播（4~5季）、藤本蔷薇、石竹、粉黛乱子草（多年生），包括地形整理以及养护。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5B9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28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7E79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F7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（9）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B9E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隔离网维修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5C4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6DB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133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E69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01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园区边界隔离网维修，含基础。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D0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740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534E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CC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（10）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30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滩区打草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9A7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D18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406164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303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1EA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打草609亩，包括道路13000m、木栈道两侧3166m，观鸟屋、厕所、桥梁、标识牌、停车场、滩地内等区域两侧各2m的打草。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09B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91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00F4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26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911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未治理滩区养护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E5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85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2AB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D0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F1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BBF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6A98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F1F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25C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日常养护及防火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2B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D2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E87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A34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18+220-20+000,21+200-22+136，每处1人，包括日常保洁以及冬季防火。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5FF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317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8351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479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581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未治理滩区防火隔离带除草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DE2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B06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156464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F1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DBD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每500米一条防火带（人机结合，土方整理）。防火带宽度10-15米。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35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64B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3BBC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98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（四）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BFD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供电系统维修养护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20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368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7A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4BE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26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F37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79FF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0BD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1A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配电箱高压线路维护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8043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63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16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8F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132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16处配电箱及高压线路维护。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AC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1E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346A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0DE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A74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渭河城市段照明设施维护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A0E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B3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8A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023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22.136km、堤南线路的维护检修、路灯灯头更换、损坏灯杆校正等；汉阙内照明、大桥路灯、照明电缆脉冲监控设施及附属设施维护；照明线路日常维修及路灯配件日常更换，设备维修、线路维修。此项为暂列金，按160034元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E4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B5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E434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D1F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（五）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BCB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灌溉系统维修养护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C7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96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731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10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包括堤顶、堤南、滩区范围内水泵、灌溉管道及出水桩的维修更换等。此项为暂列金，按140000元处填报。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763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CBF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4F68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F57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（六）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58D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景区运行管理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56C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0B2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DD5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0F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3B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38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76175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7A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365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燃料动力费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73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409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CF0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4D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197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CB5C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5FD9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7C3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3C4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照明灌溉用电电费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4C1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7A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70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32A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渭河城市段全段电费（照明、灌溉、办公景区运行管理等）。此项为暂列金，按1800000元处填报。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C7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2FA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8097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8CD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3F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巡查车辆维修费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31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B8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2AB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9D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4辆巡查车，维修保养。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D56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5A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8BD7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00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273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安全巡查人员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3F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7B4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3FD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C89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157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32AC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83D2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2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CB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44D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日常巡查人员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B7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26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0B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87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聘用巡逻保安人员80名（包括华山厂段）进行日常巡查，确保堤顶及堤南照明设施用电，确保设施安全及正常运行。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ABF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03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4834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1B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798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节假日巡查人员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AD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工日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365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260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57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46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用于节假日期间重点值守。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844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1D1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7149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B18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55D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景区厕所维护费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42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8B8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563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9C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2AF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5BB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653C5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E23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04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厕所化粪池日常清理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23A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FD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1190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766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FF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厕所化粪池清理，范围包括各管理站、堤南、堤顶、各滩区。内容包括清掏以及拉运。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1F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87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2C0E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D4C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9B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厕所维修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35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8644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5D0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716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设施维修（包括各管理站、堤南、堤顶、各滩区以及驿站厕所维修），对厕所内蹲位、坐便、小便器，灯具、烘干器、灭蚊器、应急灯、门锁、洗手面盆及管道等配套有设施设备进行各种损坏零配件的维修更换。此项为暂列金，按70000元处填报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31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674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A79F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6FD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19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E03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538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FD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4B4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堤顶、堤南全段、滩区日常垃圾处理。按50000元处填报，总价包死。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19F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27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0378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6C3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（七）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AEC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预备费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6BC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85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D5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72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用于零星设施维修及应急、不可预见项目的实施等，按直接费用10%考虑。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238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61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</w:tbl>
    <w:p w14:paraId="1D73E20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说明：1.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必须按本表的格式详细报出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报价的各个组成部分的报价，否则作无效响应文件处理；报价精确到小数点后两位；</w:t>
      </w:r>
    </w:p>
    <w:p w14:paraId="6F31F849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2.本表各分项报价合计应当与响应文件其他地方的总报价相等；如果按单价计算的结果与报价不一致时，以单价为准修正报价与合计报价。</w:t>
      </w:r>
    </w:p>
    <w:p w14:paraId="0F9AE8E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</w:p>
    <w:p w14:paraId="5715B88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</w:p>
    <w:p w14:paraId="5BE5BF01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供应商名称（盖章）：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{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请填写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供应商名称}</w:t>
      </w:r>
    </w:p>
    <w:p w14:paraId="26BFFCED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日期：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XXXX年XX月XX日</w:t>
      </w:r>
    </w:p>
    <w:p w14:paraId="1D04ACF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B545B"/>
    <w:rsid w:val="27C44CA3"/>
    <w:rsid w:val="40DB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17</Pages>
  <Words>3773</Words>
  <Characters>4166</Characters>
  <Lines>0</Lines>
  <Paragraphs>0</Paragraphs>
  <TotalTime>1</TotalTime>
  <ScaleCrop>false</ScaleCrop>
  <LinksUpToDate>false</LinksUpToDate>
  <CharactersWithSpaces>4167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2025-09-29T13:14:00Z</dcterms:created>
  <dc:creator>나무</dc:creator>
  <cp:lastModifiedBy>나무</cp:lastModifiedBy>
  <dcterms:modified xsi:type="dcterms:W3CDTF">2025-09-29T13:23:30Z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197A57BE0A3D4B9DBB534695AF6DCD8F_11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