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hd w:val="clear" w:color="000000" w:fill="auto"/>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1、</w:t>
      </w:r>
      <w:r>
        <w:rPr>
          <w:rFonts w:hint="eastAsia" w:ascii="仿宋" w:hAnsi="仿宋" w:eastAsia="仿宋" w:cs="仿宋"/>
          <w:spacing w:val="7"/>
          <w:sz w:val="24"/>
          <w:szCs w:val="24"/>
        </w:rPr>
        <w:t>有效的主体资格证明</w:t>
      </w:r>
      <w:r>
        <w:rPr>
          <w:rFonts w:hint="eastAsia" w:ascii="仿宋" w:hAnsi="仿宋" w:eastAsia="仿宋" w:cs="仿宋"/>
          <w:spacing w:val="7"/>
          <w:sz w:val="24"/>
          <w:szCs w:val="24"/>
        </w:rPr>
        <w:tab/>
      </w:r>
      <w:r>
        <w:rPr>
          <w:rFonts w:hint="eastAsia" w:ascii="仿宋" w:hAnsi="仿宋" w:eastAsia="仿宋" w:cs="仿宋"/>
          <w:spacing w:val="7"/>
          <w:sz w:val="24"/>
          <w:szCs w:val="24"/>
        </w:rPr>
        <w:t>供应商为合法注册的法人、其他组织或自然人，提供营业执照等证明文件；</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rPr>
        <w:tab/>
      </w:r>
      <w:r>
        <w:rPr>
          <w:rFonts w:hint="eastAsia" w:ascii="仿宋" w:hAnsi="仿宋" w:eastAsia="仿宋" w:cs="仿宋"/>
          <w:spacing w:val="7"/>
          <w:sz w:val="24"/>
          <w:szCs w:val="24"/>
        </w:rPr>
        <w:t>供应商2024年度经审计的财务报告或磋商截止时间前三个月内其基本开户银行出具的资信证明及账户开户许可证明材料或财政部门认可的政府采购专业担保机构开具的投标担保函（任选其一）；</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提供磋商响应文件递交截止日前一年内已缴存的至少一个月的社会保障资金缴存单据或社保机构开具的社会保险参保缴费情况证明，依法不需要缴纳社会保障资金的单位应提供相关证明材料；</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提供具有履行本合同所必需的设备和专业技术能力的说明及承诺；(提供书面说明及承诺，加盖供应商公章)</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rPr>
        <w:t>本采购包专门面向中小企业采购</w:t>
      </w:r>
      <w:r>
        <w:rPr>
          <w:rFonts w:hint="eastAsia" w:ascii="仿宋" w:hAnsi="仿宋" w:eastAsia="仿宋" w:cs="仿宋"/>
          <w:spacing w:val="7"/>
          <w:sz w:val="24"/>
          <w:szCs w:val="24"/>
        </w:rPr>
        <w:tab/>
      </w:r>
      <w:r>
        <w:rPr>
          <w:rFonts w:hint="eastAsia" w:ascii="仿宋" w:hAnsi="仿宋" w:eastAsia="仿宋" w:cs="仿宋"/>
          <w:spacing w:val="7"/>
          <w:sz w:val="24"/>
          <w:szCs w:val="24"/>
        </w:rPr>
        <w:t>参与的供应商（联合体）服务全部由符合政策要求的中小企业承接。</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rPr>
        <w:t>企业信用</w:t>
      </w:r>
      <w:r>
        <w:rPr>
          <w:rFonts w:hint="eastAsia" w:ascii="仿宋" w:hAnsi="仿宋" w:eastAsia="仿宋" w:cs="仿宋"/>
          <w:spacing w:val="7"/>
          <w:sz w:val="24"/>
          <w:szCs w:val="24"/>
        </w:rPr>
        <w:tab/>
      </w:r>
      <w:r>
        <w:rPr>
          <w:rFonts w:hint="eastAsia" w:ascii="仿宋" w:hAnsi="仿宋" w:eastAsia="仿宋" w:cs="仿宋"/>
          <w:spacing w:val="7"/>
          <w:sz w:val="24"/>
          <w:szCs w:val="24"/>
        </w:rPr>
        <w:t>不得被纳入“信用中国”网站(http://www.creditchina.gov.cn)列入“失信被执行人、重大税收违法失信主体”；不得被纳入中国政府采购网(http://www.ccgp.gov.cn)“政府采购严重违法失信行为记录名单”。</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rPr>
        <w:tab/>
      </w:r>
      <w:r>
        <w:rPr>
          <w:rFonts w:hint="eastAsia" w:ascii="仿宋" w:hAnsi="仿宋" w:eastAsia="仿宋" w:cs="仿宋"/>
          <w:spacing w:val="7"/>
          <w:sz w:val="24"/>
          <w:szCs w:val="24"/>
        </w:rPr>
        <w:t>单位负责人为同一人或者存在直接控股、管理关系的不同供应商，不得参加同一合同项下的政府采购活动。</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10、</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rPr>
        <w:tab/>
      </w:r>
      <w:r>
        <w:rPr>
          <w:rFonts w:hint="eastAsia" w:ascii="仿宋" w:hAnsi="仿宋" w:eastAsia="仿宋" w:cs="仿宋"/>
          <w:spacing w:val="7"/>
          <w:sz w:val="24"/>
          <w:szCs w:val="24"/>
        </w:rPr>
        <w:t>法定代表人参加磋商的，须提供本人身份证复印件（附在响应文件中）；法定代表人授权他人参加磋商的，须提供法定代表人授权委托书。法定代表人授权委托书须附委托代理人为本单位人员的有效证明材料。</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p>
    <w:p>
      <w:pPr>
        <w:pStyle w:val="2"/>
        <w:rPr>
          <w:rFonts w:hint="eastAsia" w:ascii="仿宋" w:hAnsi="仿宋" w:eastAsia="仿宋" w:cs="仿宋"/>
          <w:spacing w:val="7"/>
          <w:sz w:val="24"/>
          <w:szCs w:val="24"/>
        </w:rPr>
      </w:pPr>
    </w:p>
    <w:p>
      <w:pPr>
        <w:rPr>
          <w:rFonts w:hint="eastAsia"/>
        </w:rPr>
      </w:pP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lang w:val="zh-CN"/>
        </w:rPr>
      </w:pPr>
      <w:r>
        <w:rPr>
          <w:rFonts w:hint="eastAsia" w:ascii="仿宋" w:hAnsi="仿宋" w:eastAsia="仿宋" w:cs="仿宋"/>
          <w:spacing w:val="7"/>
          <w:sz w:val="24"/>
          <w:szCs w:val="24"/>
          <w:lang w:val="zh-CN"/>
        </w:rPr>
        <w:br w:type="page"/>
      </w:r>
    </w:p>
    <w:p>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pPr>
        <w:autoSpaceDE w:val="0"/>
        <w:autoSpaceDN w:val="0"/>
        <w:adjustRightInd w:val="0"/>
        <w:spacing w:line="348" w:lineRule="auto"/>
        <w:ind w:firstLine="400"/>
        <w:rPr>
          <w:rFonts w:ascii="仿宋" w:hAnsi="仿宋" w:eastAsia="仿宋" w:cs="仿宋"/>
          <w:b/>
          <w:bCs/>
          <w:sz w:val="20"/>
        </w:rPr>
      </w:pPr>
    </w:p>
    <w:p>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bookmarkStart w:id="0" w:name="_GoBack"/>
      <w:bookmarkEnd w:id="0"/>
    </w:p>
    <w:p>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pPr>
        <w:autoSpaceDE w:val="0"/>
        <w:autoSpaceDN w:val="0"/>
        <w:adjustRightInd w:val="0"/>
        <w:spacing w:line="348" w:lineRule="auto"/>
        <w:rPr>
          <w:rFonts w:ascii="仿宋" w:hAnsi="仿宋" w:eastAsia="仿宋" w:cs="仿宋"/>
          <w:sz w:val="24"/>
        </w:rPr>
      </w:pPr>
    </w:p>
    <w:p>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pPr>
        <w:autoSpaceDE w:val="0"/>
        <w:autoSpaceDN w:val="0"/>
        <w:adjustRightInd w:val="0"/>
        <w:spacing w:line="348" w:lineRule="auto"/>
        <w:rPr>
          <w:rFonts w:ascii="仿宋" w:hAnsi="仿宋" w:eastAsia="仿宋" w:cs="仿宋"/>
          <w:sz w:val="24"/>
        </w:rPr>
      </w:pPr>
    </w:p>
    <w:p>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7"/>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djustRightInd w:val="0"/>
        <w:snapToGrid w:val="0"/>
        <w:spacing w:line="360" w:lineRule="auto"/>
        <w:ind w:firstLine="480" w:firstLineChars="200"/>
        <w:rPr>
          <w:rFonts w:ascii="仿宋" w:hAnsi="仿宋" w:eastAsia="仿宋" w:cs="仿宋"/>
          <w:sz w:val="24"/>
        </w:rPr>
      </w:pPr>
    </w:p>
    <w:p>
      <w:pPr>
        <w:pStyle w:val="3"/>
      </w:pP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pPr>
        <w:spacing w:after="120"/>
        <w:rPr>
          <w:rFonts w:ascii="仿宋" w:hAnsi="仿宋" w:eastAsia="仿宋" w:cs="仿宋"/>
        </w:rPr>
      </w:pPr>
      <w:r>
        <w:rPr>
          <w:rFonts w:hint="eastAsia" w:ascii="仿宋" w:hAnsi="仿宋" w:eastAsia="仿宋" w:cs="仿宋"/>
        </w:rPr>
        <w:br w:type="page"/>
      </w:r>
    </w:p>
    <w:p>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pPr>
        <w:autoSpaceDE w:val="0"/>
        <w:autoSpaceDN w:val="0"/>
        <w:adjustRightInd w:val="0"/>
        <w:spacing w:line="360" w:lineRule="auto"/>
        <w:jc w:val="left"/>
        <w:rPr>
          <w:rFonts w:ascii="仿宋" w:hAnsi="仿宋" w:eastAsia="仿宋" w:cs="仿宋"/>
          <w:kern w:val="0"/>
          <w:sz w:val="24"/>
        </w:rPr>
      </w:pPr>
    </w:p>
    <w:tbl>
      <w:tblPr>
        <w:tblStyle w:val="7"/>
        <w:tblW w:w="40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ind w:left="5656"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pPr>
        <w:autoSpaceDE w:val="0"/>
        <w:autoSpaceDN w:val="0"/>
        <w:adjustRightInd w:val="0"/>
        <w:spacing w:line="360" w:lineRule="auto"/>
        <w:ind w:left="5656" w:leftChars="2571"/>
        <w:jc w:val="left"/>
        <w:rPr>
          <w:rFonts w:ascii="仿宋" w:hAnsi="仿宋" w:eastAsia="仿宋" w:cs="仿宋"/>
          <w:kern w:val="0"/>
          <w:sz w:val="24"/>
        </w:rPr>
      </w:pPr>
    </w:p>
    <w:p>
      <w:pPr>
        <w:autoSpaceDE w:val="0"/>
        <w:autoSpaceDN w:val="0"/>
        <w:adjustRightInd w:val="0"/>
        <w:spacing w:line="360" w:lineRule="auto"/>
        <w:ind w:left="6976" w:leftChars="3171"/>
        <w:jc w:val="left"/>
        <w:rPr>
          <w:rFonts w:ascii="仿宋" w:hAnsi="仿宋" w:eastAsia="仿宋" w:cs="仿宋"/>
          <w:kern w:val="0"/>
          <w:sz w:val="24"/>
        </w:rPr>
      </w:pPr>
      <w:r>
        <w:rPr>
          <w:rFonts w:hint="eastAsia" w:ascii="仿宋" w:hAnsi="仿宋" w:eastAsia="仿宋" w:cs="仿宋"/>
          <w:kern w:val="0"/>
          <w:sz w:val="24"/>
        </w:rPr>
        <w:t>年   月   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ascii="仿宋" w:hAnsi="仿宋" w:eastAsia="仿宋" w:cs="仿宋"/>
          <w:b/>
          <w:bCs/>
          <w:sz w:val="32"/>
          <w:szCs w:val="32"/>
        </w:rPr>
      </w:pPr>
    </w:p>
    <w:p>
      <w:pPr>
        <w:jc w:val="center"/>
        <w:rPr>
          <w:rFonts w:ascii="仿宋" w:hAnsi="仿宋" w:eastAsia="仿宋" w:cs="仿宋"/>
          <w:b/>
          <w:sz w:val="24"/>
        </w:rPr>
      </w:pPr>
      <w:r>
        <w:rPr>
          <w:rFonts w:hint="eastAsia" w:ascii="仿宋" w:hAnsi="仿宋" w:eastAsia="仿宋" w:cs="仿宋"/>
          <w:b/>
          <w:sz w:val="24"/>
        </w:rPr>
        <w:t>声明函</w:t>
      </w:r>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hint="eastAsia" w:ascii="仿宋" w:hAnsi="仿宋" w:eastAsia="仿宋" w:cs="仿宋"/>
          <w:spacing w:val="7"/>
          <w:sz w:val="23"/>
          <w:szCs w:val="23"/>
        </w:rPr>
      </w:pPr>
      <w:r>
        <w:rPr>
          <w:rFonts w:hint="eastAsia" w:ascii="仿宋" w:hAnsi="仿宋" w:eastAsia="仿宋" w:cs="仿宋"/>
          <w:b/>
          <w:bCs/>
          <w:sz w:val="32"/>
          <w:szCs w:val="32"/>
        </w:rPr>
        <w:br w:type="page"/>
      </w:r>
    </w:p>
    <w:p>
      <w:pPr>
        <w:rPr>
          <w:rFonts w:ascii="仿宋" w:hAnsi="仿宋" w:eastAsia="仿宋" w:cs="仿宋"/>
          <w:b/>
          <w:bCs/>
          <w:sz w:val="32"/>
          <w:szCs w:val="32"/>
        </w:rPr>
      </w:pPr>
    </w:p>
    <w:p>
      <w:pPr>
        <w:rPr>
          <w:rFonts w:ascii="仿宋" w:hAnsi="仿宋" w:eastAsia="仿宋" w:cs="仿宋"/>
          <w:b/>
          <w:bCs/>
          <w:sz w:val="32"/>
          <w:szCs w:val="32"/>
        </w:rPr>
      </w:pPr>
    </w:p>
    <w:p>
      <w:pPr>
        <w:jc w:val="center"/>
        <w:rPr>
          <w:rFonts w:ascii="仿宋" w:hAnsi="仿宋" w:eastAsia="仿宋" w:cs="仿宋"/>
          <w:b/>
          <w:sz w:val="24"/>
        </w:rPr>
      </w:pPr>
      <w:r>
        <w:rPr>
          <w:rFonts w:hint="eastAsia" w:ascii="仿宋" w:hAnsi="仿宋" w:eastAsia="仿宋" w:cs="仿宋"/>
          <w:b/>
          <w:sz w:val="24"/>
        </w:rPr>
        <w:t>承诺函</w:t>
      </w:r>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ascii="仿宋" w:hAnsi="仿宋" w:eastAsia="仿宋" w:cs="仿宋"/>
          <w:b/>
          <w:bCs/>
        </w:rPr>
      </w:pPr>
    </w:p>
    <w:p>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pPr>
        <w:spacing w:line="500" w:lineRule="exact"/>
        <w:outlineLvl w:val="2"/>
        <w:rPr>
          <w:rFonts w:ascii="仿宋" w:hAnsi="仿宋" w:eastAsia="仿宋" w:cs="仿宋"/>
          <w:sz w:val="24"/>
        </w:rPr>
      </w:pPr>
      <w:r>
        <w:rPr>
          <w:rFonts w:hint="eastAsia" w:ascii="仿宋" w:hAnsi="仿宋" w:eastAsia="仿宋" w:cs="仿宋"/>
          <w:sz w:val="24"/>
        </w:rPr>
        <w:t>1.1管理关系说明：</w:t>
      </w:r>
    </w:p>
    <w:p>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outlineLvl w:val="2"/>
        <w:rPr>
          <w:rFonts w:ascii="仿宋" w:hAnsi="仿宋" w:eastAsia="仿宋" w:cs="仿宋"/>
          <w:sz w:val="24"/>
        </w:rPr>
      </w:pPr>
      <w:r>
        <w:rPr>
          <w:rFonts w:hint="eastAsia" w:ascii="仿宋" w:hAnsi="仿宋" w:eastAsia="仿宋" w:cs="仿宋"/>
          <w:sz w:val="24"/>
        </w:rPr>
        <w:t>1.2股权关系说明：</w:t>
      </w:r>
    </w:p>
    <w:p>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pPr>
        <w:pStyle w:val="3"/>
      </w:pPr>
    </w:p>
    <w:p>
      <w:pPr>
        <w:spacing w:line="500" w:lineRule="exact"/>
        <w:rPr>
          <w:rFonts w:ascii="仿宋" w:hAnsi="仿宋" w:eastAsia="仿宋" w:cs="仿宋"/>
          <w:sz w:val="24"/>
        </w:rPr>
      </w:pPr>
      <w:r>
        <w:rPr>
          <w:rFonts w:hint="eastAsia" w:ascii="仿宋" w:hAnsi="仿宋" w:eastAsia="仿宋" w:cs="仿宋"/>
          <w:sz w:val="24"/>
        </w:rPr>
        <w:t xml:space="preserve">供应商（盖公章）：               </w:t>
      </w:r>
    </w:p>
    <w:p>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pPr>
        <w:spacing w:line="500" w:lineRule="exact"/>
        <w:rPr>
          <w:rFonts w:ascii="仿宋" w:hAnsi="仿宋" w:eastAsia="仿宋" w:cs="仿宋"/>
          <w:sz w:val="24"/>
        </w:rPr>
        <w:sectPr>
          <w:headerReference r:id="rId4" w:type="default"/>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pPr>
        <w:pStyle w:val="5"/>
        <w:widowControl w:val="0"/>
        <w:spacing w:before="0" w:beforeAutospacing="0" w:after="0" w:afterAutospacing="0"/>
        <w:jc w:val="center"/>
        <w:rPr>
          <w:b/>
          <w:bCs/>
          <w:sz w:val="28"/>
          <w:szCs w:val="28"/>
        </w:rPr>
      </w:pPr>
    </w:p>
    <w:p>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pPr>
        <w:spacing w:line="500" w:lineRule="exact"/>
        <w:rPr>
          <w:rFonts w:hint="eastAsia" w:ascii="仿宋" w:hAnsi="仿宋" w:eastAsia="仿宋" w:cs="仿宋"/>
          <w:sz w:val="24"/>
          <w:szCs w:val="24"/>
        </w:rPr>
      </w:pPr>
    </w:p>
    <w:p>
      <w:pPr>
        <w:spacing w:line="500" w:lineRule="exact"/>
        <w:rPr>
          <w:rFonts w:hint="eastAsia" w:ascii="仿宋" w:hAnsi="仿宋" w:eastAsia="仿宋" w:cs="仿宋"/>
          <w:sz w:val="24"/>
          <w:szCs w:val="24"/>
        </w:rPr>
      </w:pPr>
    </w:p>
    <w:p>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pPr>
        <w:pStyle w:val="5"/>
        <w:widowControl w:val="0"/>
        <w:spacing w:before="0" w:beforeAutospacing="0" w:after="0" w:afterAutospacing="0"/>
        <w:jc w:val="both"/>
        <w:rPr>
          <w:rFonts w:ascii="仿宋" w:hAnsi="仿宋" w:eastAsia="仿宋" w:cs="仿宋"/>
          <w:sz w:val="24"/>
          <w:szCs w:val="24"/>
        </w:rPr>
      </w:pPr>
    </w:p>
    <w:p>
      <w:pPr>
        <w:ind w:firstLine="5040" w:firstLineChars="2100"/>
        <w:rPr>
          <w:rFonts w:hint="eastAsia" w:ascii="仿宋" w:hAnsi="仿宋" w:eastAsia="仿宋" w:cs="仿宋"/>
          <w:sz w:val="24"/>
          <w:szCs w:val="24"/>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pPr>
        <w:shd w:val="clear" w:color="auto" w:fill="auto"/>
        <w:autoSpaceDE w:val="0"/>
        <w:autoSpaceDN w:val="0"/>
        <w:adjustRightInd w:val="0"/>
        <w:spacing w:line="360" w:lineRule="auto"/>
        <w:ind w:firstLine="440" w:firstLineChars="200"/>
        <w:jc w:val="left"/>
        <w:rPr>
          <w:rFonts w:hint="eastAsia" w:ascii="宋体" w:hAnsi="宋体" w:cs="宋体"/>
          <w:color w:val="000000"/>
          <w:szCs w:val="21"/>
          <w:lang w:val="zh-CN"/>
        </w:rPr>
      </w:pPr>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bCs/>
          <w:color w:val="000000"/>
          <w:sz w:val="24"/>
          <w:szCs w:val="24"/>
        </w:rPr>
        <w:t>供应商在参加政府采购活动前3年内因违法经营被禁止在一定期限内参加政府采购活动，期限届满的，可以参加政府采购活动，但应提供期限届满的证明材料。</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pPr>
        <w:pStyle w:val="3"/>
        <w:widowControl w:val="0"/>
        <w:wordWrap/>
        <w:adjustRightInd/>
        <w:snapToGrid/>
        <w:ind w:firstLine="0" w:firstLineChars="0"/>
        <w:jc w:val="center"/>
        <w:textAlignment w:val="auto"/>
      </w:pPr>
      <w:r>
        <w:rPr>
          <w:rFonts w:hint="eastAsia" w:ascii="仿宋" w:hAnsi="仿宋" w:eastAsia="仿宋" w:cs="仿宋"/>
          <w:color w:val="000000"/>
          <w:sz w:val="24"/>
          <w:szCs w:val="24"/>
          <w:lang w:val="zh-CN"/>
        </w:rPr>
        <w:t>年    月    日</w:t>
      </w:r>
    </w:p>
    <w:p/>
    <w:sectPr>
      <w:footerReference r:id="rId5"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Malgun Gothic Semilight"/>
    <w:panose1 w:val="020B0604020202020204"/>
    <w:charset w:val="86"/>
    <w:family w:val="auto"/>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24035471"/>
    <w:rsid w:val="05BC1DCB"/>
    <w:rsid w:val="09D1626D"/>
    <w:rsid w:val="0D6058BB"/>
    <w:rsid w:val="0E890BD0"/>
    <w:rsid w:val="11B611F0"/>
    <w:rsid w:val="1672275E"/>
    <w:rsid w:val="19297320"/>
    <w:rsid w:val="24035471"/>
    <w:rsid w:val="268A7650"/>
    <w:rsid w:val="31FB7654"/>
    <w:rsid w:val="46A46634"/>
    <w:rsid w:val="4D13189E"/>
    <w:rsid w:val="7E982C1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7">
    <w:name w:val="Normal Table"/>
    <w:semiHidden/>
    <w:qFormat/>
    <w:uiPriority w:val="0"/>
    <w:tblPr>
      <w:tblStyle w:val="7"/>
      <w:tblLayout w:type="fixed"/>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Char1"/>
    <w:basedOn w:val="1"/>
    <w:qFormat/>
    <w:uiPriority w:val="0"/>
    <w:pPr>
      <w:tabs>
        <w:tab w:val="left" w:pos="360"/>
      </w:tabs>
      <w:ind w:left="360" w:hanging="360" w:hangingChars="200"/>
    </w:pPr>
    <w:rPr>
      <w:sz w:val="24"/>
      <w:szCs w:val="24"/>
    </w:rPr>
  </w:style>
  <w:style w:type="paragraph" w:customStyle="1" w:styleId="9">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1988</Words>
  <Characters>2075</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2025-05-27T06:56:00Z</dcterms:created>
  <dc:creator>ZBB</dc:creator>
  <cp:lastModifiedBy>Admin</cp:lastModifiedBy>
  <dcterms:modified xsi:type="dcterms:W3CDTF">2025-09-29T06:30:41Z</dcterms:modified>
  <dc:title>资格证明文件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F0CC417C85844FA8968F7504DA3C3880_11</vt:lpwstr>
  </property>
  <property fmtid="{D5CDD505-2E9C-101B-9397-08002B2CF9AE}" pid="4" name="KSOTemplateDocerSaveRecord">
    <vt:lpwstr>eyJoZGlkIjoiZDBiNWI5YzJlZDA1MGM1ZGVjZjFhNDg3NTllYzMxMzMiLCJ1c2VySWQiOiIzNzk1NzM3ODkifQ==</vt:lpwstr>
  </property>
</Properties>
</file>