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9EB60">
      <w:pPr>
        <w:pStyle w:val="2"/>
        <w:numPr>
          <w:ilvl w:val="0"/>
          <w:numId w:val="0"/>
        </w:numPr>
        <w:tabs>
          <w:tab w:val="center" w:pos="4153"/>
        </w:tabs>
        <w:spacing w:before="360"/>
        <w:jc w:val="center"/>
        <w:rPr>
          <w:rFonts w:hint="eastAsia" w:ascii="宋体" w:hAnsi="宋体"/>
          <w:color w:val="auto"/>
          <w:sz w:val="24"/>
          <w:szCs w:val="24"/>
          <w:highlight w:val="none"/>
        </w:rPr>
      </w:pPr>
      <w:bookmarkStart w:id="0" w:name="_GoBack"/>
      <w:bookmarkEnd w:id="0"/>
      <w:r>
        <w:rPr>
          <w:rFonts w:hint="eastAsia"/>
          <w:b/>
          <w:color w:val="auto"/>
          <w:sz w:val="44"/>
          <w:szCs w:val="44"/>
          <w:highlight w:val="none"/>
        </w:rPr>
        <w:t>西安市第一医院供货合同</w:t>
      </w:r>
    </w:p>
    <w:p w14:paraId="7B0D79DC">
      <w:pPr>
        <w:spacing w:before="0" w:after="0" w:line="360" w:lineRule="auto"/>
        <w:ind w:firstLine="520" w:firstLineChars="200"/>
        <w:rPr>
          <w:rFonts w:hint="eastAsia" w:ascii="宋体" w:hAnsi="宋体"/>
          <w:color w:val="auto"/>
          <w:highlight w:val="none"/>
        </w:rPr>
      </w:pPr>
      <w:r>
        <w:rPr>
          <w:rFonts w:hint="eastAsia" w:ascii="宋体" w:hAnsi="宋体"/>
          <w:color w:val="auto"/>
          <w:highlight w:val="none"/>
        </w:rPr>
        <w:t>合同编号：</w:t>
      </w:r>
    </w:p>
    <w:p w14:paraId="21E1ACDB">
      <w:pPr>
        <w:spacing w:before="0" w:after="0" w:line="360" w:lineRule="auto"/>
        <w:ind w:firstLine="520" w:firstLineChars="200"/>
        <w:rPr>
          <w:rFonts w:hint="eastAsia" w:ascii="宋体" w:hAnsi="宋体"/>
          <w:color w:val="auto"/>
          <w:highlight w:val="none"/>
        </w:rPr>
      </w:pPr>
      <w:r>
        <w:rPr>
          <w:rFonts w:hint="eastAsia" w:ascii="宋体" w:hAnsi="宋体"/>
          <w:color w:val="auto"/>
          <w:highlight w:val="none"/>
        </w:rPr>
        <w:t>签订地点：</w:t>
      </w:r>
      <w:r>
        <w:rPr>
          <w:rFonts w:hint="eastAsia"/>
          <w:color w:val="auto"/>
          <w:szCs w:val="21"/>
          <w:highlight w:val="none"/>
        </w:rPr>
        <w:t>西安市第一医院（粉巷）</w:t>
      </w:r>
    </w:p>
    <w:p w14:paraId="67816AF0">
      <w:pPr>
        <w:spacing w:before="0" w:after="0" w:line="360" w:lineRule="auto"/>
        <w:ind w:firstLine="520" w:firstLineChars="200"/>
        <w:rPr>
          <w:rFonts w:hint="eastAsia"/>
          <w:color w:val="auto"/>
          <w:szCs w:val="21"/>
          <w:highlight w:val="none"/>
        </w:rPr>
      </w:pPr>
      <w:r>
        <w:rPr>
          <w:rFonts w:hint="eastAsia" w:ascii="宋体" w:hAnsi="宋体"/>
          <w:color w:val="auto"/>
          <w:highlight w:val="none"/>
        </w:rPr>
        <w:t>采购人（甲方）：西安市第</w:t>
      </w:r>
      <w:r>
        <w:rPr>
          <w:rFonts w:hint="eastAsia"/>
          <w:color w:val="auto"/>
          <w:szCs w:val="21"/>
          <w:highlight w:val="none"/>
        </w:rPr>
        <w:t>一医院</w:t>
      </w:r>
    </w:p>
    <w:p w14:paraId="2F5B8312">
      <w:pPr>
        <w:spacing w:before="0" w:after="0" w:line="360" w:lineRule="auto"/>
        <w:ind w:firstLine="520" w:firstLineChars="200"/>
        <w:rPr>
          <w:rFonts w:hint="eastAsia"/>
          <w:color w:val="auto"/>
          <w:highlight w:val="none"/>
        </w:rPr>
      </w:pPr>
      <w:r>
        <w:rPr>
          <w:rFonts w:hint="eastAsia"/>
          <w:color w:val="auto"/>
          <w:highlight w:val="none"/>
        </w:rPr>
        <w:t xml:space="preserve">供应商（乙方）： </w:t>
      </w:r>
    </w:p>
    <w:p w14:paraId="301C232B">
      <w:pPr>
        <w:pStyle w:val="5"/>
        <w:rPr>
          <w:rFonts w:hint="eastAsia"/>
          <w:color w:val="auto"/>
          <w:highlight w:val="none"/>
        </w:rPr>
      </w:pPr>
      <w:r>
        <w:rPr>
          <w:rFonts w:hint="eastAsia"/>
          <w:color w:val="auto"/>
          <w:highlight w:val="none"/>
        </w:rPr>
        <w:t>供应商规模：  规模企业（大、中、小、微）</w:t>
      </w:r>
    </w:p>
    <w:p w14:paraId="0421B789">
      <w:pPr>
        <w:spacing w:before="0" w:after="0" w:line="360" w:lineRule="auto"/>
        <w:ind w:firstLine="520" w:firstLineChars="200"/>
        <w:rPr>
          <w:rFonts w:hint="eastAsia"/>
          <w:color w:val="auto"/>
          <w:highlight w:val="none"/>
        </w:rPr>
      </w:pPr>
      <w:r>
        <w:rPr>
          <w:rFonts w:hint="eastAsia"/>
          <w:color w:val="auto"/>
          <w:highlight w:val="none"/>
        </w:rPr>
        <w:t xml:space="preserve">招标公司： </w:t>
      </w:r>
    </w:p>
    <w:p w14:paraId="7BC20414">
      <w:pPr>
        <w:spacing w:before="0" w:after="0" w:line="360" w:lineRule="auto"/>
        <w:ind w:firstLine="520" w:firstLineChars="200"/>
        <w:rPr>
          <w:rFonts w:hint="eastAsia" w:ascii="宋体" w:hAnsi="宋体"/>
          <w:color w:val="auto"/>
          <w:highlight w:val="none"/>
        </w:rPr>
      </w:pPr>
      <w:r>
        <w:rPr>
          <w:rFonts w:hint="eastAsia"/>
          <w:color w:val="auto"/>
          <w:highlight w:val="none"/>
        </w:rPr>
        <w:t xml:space="preserve">招标时间：    </w:t>
      </w:r>
      <w:r>
        <w:rPr>
          <w:rFonts w:hint="eastAsia" w:eastAsia="宋体"/>
          <w:color w:val="auto"/>
          <w:highlight w:val="none"/>
        </w:rPr>
        <w:t xml:space="preserve">年    月    日 </w:t>
      </w:r>
      <w:r>
        <w:rPr>
          <w:rFonts w:hint="eastAsia" w:ascii="宋体" w:hAnsi="宋体"/>
          <w:color w:val="auto"/>
          <w:highlight w:val="none"/>
        </w:rPr>
        <w:t xml:space="preserve">  ；  中标时间：    年    月   日</w:t>
      </w:r>
    </w:p>
    <w:p w14:paraId="00E2E80E">
      <w:pPr>
        <w:spacing w:line="360" w:lineRule="auto"/>
        <w:ind w:firstLine="261" w:firstLineChars="100"/>
        <w:jc w:val="left"/>
        <w:rPr>
          <w:rFonts w:hint="eastAsia" w:ascii="宋体" w:hAnsi="宋体" w:eastAsia="宋体" w:cs="宋体"/>
          <w:b/>
          <w:color w:val="auto"/>
          <w:szCs w:val="24"/>
          <w:highlight w:val="none"/>
        </w:rPr>
      </w:pPr>
      <w:r>
        <w:rPr>
          <w:rFonts w:hint="eastAsia"/>
          <w:b/>
          <w:color w:val="auto"/>
          <w:highlight w:val="none"/>
        </w:rPr>
        <w:t>履约结束日期：   年   月  日</w:t>
      </w:r>
      <w:r>
        <w:rPr>
          <w:rFonts w:hint="eastAsia" w:ascii="宋体" w:hAnsi="宋体" w:eastAsia="宋体" w:cs="宋体"/>
          <w:b/>
          <w:color w:val="auto"/>
          <w:szCs w:val="24"/>
          <w:highlight w:val="none"/>
        </w:rPr>
        <w:t>（可视验收具体情况向后顺延）</w:t>
      </w:r>
    </w:p>
    <w:p w14:paraId="47062C0D">
      <w:pPr>
        <w:pStyle w:val="11"/>
        <w:spacing w:line="360" w:lineRule="auto"/>
        <w:ind w:firstLine="480"/>
        <w:rPr>
          <w:rFonts w:hint="eastAsia" w:ascii="宋体" w:hAnsi="宋体"/>
          <w:color w:val="auto"/>
          <w:highlight w:val="none"/>
        </w:rPr>
      </w:pPr>
      <w:r>
        <w:rPr>
          <w:rFonts w:hint="eastAsia" w:ascii="宋体" w:hAnsi="宋体"/>
          <w:color w:val="auto"/>
          <w:highlight w:val="none"/>
        </w:rPr>
        <w:t>根据《中华人民共和国政府采购法》、《中华人民共和国民法典》及</w:t>
      </w:r>
      <w:r>
        <w:rPr>
          <w:rFonts w:hint="eastAsia"/>
          <w:color w:val="auto"/>
          <w:szCs w:val="21"/>
          <w:highlight w:val="none"/>
        </w:rPr>
        <w:t>西安市第一医院</w:t>
      </w:r>
      <w:r>
        <w:rPr>
          <w:rFonts w:hint="eastAsia" w:ascii="Arial" w:hAnsi="Arial" w:cs="Arial"/>
          <w:color w:val="auto"/>
          <w:szCs w:val="21"/>
          <w:highlight w:val="none"/>
        </w:rPr>
        <w:t>医疗</w:t>
      </w:r>
      <w:r>
        <w:rPr>
          <w:rFonts w:hint="eastAsia"/>
          <w:color w:val="auto"/>
          <w:szCs w:val="21"/>
          <w:highlight w:val="none"/>
        </w:rPr>
        <w:t>设备采购项目</w:t>
      </w:r>
      <w:r>
        <w:rPr>
          <w:rFonts w:hint="eastAsia" w:ascii="宋体" w:hAnsi="宋体"/>
          <w:color w:val="auto"/>
          <w:highlight w:val="none"/>
        </w:rPr>
        <w:t>（</w:t>
      </w:r>
      <w:r>
        <w:rPr>
          <w:rFonts w:hint="eastAsia" w:ascii="宋体" w:hAnsi="宋体"/>
          <w:color w:val="auto"/>
          <w:highlight w:val="none"/>
        </w:rPr>
        <w:t>项目编</w:t>
      </w:r>
      <w:r>
        <w:rPr>
          <w:rFonts w:hint="eastAsia" w:ascii="Times" w:hAnsi="Times" w:cs="Times New Roman"/>
          <w:color w:val="auto"/>
          <w:kern w:val="0"/>
          <w:szCs w:val="21"/>
          <w:highlight w:val="none"/>
        </w:rPr>
        <w:t>号及名称：</w:t>
      </w:r>
      <w:r>
        <w:rPr>
          <w:rFonts w:hint="eastAsia"/>
          <w:color w:val="auto"/>
          <w:szCs w:val="21"/>
          <w:highlight w:val="none"/>
          <w:u w:val="single"/>
        </w:rPr>
        <w:t xml:space="preserve">                    </w:t>
      </w:r>
      <w:r>
        <w:rPr>
          <w:rFonts w:hint="eastAsia" w:ascii="Times" w:hAnsi="Times" w:cs="Times New Roman"/>
          <w:color w:val="auto"/>
          <w:kern w:val="0"/>
          <w:szCs w:val="21"/>
          <w:highlight w:val="none"/>
        </w:rPr>
        <w:t>）</w:t>
      </w:r>
      <w:r>
        <w:rPr>
          <w:rFonts w:hint="eastAsia" w:ascii="宋体" w:hAnsi="宋体"/>
          <w:color w:val="auto"/>
          <w:highlight w:val="none"/>
        </w:rPr>
        <w:t>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3F7A308A">
      <w:pPr>
        <w:spacing w:before="0" w:after="0" w:line="360" w:lineRule="auto"/>
        <w:ind w:firstLine="0"/>
        <w:jc w:val="left"/>
        <w:rPr>
          <w:rFonts w:hint="eastAsia"/>
          <w:b/>
          <w:color w:val="auto"/>
          <w:highlight w:val="none"/>
        </w:rPr>
      </w:pPr>
    </w:p>
    <w:p w14:paraId="66556A64">
      <w:pPr>
        <w:spacing w:before="0" w:after="0" w:line="360" w:lineRule="auto"/>
        <w:ind w:firstLine="0"/>
        <w:jc w:val="left"/>
        <w:rPr>
          <w:rFonts w:hint="eastAsia"/>
          <w:b/>
          <w:color w:val="auto"/>
          <w:highlight w:val="none"/>
        </w:rPr>
      </w:pPr>
      <w:r>
        <w:rPr>
          <w:rFonts w:hint="eastAsia"/>
          <w:b/>
          <w:color w:val="auto"/>
          <w:highlight w:val="none"/>
        </w:rPr>
        <w:t>一、</w:t>
      </w:r>
      <w:r>
        <w:rPr>
          <w:rFonts w:hint="eastAsia"/>
          <w:b/>
          <w:color w:val="auto"/>
          <w:highlight w:val="none"/>
        </w:rPr>
        <w:t>合同货物（配置清单附后）</w:t>
      </w:r>
    </w:p>
    <w:tbl>
      <w:tblPr>
        <w:tblStyle w:val="7"/>
        <w:tblW w:w="1105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57"/>
        <w:gridCol w:w="955"/>
        <w:gridCol w:w="1710"/>
        <w:gridCol w:w="795"/>
        <w:gridCol w:w="676"/>
        <w:gridCol w:w="1080"/>
        <w:gridCol w:w="1110"/>
        <w:gridCol w:w="825"/>
        <w:gridCol w:w="814"/>
        <w:gridCol w:w="814"/>
        <w:gridCol w:w="814"/>
      </w:tblGrid>
      <w:tr w14:paraId="5B3CFF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jc w:val="center"/>
        </w:trPr>
        <w:tc>
          <w:tcPr>
            <w:tcW w:w="1457" w:type="dxa"/>
            <w:tcBorders>
              <w:top w:val="single" w:color="auto" w:sz="4" w:space="0"/>
              <w:left w:val="single" w:color="auto" w:sz="4" w:space="0"/>
              <w:bottom w:val="single" w:color="auto" w:sz="4" w:space="0"/>
              <w:right w:val="single" w:color="auto" w:sz="4" w:space="0"/>
            </w:tcBorders>
            <w:noWrap w:val="0"/>
            <w:vAlign w:val="center"/>
          </w:tcPr>
          <w:p w14:paraId="658E434D">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货物品名</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74633996">
            <w:pPr>
              <w:spacing w:before="0" w:after="0" w:line="400" w:lineRule="exact"/>
              <w:ind w:firstLine="0"/>
              <w:jc w:val="center"/>
              <w:rPr>
                <w:rFonts w:hint="eastAsia" w:ascii="宋体" w:hAnsi="宋体" w:cs="Arial"/>
                <w:color w:val="auto"/>
                <w:highlight w:val="none"/>
              </w:rPr>
            </w:pPr>
            <w:r>
              <w:rPr>
                <w:rFonts w:hint="eastAsia" w:ascii="宋体" w:hAnsi="宋体" w:cs="Arial"/>
                <w:color w:val="auto"/>
                <w:highlight w:val="none"/>
              </w:rPr>
              <w:t>产地</w:t>
            </w:r>
          </w:p>
          <w:p w14:paraId="67212DB1">
            <w:pPr>
              <w:spacing w:before="0" w:after="0" w:line="400" w:lineRule="exact"/>
              <w:ind w:firstLine="0"/>
              <w:jc w:val="center"/>
              <w:rPr>
                <w:rFonts w:hint="eastAsia" w:ascii="宋体" w:hAnsi="宋体" w:cs="Arial"/>
                <w:color w:val="auto"/>
                <w:highlight w:val="none"/>
              </w:rPr>
            </w:pPr>
            <w:r>
              <w:rPr>
                <w:rFonts w:hint="eastAsia" w:ascii="宋体" w:hAnsi="宋体" w:cs="Arial"/>
                <w:color w:val="auto"/>
                <w:szCs w:val="22"/>
                <w:highlight w:val="none"/>
              </w:rPr>
              <w:t>品牌</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0371713">
            <w:pPr>
              <w:spacing w:before="0" w:after="0" w:line="400" w:lineRule="exact"/>
              <w:ind w:firstLine="0"/>
              <w:jc w:val="center"/>
              <w:rPr>
                <w:rFonts w:ascii="宋体" w:hAnsi="宋体" w:cs="Arial"/>
                <w:color w:val="auto"/>
                <w:highlight w:val="none"/>
              </w:rPr>
            </w:pPr>
            <w:r>
              <w:rPr>
                <w:rFonts w:hint="eastAsia" w:ascii="宋体" w:hAnsi="宋体" w:cs="Arial"/>
                <w:color w:val="auto"/>
                <w:highlight w:val="none"/>
              </w:rPr>
              <w:t>规格</w:t>
            </w:r>
          </w:p>
          <w:p w14:paraId="5AE9D10B">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型号</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3A847CE4">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单位</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708CD22C">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9CB275A">
            <w:pPr>
              <w:spacing w:before="0" w:after="0" w:line="400" w:lineRule="exact"/>
              <w:ind w:firstLine="0"/>
              <w:jc w:val="center"/>
              <w:rPr>
                <w:rFonts w:ascii="宋体" w:hAnsi="宋体" w:cs="Arial"/>
                <w:color w:val="auto"/>
                <w:highlight w:val="none"/>
              </w:rPr>
            </w:pPr>
            <w:r>
              <w:rPr>
                <w:rFonts w:hint="eastAsia" w:ascii="宋体" w:hAnsi="宋体" w:cs="Arial"/>
                <w:color w:val="auto"/>
                <w:highlight w:val="none"/>
              </w:rPr>
              <w:t>单价</w:t>
            </w:r>
          </w:p>
          <w:p w14:paraId="2D4F5D7F">
            <w:pPr>
              <w:spacing w:before="0" w:after="0" w:line="400" w:lineRule="exact"/>
              <w:ind w:firstLine="0"/>
              <w:jc w:val="center"/>
              <w:rPr>
                <w:rFonts w:ascii="宋体" w:hAnsi="宋体" w:cs="Arial"/>
                <w:color w:val="auto"/>
                <w:highlight w:val="none"/>
              </w:rPr>
            </w:pPr>
            <w:r>
              <w:rPr>
                <w:rFonts w:hint="eastAsia" w:ascii="宋体" w:hAnsi="宋体" w:cs="Arial"/>
                <w:color w:val="auto"/>
                <w:highlight w:val="none"/>
              </w:rPr>
              <w:t>（万元）</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CD63630">
            <w:pPr>
              <w:spacing w:before="0" w:after="0" w:line="400" w:lineRule="exact"/>
              <w:ind w:firstLine="0"/>
              <w:jc w:val="center"/>
              <w:rPr>
                <w:rFonts w:ascii="宋体" w:hAnsi="宋体" w:cs="Arial"/>
                <w:color w:val="auto"/>
                <w:highlight w:val="none"/>
              </w:rPr>
            </w:pPr>
            <w:r>
              <w:rPr>
                <w:rFonts w:hint="eastAsia" w:ascii="宋体" w:hAnsi="宋体" w:cs="Arial"/>
                <w:color w:val="auto"/>
                <w:highlight w:val="none"/>
              </w:rPr>
              <w:t>总价</w:t>
            </w:r>
          </w:p>
          <w:p w14:paraId="6FB79CAD">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（万元）</w:t>
            </w:r>
          </w:p>
        </w:tc>
        <w:tc>
          <w:tcPr>
            <w:tcW w:w="825" w:type="dxa"/>
            <w:tcBorders>
              <w:top w:val="single" w:color="auto" w:sz="4" w:space="0"/>
              <w:left w:val="single" w:color="auto" w:sz="4" w:space="0"/>
              <w:bottom w:val="single" w:color="auto" w:sz="4" w:space="0"/>
              <w:right w:val="single" w:color="auto" w:sz="4" w:space="0"/>
            </w:tcBorders>
            <w:noWrap w:val="0"/>
            <w:vAlign w:val="center"/>
          </w:tcPr>
          <w:p w14:paraId="3F9342B8">
            <w:pPr>
              <w:spacing w:before="0" w:after="0" w:line="400" w:lineRule="exact"/>
              <w:ind w:firstLine="0"/>
              <w:jc w:val="center"/>
              <w:rPr>
                <w:rFonts w:ascii="宋体" w:hAnsi="宋体" w:cs="Arial"/>
                <w:color w:val="auto"/>
                <w:highlight w:val="none"/>
              </w:rPr>
            </w:pPr>
            <w:r>
              <w:rPr>
                <w:rFonts w:hint="eastAsia" w:ascii="宋体" w:hAnsi="宋体" w:cs="Arial"/>
                <w:color w:val="auto"/>
                <w:highlight w:val="none"/>
              </w:rPr>
              <w:t>随机</w:t>
            </w:r>
          </w:p>
          <w:p w14:paraId="3092AF11">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配件</w:t>
            </w:r>
          </w:p>
        </w:tc>
        <w:tc>
          <w:tcPr>
            <w:tcW w:w="814" w:type="dxa"/>
            <w:tcBorders>
              <w:top w:val="single" w:color="auto" w:sz="4" w:space="0"/>
              <w:left w:val="single" w:color="auto" w:sz="4" w:space="0"/>
              <w:bottom w:val="single" w:color="auto" w:sz="4" w:space="0"/>
              <w:right w:val="single" w:color="auto" w:sz="4" w:space="0"/>
            </w:tcBorders>
            <w:noWrap w:val="0"/>
            <w:vAlign w:val="center"/>
          </w:tcPr>
          <w:p w14:paraId="286F3EBA">
            <w:pPr>
              <w:spacing w:before="0" w:after="0" w:line="400" w:lineRule="exact"/>
              <w:ind w:firstLine="0"/>
              <w:jc w:val="center"/>
              <w:rPr>
                <w:rFonts w:ascii="宋体" w:hAnsi="宋体"/>
                <w:color w:val="auto"/>
                <w:highlight w:val="none"/>
              </w:rPr>
            </w:pPr>
            <w:r>
              <w:rPr>
                <w:rFonts w:hint="eastAsia" w:ascii="宋体" w:hAnsi="宋体" w:cs="Arial"/>
                <w:color w:val="auto"/>
                <w:highlight w:val="none"/>
              </w:rPr>
              <w:t>交货期</w:t>
            </w:r>
          </w:p>
        </w:tc>
        <w:tc>
          <w:tcPr>
            <w:tcW w:w="814" w:type="dxa"/>
            <w:tcBorders>
              <w:top w:val="single" w:color="auto" w:sz="4" w:space="0"/>
              <w:left w:val="single" w:color="auto" w:sz="4" w:space="0"/>
              <w:bottom w:val="single" w:color="auto" w:sz="4" w:space="0"/>
              <w:right w:val="single" w:color="auto" w:sz="4" w:space="0"/>
            </w:tcBorders>
            <w:noWrap w:val="0"/>
            <w:vAlign w:val="top"/>
          </w:tcPr>
          <w:p w14:paraId="0161AE8C">
            <w:pPr>
              <w:spacing w:before="0" w:after="0" w:line="400" w:lineRule="exact"/>
              <w:ind w:firstLine="0"/>
              <w:jc w:val="center"/>
              <w:rPr>
                <w:rFonts w:hint="eastAsia" w:ascii="宋体" w:hAnsi="宋体" w:cs="Arial"/>
                <w:color w:val="auto"/>
                <w:highlight w:val="none"/>
              </w:rPr>
            </w:pPr>
            <w:r>
              <w:rPr>
                <w:rFonts w:hint="eastAsia" w:ascii="宋体" w:hAnsi="宋体" w:cs="Arial"/>
                <w:color w:val="auto"/>
                <w:highlight w:val="none"/>
              </w:rPr>
              <w:t>使用科室</w:t>
            </w:r>
          </w:p>
        </w:tc>
        <w:tc>
          <w:tcPr>
            <w:tcW w:w="814" w:type="dxa"/>
            <w:tcBorders>
              <w:top w:val="single" w:color="auto" w:sz="4" w:space="0"/>
              <w:left w:val="single" w:color="auto" w:sz="4" w:space="0"/>
              <w:bottom w:val="single" w:color="auto" w:sz="4" w:space="0"/>
              <w:right w:val="single" w:color="auto" w:sz="4" w:space="0"/>
            </w:tcBorders>
            <w:noWrap w:val="0"/>
            <w:vAlign w:val="top"/>
          </w:tcPr>
          <w:p w14:paraId="05FFC305">
            <w:pPr>
              <w:spacing w:before="0" w:after="0" w:line="400" w:lineRule="exact"/>
              <w:ind w:firstLine="0"/>
              <w:jc w:val="center"/>
              <w:rPr>
                <w:rFonts w:hint="eastAsia" w:ascii="宋体" w:hAnsi="宋体" w:cs="Arial"/>
                <w:color w:val="auto"/>
                <w:highlight w:val="none"/>
              </w:rPr>
            </w:pPr>
            <w:r>
              <w:rPr>
                <w:rFonts w:hint="eastAsia" w:ascii="宋体" w:hAnsi="宋体" w:cs="Arial"/>
                <w:color w:val="auto"/>
                <w:highlight w:val="none"/>
              </w:rPr>
              <w:t>资金类型</w:t>
            </w:r>
          </w:p>
        </w:tc>
      </w:tr>
      <w:tr w14:paraId="291F48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7" w:hRule="atLeast"/>
          <w:jc w:val="center"/>
        </w:trPr>
        <w:tc>
          <w:tcPr>
            <w:tcW w:w="1457" w:type="dxa"/>
            <w:tcBorders>
              <w:top w:val="single" w:color="auto" w:sz="4" w:space="0"/>
              <w:left w:val="single" w:color="auto" w:sz="4" w:space="0"/>
              <w:bottom w:val="single" w:color="auto" w:sz="4" w:space="0"/>
              <w:right w:val="single" w:color="auto" w:sz="4" w:space="0"/>
            </w:tcBorders>
            <w:noWrap w:val="0"/>
            <w:vAlign w:val="center"/>
          </w:tcPr>
          <w:p w14:paraId="75FE9AD8">
            <w:pPr>
              <w:pStyle w:val="12"/>
              <w:spacing w:line="360" w:lineRule="exact"/>
              <w:ind w:firstLine="0" w:firstLineChars="0"/>
              <w:jc w:val="center"/>
              <w:rPr>
                <w:rFonts w:hint="eastAsia" w:ascii="宋体" w:hAnsi="宋体" w:eastAsia="宋体" w:cs="宋体"/>
                <w:color w:val="auto"/>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F4E3D06">
            <w:pPr>
              <w:spacing w:before="0" w:after="0" w:line="400" w:lineRule="exact"/>
              <w:ind w:firstLine="0"/>
              <w:jc w:val="center"/>
              <w:rPr>
                <w:rFonts w:ascii="宋体" w:hAnsi="宋体"/>
                <w:color w:val="auto"/>
                <w:szCs w:val="22"/>
                <w:highlight w:val="none"/>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22C7EC17">
            <w:pPr>
              <w:spacing w:before="0" w:after="0" w:line="400" w:lineRule="exact"/>
              <w:ind w:firstLine="0"/>
              <w:jc w:val="center"/>
              <w:rPr>
                <w:rFonts w:ascii="宋体" w:hAnsi="宋体"/>
                <w:color w:val="auto"/>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360F85B2">
            <w:pPr>
              <w:spacing w:before="0" w:after="0" w:line="400" w:lineRule="exact"/>
              <w:ind w:firstLine="130" w:firstLineChars="50"/>
              <w:jc w:val="center"/>
              <w:rPr>
                <w:rFonts w:hint="eastAsia" w:ascii="宋体" w:hAnsi="宋体" w:eastAsia="Times New Roman"/>
                <w:color w:val="auto"/>
                <w:highlight w:val="none"/>
              </w:rPr>
            </w:pPr>
          </w:p>
        </w:tc>
        <w:tc>
          <w:tcPr>
            <w:tcW w:w="676" w:type="dxa"/>
            <w:tcBorders>
              <w:top w:val="single" w:color="auto" w:sz="4" w:space="0"/>
              <w:left w:val="single" w:color="auto" w:sz="4" w:space="0"/>
              <w:bottom w:val="single" w:color="auto" w:sz="4" w:space="0"/>
              <w:right w:val="single" w:color="auto" w:sz="4" w:space="0"/>
            </w:tcBorders>
            <w:noWrap w:val="0"/>
            <w:vAlign w:val="center"/>
          </w:tcPr>
          <w:p w14:paraId="7A7EAC90">
            <w:pPr>
              <w:spacing w:before="0" w:after="0" w:line="400" w:lineRule="exact"/>
              <w:ind w:firstLine="0"/>
              <w:jc w:val="center"/>
              <w:rPr>
                <w:rFonts w:hint="eastAsia" w:ascii="宋体" w:hAnsi="宋体" w:eastAsia="宋体"/>
                <w:color w:val="auto"/>
                <w:highlight w:val="none"/>
              </w:rPr>
            </w:pPr>
            <w:r>
              <w:rPr>
                <w:rFonts w:hint="eastAsia" w:ascii="宋体" w:hAnsi="宋体" w:eastAsia="宋体"/>
                <w:color w:val="auto"/>
                <w:highlight w:val="none"/>
              </w:rPr>
              <w:t xml:space="preserve"> </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1F4CCD6">
            <w:pPr>
              <w:spacing w:before="0" w:after="0" w:line="400" w:lineRule="exact"/>
              <w:ind w:firstLine="0"/>
              <w:jc w:val="center"/>
              <w:rPr>
                <w:rFonts w:hint="eastAsia" w:ascii="宋体" w:hAnsi="宋体" w:eastAsia="宋体"/>
                <w:color w:val="auto"/>
                <w:highlight w:val="none"/>
              </w:rPr>
            </w:pPr>
            <w:r>
              <w:rPr>
                <w:rFonts w:hint="eastAsia" w:ascii="宋体" w:hAnsi="宋体" w:eastAsia="宋体"/>
                <w:color w:val="auto"/>
                <w:highlight w:val="none"/>
              </w:rPr>
              <w:t xml:space="preserve"> </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0CDAC3D">
            <w:pPr>
              <w:spacing w:before="0" w:after="0" w:line="400" w:lineRule="exact"/>
              <w:ind w:firstLine="0"/>
              <w:jc w:val="center"/>
              <w:rPr>
                <w:rFonts w:hint="eastAsia" w:ascii="宋体" w:hAnsi="宋体"/>
                <w:color w:val="auto"/>
                <w:highlight w:val="none"/>
              </w:rPr>
            </w:pPr>
            <w:r>
              <w:rPr>
                <w:rFonts w:hint="eastAsia" w:ascii="宋体" w:hAnsi="宋体"/>
                <w:color w:val="auto"/>
                <w:highlight w:val="none"/>
              </w:rPr>
              <w:t xml:space="preserve"> </w:t>
            </w:r>
          </w:p>
        </w:tc>
        <w:tc>
          <w:tcPr>
            <w:tcW w:w="825" w:type="dxa"/>
            <w:tcBorders>
              <w:top w:val="single" w:color="auto" w:sz="4" w:space="0"/>
              <w:left w:val="single" w:color="auto" w:sz="4" w:space="0"/>
              <w:right w:val="single" w:color="auto" w:sz="4" w:space="0"/>
            </w:tcBorders>
            <w:noWrap w:val="0"/>
            <w:vAlign w:val="center"/>
          </w:tcPr>
          <w:p w14:paraId="38E1B706">
            <w:pPr>
              <w:spacing w:before="0" w:after="0" w:line="400" w:lineRule="exact"/>
              <w:ind w:firstLine="0"/>
              <w:jc w:val="center"/>
              <w:rPr>
                <w:rFonts w:ascii="宋体" w:hAnsi="宋体" w:eastAsia="宋体"/>
                <w:color w:val="auto"/>
                <w:highlight w:val="none"/>
              </w:rPr>
            </w:pPr>
            <w:r>
              <w:rPr>
                <w:rFonts w:hint="eastAsia" w:ascii="宋体" w:hAnsi="宋体" w:eastAsia="宋体"/>
                <w:color w:val="auto"/>
                <w:highlight w:val="none"/>
              </w:rPr>
              <w:t>详见配置清单</w:t>
            </w:r>
          </w:p>
        </w:tc>
        <w:tc>
          <w:tcPr>
            <w:tcW w:w="814" w:type="dxa"/>
            <w:tcBorders>
              <w:top w:val="single" w:color="auto" w:sz="4" w:space="0"/>
              <w:left w:val="single" w:color="auto" w:sz="4" w:space="0"/>
              <w:right w:val="single" w:color="auto" w:sz="4" w:space="0"/>
            </w:tcBorders>
            <w:noWrap w:val="0"/>
            <w:vAlign w:val="center"/>
          </w:tcPr>
          <w:p w14:paraId="0B523C06">
            <w:pPr>
              <w:spacing w:before="0" w:after="0" w:line="400" w:lineRule="exact"/>
              <w:ind w:firstLine="0"/>
              <w:jc w:val="center"/>
              <w:rPr>
                <w:rFonts w:ascii="宋体" w:hAnsi="宋体" w:eastAsia="Times New Roman"/>
                <w:color w:val="auto"/>
                <w:highlight w:val="none"/>
              </w:rPr>
            </w:pPr>
            <w:r>
              <w:rPr>
                <w:rFonts w:hint="eastAsia" w:ascii="宋体" w:hAnsi="宋体"/>
                <w:color w:val="auto"/>
                <w:highlight w:val="none"/>
              </w:rPr>
              <w:t>合同签订后</w:t>
            </w:r>
            <w:r>
              <w:rPr>
                <w:rFonts w:hint="eastAsia" w:ascii="宋体" w:hAnsi="宋体"/>
                <w:color w:val="auto"/>
                <w:highlight w:val="none"/>
              </w:rPr>
              <w:t>XX</w:t>
            </w:r>
            <w:r>
              <w:rPr>
                <w:rFonts w:hint="eastAsia" w:ascii="宋体" w:hAnsi="宋体"/>
                <w:color w:val="auto"/>
                <w:highlight w:val="none"/>
              </w:rPr>
              <w:t>个日历日内</w:t>
            </w:r>
          </w:p>
        </w:tc>
        <w:tc>
          <w:tcPr>
            <w:tcW w:w="814" w:type="dxa"/>
            <w:tcBorders>
              <w:top w:val="single" w:color="auto" w:sz="4" w:space="0"/>
              <w:left w:val="single" w:color="auto" w:sz="4" w:space="0"/>
              <w:right w:val="single" w:color="auto" w:sz="4" w:space="0"/>
            </w:tcBorders>
            <w:noWrap w:val="0"/>
            <w:vAlign w:val="top"/>
          </w:tcPr>
          <w:p w14:paraId="7DF1DF32">
            <w:pPr>
              <w:spacing w:before="0" w:after="0" w:line="400" w:lineRule="exact"/>
              <w:ind w:firstLine="0"/>
              <w:jc w:val="center"/>
              <w:rPr>
                <w:rFonts w:hint="eastAsia" w:ascii="宋体" w:hAnsi="宋体"/>
                <w:color w:val="auto"/>
                <w:highlight w:val="none"/>
              </w:rPr>
            </w:pPr>
          </w:p>
        </w:tc>
        <w:tc>
          <w:tcPr>
            <w:tcW w:w="814" w:type="dxa"/>
            <w:tcBorders>
              <w:top w:val="single" w:color="auto" w:sz="4" w:space="0"/>
              <w:left w:val="single" w:color="auto" w:sz="4" w:space="0"/>
              <w:right w:val="single" w:color="auto" w:sz="4" w:space="0"/>
            </w:tcBorders>
            <w:noWrap w:val="0"/>
            <w:vAlign w:val="top"/>
          </w:tcPr>
          <w:p w14:paraId="4EB54CCE">
            <w:pPr>
              <w:spacing w:before="0" w:after="0" w:line="400" w:lineRule="exact"/>
              <w:ind w:firstLine="0"/>
              <w:jc w:val="center"/>
              <w:rPr>
                <w:rFonts w:hint="eastAsia" w:ascii="宋体" w:hAnsi="宋体"/>
                <w:color w:val="auto"/>
                <w:highlight w:val="none"/>
              </w:rPr>
            </w:pPr>
          </w:p>
        </w:tc>
      </w:tr>
      <w:tr w14:paraId="15F01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457" w:type="dxa"/>
            <w:tcBorders>
              <w:top w:val="single" w:color="auto" w:sz="4" w:space="0"/>
              <w:left w:val="single" w:color="auto" w:sz="4" w:space="0"/>
              <w:bottom w:val="single" w:color="auto" w:sz="4" w:space="0"/>
              <w:right w:val="single" w:color="auto" w:sz="4" w:space="0"/>
            </w:tcBorders>
            <w:noWrap w:val="0"/>
            <w:vAlign w:val="center"/>
          </w:tcPr>
          <w:p w14:paraId="39C598FB">
            <w:pPr>
              <w:spacing w:before="0" w:after="0" w:line="400" w:lineRule="exact"/>
              <w:ind w:firstLine="0"/>
              <w:jc w:val="center"/>
              <w:rPr>
                <w:rFonts w:hint="eastAsia" w:ascii="宋体" w:hAnsi="宋体"/>
                <w:color w:val="auto"/>
                <w:highlight w:val="none"/>
              </w:rPr>
            </w:pPr>
            <w:r>
              <w:rPr>
                <w:rFonts w:hint="eastAsia" w:ascii="宋体" w:hAnsi="宋体"/>
                <w:color w:val="auto"/>
                <w:highlight w:val="none"/>
              </w:rPr>
              <w:t>合计</w:t>
            </w:r>
          </w:p>
        </w:tc>
        <w:tc>
          <w:tcPr>
            <w:tcW w:w="7965" w:type="dxa"/>
            <w:gridSpan w:val="8"/>
            <w:tcBorders>
              <w:top w:val="single" w:color="auto" w:sz="4" w:space="0"/>
              <w:left w:val="single" w:color="auto" w:sz="4" w:space="0"/>
              <w:bottom w:val="single" w:color="auto" w:sz="4" w:space="0"/>
              <w:right w:val="single" w:color="auto" w:sz="4" w:space="0"/>
            </w:tcBorders>
            <w:noWrap w:val="0"/>
            <w:vAlign w:val="center"/>
          </w:tcPr>
          <w:p w14:paraId="328F236D">
            <w:pPr>
              <w:spacing w:before="0" w:after="0" w:line="400" w:lineRule="exact"/>
              <w:ind w:firstLine="0"/>
              <w:rPr>
                <w:rFonts w:ascii="宋体" w:hAnsi="宋体"/>
                <w:color w:val="auto"/>
                <w:highlight w:val="none"/>
              </w:rPr>
            </w:pPr>
            <w:r>
              <w:rPr>
                <w:rFonts w:hint="eastAsia" w:ascii="宋体" w:hAnsi="宋体"/>
                <w:color w:val="auto"/>
                <w:highlight w:val="none"/>
              </w:rPr>
              <w:t>人民币（大写）：</w:t>
            </w:r>
            <w:r>
              <w:rPr>
                <w:rFonts w:hint="eastAsia" w:ascii="宋体" w:hAnsi="宋体"/>
                <w:color w:val="auto"/>
                <w:highlight w:val="none"/>
                <w:u w:val="single"/>
              </w:rPr>
              <w:t xml:space="preserve">                         </w:t>
            </w:r>
            <w:r>
              <w:rPr>
                <w:rFonts w:hint="eastAsia" w:ascii="宋体" w:hAnsi="宋体"/>
                <w:color w:val="auto"/>
                <w:highlight w:val="none"/>
              </w:rPr>
              <w:t>（</w:t>
            </w:r>
            <w:r>
              <w:rPr>
                <w:rFonts w:ascii="Arial" w:hAnsi="Arial" w:cs="Arial"/>
                <w:color w:val="auto"/>
                <w:highlight w:val="none"/>
              </w:rPr>
              <w:t>¥</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元）</w:t>
            </w:r>
          </w:p>
        </w:tc>
        <w:tc>
          <w:tcPr>
            <w:tcW w:w="814" w:type="dxa"/>
            <w:tcBorders>
              <w:top w:val="single" w:color="auto" w:sz="4" w:space="0"/>
              <w:left w:val="single" w:color="auto" w:sz="4" w:space="0"/>
              <w:bottom w:val="single" w:color="auto" w:sz="4" w:space="0"/>
              <w:right w:val="single" w:color="auto" w:sz="4" w:space="0"/>
            </w:tcBorders>
            <w:noWrap w:val="0"/>
            <w:vAlign w:val="top"/>
          </w:tcPr>
          <w:p w14:paraId="67B2CEBF">
            <w:pPr>
              <w:spacing w:before="0" w:after="0" w:line="400" w:lineRule="exact"/>
              <w:ind w:firstLine="0"/>
              <w:rPr>
                <w:rFonts w:hint="eastAsia" w:ascii="宋体" w:hAnsi="宋体"/>
                <w:color w:val="auto"/>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3A39C5A5">
            <w:pPr>
              <w:spacing w:before="0" w:after="0" w:line="400" w:lineRule="exact"/>
              <w:ind w:firstLine="0"/>
              <w:rPr>
                <w:rFonts w:hint="eastAsia" w:ascii="宋体" w:hAnsi="宋体"/>
                <w:color w:val="auto"/>
                <w:highlight w:val="none"/>
              </w:rPr>
            </w:pPr>
          </w:p>
        </w:tc>
      </w:tr>
    </w:tbl>
    <w:p w14:paraId="3614CD9E">
      <w:pPr>
        <w:spacing w:before="0" w:after="0" w:line="360" w:lineRule="auto"/>
        <w:ind w:firstLine="0"/>
        <w:jc w:val="left"/>
        <w:rPr>
          <w:rFonts w:hint="eastAsia"/>
          <w:b/>
          <w:color w:val="auto"/>
          <w:highlight w:val="none"/>
        </w:rPr>
      </w:pPr>
      <w:r>
        <w:rPr>
          <w:rFonts w:hint="eastAsia"/>
          <w:b/>
          <w:color w:val="auto"/>
          <w:highlight w:val="none"/>
        </w:rPr>
        <w:t xml:space="preserve">                                                                                </w:t>
      </w:r>
    </w:p>
    <w:p w14:paraId="7C5C680A">
      <w:pPr>
        <w:spacing w:before="0" w:after="0" w:line="360" w:lineRule="auto"/>
        <w:ind w:firstLine="0"/>
        <w:jc w:val="left"/>
        <w:rPr>
          <w:rFonts w:hint="eastAsia"/>
          <w:b/>
          <w:color w:val="auto"/>
          <w:highlight w:val="none"/>
        </w:rPr>
      </w:pPr>
    </w:p>
    <w:p w14:paraId="117ACF72">
      <w:pPr>
        <w:spacing w:before="0" w:after="0" w:line="360" w:lineRule="auto"/>
        <w:ind w:firstLine="0"/>
        <w:jc w:val="left"/>
        <w:rPr>
          <w:rFonts w:ascii="宋体" w:hAnsi="宋体" w:eastAsia="宋体" w:cs="宋体"/>
          <w:color w:val="auto"/>
          <w:szCs w:val="24"/>
          <w:highlight w:val="none"/>
        </w:rPr>
      </w:pPr>
      <w:r>
        <w:rPr>
          <w:rFonts w:hint="eastAsia" w:ascii="宋体" w:hAnsi="宋体" w:eastAsia="宋体" w:cs="宋体"/>
          <w:color w:val="auto"/>
          <w:szCs w:val="24"/>
          <w:highlight w:val="none"/>
        </w:rPr>
        <w:t>耗材清单：</w:t>
      </w:r>
    </w:p>
    <w:tbl>
      <w:tblPr>
        <w:tblStyle w:val="7"/>
        <w:tblW w:w="10915" w:type="dxa"/>
        <w:tblInd w:w="-9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568"/>
        <w:gridCol w:w="2410"/>
        <w:gridCol w:w="1308"/>
        <w:gridCol w:w="1235"/>
        <w:gridCol w:w="1033"/>
        <w:gridCol w:w="992"/>
        <w:gridCol w:w="1276"/>
        <w:gridCol w:w="1101"/>
      </w:tblGrid>
      <w:tr w14:paraId="0075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1560" w:type="dxa"/>
            <w:gridSpan w:val="2"/>
            <w:noWrap w:val="0"/>
            <w:vAlign w:val="center"/>
          </w:tcPr>
          <w:p w14:paraId="5DD660D7">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设备名称</w:t>
            </w:r>
          </w:p>
        </w:tc>
        <w:tc>
          <w:tcPr>
            <w:tcW w:w="2410" w:type="dxa"/>
            <w:noWrap w:val="0"/>
            <w:vAlign w:val="top"/>
          </w:tcPr>
          <w:p w14:paraId="7C9B407D">
            <w:pPr>
              <w:spacing w:line="400" w:lineRule="exact"/>
              <w:jc w:val="center"/>
              <w:rPr>
                <w:rFonts w:ascii="宋体" w:hAnsi="宋体" w:eastAsia="宋体" w:cs="宋体"/>
                <w:color w:val="auto"/>
                <w:szCs w:val="24"/>
                <w:highlight w:val="none"/>
              </w:rPr>
            </w:pPr>
            <w:r>
              <w:rPr>
                <w:rFonts w:hint="eastAsia" w:ascii="宋体" w:hAnsi="宋体" w:eastAsia="宋体" w:cs="宋体"/>
                <w:color w:val="auto"/>
                <w:szCs w:val="24"/>
                <w:highlight w:val="none"/>
              </w:rPr>
              <w:t>耗材名称</w:t>
            </w:r>
          </w:p>
        </w:tc>
        <w:tc>
          <w:tcPr>
            <w:tcW w:w="1308" w:type="dxa"/>
            <w:noWrap w:val="0"/>
            <w:vAlign w:val="top"/>
          </w:tcPr>
          <w:p w14:paraId="46877A06">
            <w:pPr>
              <w:spacing w:line="400" w:lineRule="exact"/>
              <w:ind w:left="0" w:leftChars="0" w:firstLine="0" w:firstLineChars="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阳光挂网组件编号</w:t>
            </w:r>
          </w:p>
        </w:tc>
        <w:tc>
          <w:tcPr>
            <w:tcW w:w="1235" w:type="dxa"/>
            <w:noWrap w:val="0"/>
            <w:vAlign w:val="top"/>
          </w:tcPr>
          <w:p w14:paraId="62CC5EBE">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产地</w:t>
            </w:r>
          </w:p>
          <w:p w14:paraId="272CE42E">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品牌</w:t>
            </w:r>
          </w:p>
        </w:tc>
        <w:tc>
          <w:tcPr>
            <w:tcW w:w="1033" w:type="dxa"/>
            <w:noWrap w:val="0"/>
            <w:vAlign w:val="center"/>
          </w:tcPr>
          <w:p w14:paraId="3F7AEC22">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规格</w:t>
            </w:r>
          </w:p>
          <w:p w14:paraId="3D4F8578">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型号</w:t>
            </w:r>
          </w:p>
        </w:tc>
        <w:tc>
          <w:tcPr>
            <w:tcW w:w="992" w:type="dxa"/>
            <w:noWrap w:val="0"/>
            <w:vAlign w:val="center"/>
          </w:tcPr>
          <w:p w14:paraId="6567FF0E">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单位</w:t>
            </w:r>
          </w:p>
        </w:tc>
        <w:tc>
          <w:tcPr>
            <w:tcW w:w="1276" w:type="dxa"/>
            <w:noWrap w:val="0"/>
            <w:vAlign w:val="center"/>
          </w:tcPr>
          <w:p w14:paraId="07464A1C">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单价（元）</w:t>
            </w:r>
          </w:p>
        </w:tc>
        <w:tc>
          <w:tcPr>
            <w:tcW w:w="1101" w:type="dxa"/>
            <w:noWrap w:val="0"/>
            <w:vAlign w:val="center"/>
          </w:tcPr>
          <w:p w14:paraId="2BA07FB0">
            <w:pPr>
              <w:spacing w:line="400" w:lineRule="exact"/>
              <w:ind w:left="0" w:leftChars="0" w:firstLine="0" w:firstLineChars="0"/>
              <w:jc w:val="center"/>
              <w:rPr>
                <w:rFonts w:ascii="宋体" w:hAnsi="宋体" w:eastAsia="宋体" w:cs="宋体"/>
                <w:color w:val="auto"/>
                <w:szCs w:val="24"/>
                <w:highlight w:val="none"/>
              </w:rPr>
            </w:pPr>
            <w:r>
              <w:rPr>
                <w:rFonts w:hint="eastAsia" w:ascii="宋体" w:hAnsi="宋体" w:eastAsia="宋体" w:cs="宋体"/>
                <w:color w:val="auto"/>
                <w:szCs w:val="24"/>
                <w:highlight w:val="none"/>
              </w:rPr>
              <w:t>备注</w:t>
            </w:r>
          </w:p>
        </w:tc>
      </w:tr>
      <w:tr w14:paraId="41B03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560" w:type="dxa"/>
            <w:gridSpan w:val="2"/>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744CEAF">
            <w:pPr>
              <w:spacing w:line="360" w:lineRule="auto"/>
              <w:jc w:val="left"/>
              <w:rPr>
                <w:rFonts w:ascii="宋体" w:hAnsi="宋体" w:eastAsia="宋体" w:cs="宋体"/>
                <w:color w:val="auto"/>
                <w:szCs w:val="24"/>
                <w:highlight w:val="none"/>
              </w:rPr>
            </w:pPr>
          </w:p>
        </w:tc>
        <w:tc>
          <w:tcPr>
            <w:tcW w:w="241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A242AD1">
            <w:pPr>
              <w:spacing w:line="360" w:lineRule="auto"/>
              <w:jc w:val="center"/>
              <w:rPr>
                <w:rFonts w:ascii="宋体" w:hAnsi="宋体" w:eastAsia="宋体" w:cs="宋体"/>
                <w:color w:val="auto"/>
                <w:szCs w:val="24"/>
                <w:highlight w:val="none"/>
              </w:rPr>
            </w:pPr>
          </w:p>
        </w:tc>
        <w:tc>
          <w:tcPr>
            <w:tcW w:w="1308"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209AF36">
            <w:pPr>
              <w:spacing w:line="360" w:lineRule="auto"/>
              <w:jc w:val="center"/>
              <w:rPr>
                <w:rFonts w:ascii="宋体" w:hAnsi="宋体" w:eastAsia="宋体" w:cs="宋体"/>
                <w:color w:val="auto"/>
                <w:szCs w:val="24"/>
                <w:highlight w:val="none"/>
              </w:rPr>
            </w:pPr>
          </w:p>
        </w:tc>
        <w:tc>
          <w:tcPr>
            <w:tcW w:w="123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B1AB7BB">
            <w:pPr>
              <w:spacing w:line="360" w:lineRule="auto"/>
              <w:jc w:val="center"/>
              <w:rPr>
                <w:rFonts w:ascii="宋体" w:hAnsi="宋体" w:eastAsia="宋体" w:cs="宋体"/>
                <w:color w:val="auto"/>
                <w:szCs w:val="24"/>
                <w:highlight w:val="none"/>
              </w:rPr>
            </w:pPr>
          </w:p>
        </w:tc>
        <w:tc>
          <w:tcPr>
            <w:tcW w:w="103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004E1B5">
            <w:pPr>
              <w:spacing w:line="360" w:lineRule="auto"/>
              <w:jc w:val="center"/>
              <w:rPr>
                <w:rFonts w:ascii="宋体" w:hAnsi="宋体" w:eastAsia="宋体" w:cs="宋体"/>
                <w:color w:val="auto"/>
                <w:szCs w:val="24"/>
                <w:highlight w:val="none"/>
              </w:rPr>
            </w:pPr>
          </w:p>
        </w:tc>
        <w:tc>
          <w:tcPr>
            <w:tcW w:w="99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D41D4B7">
            <w:pPr>
              <w:spacing w:line="360" w:lineRule="auto"/>
              <w:jc w:val="center"/>
              <w:rPr>
                <w:rFonts w:ascii="宋体" w:hAnsi="宋体" w:eastAsia="宋体" w:cs="宋体"/>
                <w:color w:val="auto"/>
                <w:szCs w:val="24"/>
                <w:highlight w:val="none"/>
              </w:rPr>
            </w:pPr>
          </w:p>
        </w:tc>
        <w:tc>
          <w:tcPr>
            <w:tcW w:w="127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7D9853E">
            <w:pPr>
              <w:spacing w:line="360" w:lineRule="auto"/>
              <w:jc w:val="center"/>
              <w:rPr>
                <w:rFonts w:ascii="宋体" w:hAnsi="宋体" w:eastAsia="宋体" w:cs="宋体"/>
                <w:color w:val="auto"/>
                <w:szCs w:val="24"/>
                <w:highlight w:val="none"/>
              </w:rPr>
            </w:pPr>
          </w:p>
        </w:tc>
        <w:tc>
          <w:tcPr>
            <w:tcW w:w="1101" w:type="dxa"/>
            <w:tcBorders>
              <w:top w:val="single" w:color="auto" w:sz="4" w:space="0"/>
              <w:left w:val="single" w:color="auto" w:sz="4" w:space="0"/>
              <w:bottom w:val="single" w:color="auto" w:sz="4" w:space="0"/>
            </w:tcBorders>
            <w:shd w:val="clear" w:color="000000" w:fill="FFFFFF"/>
            <w:noWrap w:val="0"/>
            <w:vAlign w:val="center"/>
          </w:tcPr>
          <w:p w14:paraId="48E91D1A">
            <w:pPr>
              <w:spacing w:line="360" w:lineRule="auto"/>
              <w:jc w:val="center"/>
              <w:rPr>
                <w:rFonts w:ascii="宋体" w:hAnsi="宋体" w:eastAsia="宋体" w:cs="宋体"/>
                <w:color w:val="auto"/>
                <w:szCs w:val="24"/>
                <w:highlight w:val="none"/>
              </w:rPr>
            </w:pPr>
          </w:p>
        </w:tc>
      </w:tr>
      <w:tr w14:paraId="017D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92" w:type="dxa"/>
            <w:tcBorders>
              <w:top w:val="single" w:color="auto" w:sz="4" w:space="0"/>
              <w:left w:val="single" w:color="auto" w:sz="4" w:space="0"/>
              <w:bottom w:val="single" w:color="auto" w:sz="4" w:space="0"/>
            </w:tcBorders>
            <w:shd w:val="clear" w:color="000000" w:fill="FFFFFF"/>
            <w:noWrap w:val="0"/>
            <w:vAlign w:val="top"/>
          </w:tcPr>
          <w:p w14:paraId="14FFC1BA">
            <w:pPr>
              <w:spacing w:line="400" w:lineRule="exact"/>
              <w:jc w:val="left"/>
              <w:rPr>
                <w:rFonts w:hint="eastAsia" w:ascii="宋体" w:hAnsi="宋体" w:eastAsia="宋体" w:cs="宋体"/>
                <w:color w:val="auto"/>
                <w:szCs w:val="24"/>
                <w:highlight w:val="none"/>
              </w:rPr>
            </w:pPr>
          </w:p>
        </w:tc>
        <w:tc>
          <w:tcPr>
            <w:tcW w:w="9923" w:type="dxa"/>
            <w:gridSpan w:val="8"/>
            <w:tcBorders>
              <w:top w:val="single" w:color="auto" w:sz="4" w:space="0"/>
              <w:left w:val="single" w:color="auto" w:sz="4" w:space="0"/>
              <w:bottom w:val="single" w:color="auto" w:sz="4" w:space="0"/>
            </w:tcBorders>
            <w:shd w:val="clear" w:color="000000" w:fill="FFFFFF"/>
            <w:noWrap w:val="0"/>
            <w:vAlign w:val="center"/>
          </w:tcPr>
          <w:p w14:paraId="7A2972B6">
            <w:pPr>
              <w:spacing w:line="400" w:lineRule="exact"/>
              <w:jc w:val="left"/>
              <w:rPr>
                <w:rFonts w:ascii="宋体" w:hAnsi="宋体" w:eastAsia="宋体" w:cs="宋体"/>
                <w:color w:val="auto"/>
                <w:szCs w:val="24"/>
                <w:highlight w:val="none"/>
              </w:rPr>
            </w:pPr>
            <w:r>
              <w:rPr>
                <w:rFonts w:hint="eastAsia" w:ascii="宋体" w:hAnsi="宋体" w:eastAsia="宋体" w:cs="宋体"/>
                <w:color w:val="auto"/>
                <w:szCs w:val="24"/>
                <w:highlight w:val="none"/>
              </w:rPr>
              <w:t>备注：耗材价格不包含在总报价里，此价格为最高限价</w:t>
            </w:r>
          </w:p>
        </w:tc>
      </w:tr>
    </w:tbl>
    <w:p w14:paraId="11A53313">
      <w:pPr>
        <w:spacing w:before="0" w:after="0" w:line="360" w:lineRule="auto"/>
        <w:ind w:firstLine="0"/>
        <w:jc w:val="left"/>
        <w:rPr>
          <w:b/>
          <w:color w:val="auto"/>
          <w:highlight w:val="none"/>
        </w:rPr>
      </w:pPr>
      <w:r>
        <w:rPr>
          <w:rFonts w:hint="eastAsia"/>
          <w:b/>
          <w:color w:val="auto"/>
          <w:highlight w:val="none"/>
        </w:rPr>
        <w:t xml:space="preserve">                                                                                                                                                          二、合同总价</w:t>
      </w:r>
    </w:p>
    <w:p w14:paraId="4812EFD6">
      <w:pPr>
        <w:pStyle w:val="4"/>
        <w:spacing w:before="0" w:after="0"/>
        <w:ind w:firstLine="544" w:firstLineChars="200"/>
        <w:rPr>
          <w:rFonts w:ascii="宋体" w:hAnsi="宋体"/>
          <w:color w:val="auto"/>
          <w:highlight w:val="none"/>
        </w:rPr>
      </w:pPr>
      <w:r>
        <w:rPr>
          <w:rFonts w:hint="eastAsia" w:ascii="宋体" w:hAnsi="宋体"/>
          <w:color w:val="auto"/>
          <w:highlight w:val="none"/>
        </w:rPr>
        <w:t>合同总价为人民币大写：</w:t>
      </w:r>
      <w:r>
        <w:rPr>
          <w:rFonts w:hint="eastAsia" w:ascii="宋体" w:hAnsi="宋体"/>
          <w:color w:val="auto"/>
          <w:highlight w:val="none"/>
          <w:u w:val="single"/>
        </w:rPr>
        <w:t xml:space="preserve">                   </w:t>
      </w:r>
      <w:r>
        <w:rPr>
          <w:rFonts w:hint="eastAsia" w:ascii="宋体" w:hAnsi="宋体"/>
          <w:color w:val="auto"/>
          <w:highlight w:val="none"/>
        </w:rPr>
        <w:t>，即RMB</w:t>
      </w:r>
      <w:r>
        <w:rPr>
          <w:rFonts w:ascii="Arial" w:hAnsi="Arial" w:cs="Arial"/>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元；</w:t>
      </w:r>
      <w:r>
        <w:rPr>
          <w:rFonts w:hint="eastAsia" w:ascii="宋体" w:hAnsi="宋体"/>
          <w:color w:val="auto"/>
          <w:highlight w:val="none"/>
        </w:rPr>
        <w:t>该合同总价已包括货物生产、包装、运输、安装、调试、检测、</w:t>
      </w:r>
      <w:r>
        <w:rPr>
          <w:rFonts w:hint="eastAsia" w:ascii="宋体" w:hAnsi="宋体"/>
          <w:color w:val="auto"/>
          <w:highlight w:val="none"/>
        </w:rPr>
        <w:t>培训</w:t>
      </w:r>
      <w:r>
        <w:rPr>
          <w:rFonts w:hint="eastAsia" w:ascii="宋体" w:hAnsi="宋体"/>
          <w:color w:val="auto"/>
          <w:highlight w:val="none"/>
        </w:rPr>
        <w:t>、验收合格交付使用之前及保修期内保修服务与备用物件等所有其它有关各项的含税费用。本合同执行期间合同总价不变，甲方无须另向乙方支付本合同规定之外的其他任何费用。</w:t>
      </w:r>
    </w:p>
    <w:p w14:paraId="51A6623F">
      <w:pPr>
        <w:pStyle w:val="4"/>
        <w:numPr>
          <w:ilvl w:val="0"/>
          <w:numId w:val="1"/>
        </w:numPr>
        <w:spacing w:before="0" w:after="0"/>
        <w:ind w:firstLine="0"/>
        <w:rPr>
          <w:rFonts w:hint="eastAsia" w:ascii="宋体" w:hAnsi="宋体"/>
          <w:b/>
          <w:color w:val="auto"/>
          <w:highlight w:val="none"/>
        </w:rPr>
      </w:pPr>
      <w:r>
        <w:rPr>
          <w:rFonts w:hint="eastAsia" w:ascii="宋体" w:hAnsi="宋体"/>
          <w:b/>
          <w:color w:val="auto"/>
          <w:highlight w:val="none"/>
        </w:rPr>
        <w:t>交货地点：西安市第一医院（甲方指定地点）</w:t>
      </w:r>
    </w:p>
    <w:p w14:paraId="04A304F6">
      <w:pPr>
        <w:pStyle w:val="4"/>
        <w:spacing w:before="0" w:after="0"/>
        <w:ind w:firstLine="0"/>
        <w:rPr>
          <w:rFonts w:ascii="宋体" w:hAnsi="宋体"/>
          <w:bCs/>
          <w:color w:val="auto"/>
          <w:highlight w:val="none"/>
        </w:rPr>
      </w:pPr>
      <w:r>
        <w:rPr>
          <w:rFonts w:hint="eastAsia" w:ascii="宋体" w:hAnsi="宋体"/>
          <w:b/>
          <w:color w:val="auto"/>
          <w:highlight w:val="none"/>
        </w:rPr>
        <w:t xml:space="preserve">    </w:t>
      </w:r>
      <w:r>
        <w:rPr>
          <w:rFonts w:hint="eastAsia" w:ascii="宋体" w:hAnsi="宋体"/>
          <w:bCs/>
          <w:color w:val="auto"/>
          <w:highlight w:val="none"/>
        </w:rPr>
        <w:t>注意：包装箱及拆箱、安装和调试产生的垃圾请带出院外自行处理。</w:t>
      </w:r>
    </w:p>
    <w:p w14:paraId="51C0E1BF">
      <w:pPr>
        <w:pStyle w:val="4"/>
        <w:spacing w:before="0" w:after="0"/>
        <w:ind w:firstLine="0"/>
        <w:rPr>
          <w:rFonts w:hint="eastAsia"/>
          <w:b/>
          <w:color w:val="auto"/>
          <w:highlight w:val="none"/>
        </w:rPr>
      </w:pPr>
      <w:r>
        <w:rPr>
          <w:rFonts w:hint="eastAsia"/>
          <w:b/>
          <w:color w:val="auto"/>
          <w:highlight w:val="none"/>
        </w:rPr>
        <w:t>四、质量要求</w:t>
      </w:r>
    </w:p>
    <w:p w14:paraId="22C6B487">
      <w:pPr>
        <w:pStyle w:val="11"/>
        <w:spacing w:line="360" w:lineRule="auto"/>
        <w:ind w:firstLine="480"/>
        <w:rPr>
          <w:rFonts w:ascii="宋体" w:hAnsi="宋体"/>
          <w:color w:val="auto"/>
          <w:highlight w:val="none"/>
        </w:rPr>
      </w:pPr>
      <w:r>
        <w:rPr>
          <w:rFonts w:hint="eastAsia" w:ascii="宋体" w:hAnsi="宋体"/>
          <w:color w:val="auto"/>
          <w:highlight w:val="none"/>
        </w:rPr>
        <w:t>1、乙方须提供全新的货物（含零部件、配件等），表面无划伤、无碰撞痕迹，且权属清楚，不得侵害他人的知识产权。</w:t>
      </w:r>
    </w:p>
    <w:p w14:paraId="770674DD">
      <w:pPr>
        <w:pStyle w:val="11"/>
        <w:spacing w:line="360" w:lineRule="auto"/>
        <w:ind w:firstLine="480"/>
        <w:rPr>
          <w:rFonts w:hint="eastAsia" w:ascii="宋体" w:hAnsi="宋体"/>
          <w:color w:val="auto"/>
          <w:highlight w:val="none"/>
        </w:rPr>
      </w:pPr>
      <w:r>
        <w:rPr>
          <w:rFonts w:hint="eastAsia" w:ascii="宋体" w:hAnsi="宋体"/>
          <w:color w:val="auto"/>
          <w:highlight w:val="none"/>
        </w:rPr>
        <w:t>2、货物必须符合或优于国家（行业）标准，以及本项目招标文件的质量要求和技术指标与出厂标准。</w:t>
      </w:r>
    </w:p>
    <w:p w14:paraId="3FCF679C">
      <w:pPr>
        <w:pStyle w:val="11"/>
        <w:spacing w:line="360" w:lineRule="auto"/>
        <w:ind w:firstLine="480"/>
        <w:rPr>
          <w:rFonts w:hint="eastAsia" w:ascii="宋体" w:hAnsi="宋体"/>
          <w:color w:val="auto"/>
          <w:highlight w:val="none"/>
        </w:rPr>
      </w:pPr>
      <w:r>
        <w:rPr>
          <w:rFonts w:hint="eastAsia" w:ascii="宋体" w:hAnsi="宋体"/>
          <w:color w:val="auto"/>
          <w:highlight w:val="none"/>
        </w:rPr>
        <w:t>3、货物质量出现问题，乙方应</w:t>
      </w:r>
      <w:r>
        <w:rPr>
          <w:rFonts w:hint="eastAsia" w:ascii="宋体" w:hAnsi="宋体"/>
          <w:color w:val="auto"/>
          <w:highlight w:val="none"/>
        </w:rPr>
        <w:t>在三日内</w:t>
      </w:r>
      <w:r>
        <w:rPr>
          <w:rFonts w:hint="eastAsia" w:ascii="宋体" w:hAnsi="宋体"/>
          <w:color w:val="auto"/>
          <w:highlight w:val="none"/>
        </w:rPr>
        <w:t>负责包换或包退，产生的费用由乙方负担，甲方有权监督质询乙方提供的货物质量和生产、运输进度。</w:t>
      </w:r>
    </w:p>
    <w:p w14:paraId="2E51699E">
      <w:pPr>
        <w:pStyle w:val="11"/>
        <w:spacing w:line="360" w:lineRule="auto"/>
        <w:ind w:firstLine="480"/>
        <w:rPr>
          <w:rFonts w:hint="eastAsia" w:ascii="宋体" w:hAnsi="宋体"/>
          <w:color w:val="auto"/>
          <w:highlight w:val="none"/>
        </w:rPr>
      </w:pPr>
      <w:r>
        <w:rPr>
          <w:rFonts w:hint="eastAsia" w:ascii="宋体" w:hAnsi="宋体"/>
          <w:color w:val="auto"/>
          <w:highlight w:val="none"/>
        </w:rPr>
        <w:t>4、货到现场后由于甲方保管不当影响货物质量或被损坏，乙方应负责维修或更换被损坏的部件，因此产生的费用由甲方负担。</w:t>
      </w:r>
    </w:p>
    <w:p w14:paraId="568D4118">
      <w:pPr>
        <w:pStyle w:val="11"/>
        <w:spacing w:line="360" w:lineRule="auto"/>
        <w:ind w:firstLine="480"/>
        <w:rPr>
          <w:rFonts w:hint="eastAsia" w:ascii="宋体" w:hAnsi="宋体"/>
          <w:color w:val="auto"/>
          <w:highlight w:val="none"/>
        </w:rPr>
      </w:pPr>
      <w:r>
        <w:rPr>
          <w:rFonts w:hint="eastAsia" w:ascii="宋体" w:hAnsi="宋体"/>
          <w:color w:val="auto"/>
          <w:highlight w:val="none"/>
        </w:rPr>
        <w:t>5、因乙方所供设备质量问题引发的一切纠纷及损失由乙方承担责任，给甲方造成损失的乙方应当承担赔偿责任。</w:t>
      </w:r>
    </w:p>
    <w:p w14:paraId="1CF919B0">
      <w:pPr>
        <w:spacing w:before="0" w:after="0" w:line="360" w:lineRule="auto"/>
        <w:ind w:firstLine="0"/>
        <w:jc w:val="left"/>
        <w:rPr>
          <w:rFonts w:hint="eastAsia"/>
          <w:b/>
          <w:color w:val="auto"/>
          <w:highlight w:val="none"/>
        </w:rPr>
      </w:pPr>
      <w:r>
        <w:rPr>
          <w:rFonts w:hint="eastAsia"/>
          <w:b/>
          <w:color w:val="auto"/>
          <w:highlight w:val="none"/>
        </w:rPr>
        <w:t>五、交货及验收</w:t>
      </w:r>
    </w:p>
    <w:p w14:paraId="1F5BE6FA">
      <w:pPr>
        <w:pStyle w:val="11"/>
        <w:spacing w:line="360" w:lineRule="auto"/>
        <w:ind w:firstLine="480"/>
        <w:rPr>
          <w:rFonts w:ascii="宋体" w:hAnsi="宋体"/>
          <w:color w:val="auto"/>
          <w:highlight w:val="none"/>
        </w:rPr>
      </w:pPr>
      <w:r>
        <w:rPr>
          <w:rFonts w:hint="eastAsia" w:ascii="宋体" w:hAnsi="宋体"/>
          <w:color w:val="auto"/>
          <w:highlight w:val="none"/>
        </w:rPr>
        <w:t>1、乙方交货期限为合同签订生效</w:t>
      </w:r>
      <w:r>
        <w:rPr>
          <w:rFonts w:hint="eastAsia" w:ascii="宋体" w:hAnsi="宋体"/>
          <w:color w:val="auto"/>
          <w:highlight w:val="none"/>
        </w:rPr>
        <w:t>后的XX日内，在合同签订生效之日起XX天内</w:t>
      </w:r>
      <w:r>
        <w:rPr>
          <w:rFonts w:hint="eastAsia" w:ascii="宋体" w:hAnsi="宋体"/>
          <w:color w:val="auto"/>
          <w:highlight w:val="none"/>
        </w:rPr>
        <w:t>交货到甲方指定地点，乙方应在</w:t>
      </w:r>
      <w:r>
        <w:rPr>
          <w:color w:val="auto"/>
          <w:szCs w:val="21"/>
          <w:highlight w:val="none"/>
        </w:rPr>
        <w:t>3</w:t>
      </w:r>
      <w:r>
        <w:rPr>
          <w:rFonts w:hint="eastAsia" w:ascii="宋体" w:hAnsi="宋体"/>
          <w:color w:val="auto"/>
          <w:highlight w:val="none"/>
        </w:rPr>
        <w:t>日内全部完成安装调试并经验收合格交付使用，由于甲方的原因造成合同延迟签订或验收的，时间顺延。交货验收时乙方须提供产品质检部门从同类产品中抽样检查合格的检测报告，进口产品需提供甲方购买货物的相同批次报关文件。</w:t>
      </w:r>
    </w:p>
    <w:p w14:paraId="2E60E8B6">
      <w:pPr>
        <w:pStyle w:val="11"/>
        <w:spacing w:line="360" w:lineRule="auto"/>
        <w:ind w:firstLine="480"/>
        <w:rPr>
          <w:rFonts w:hint="eastAsia" w:ascii="宋体" w:hAnsi="宋体"/>
          <w:color w:val="auto"/>
          <w:highlight w:val="none"/>
        </w:rPr>
      </w:pPr>
      <w:r>
        <w:rPr>
          <w:rFonts w:hint="eastAsia" w:ascii="宋体" w:hAnsi="宋体"/>
          <w:color w:val="auto"/>
          <w:highlight w:val="none"/>
        </w:rPr>
        <w:t>2、验收由甲方组织，乙方配合进行：</w:t>
      </w:r>
    </w:p>
    <w:p w14:paraId="06510BA7">
      <w:pPr>
        <w:pStyle w:val="11"/>
        <w:spacing w:line="360" w:lineRule="auto"/>
        <w:ind w:firstLine="480"/>
        <w:rPr>
          <w:rFonts w:hint="eastAsia" w:ascii="宋体" w:hAnsi="宋体"/>
          <w:color w:val="auto"/>
          <w:highlight w:val="none"/>
        </w:rPr>
      </w:pPr>
      <w:r>
        <w:rPr>
          <w:rFonts w:hint="eastAsia" w:ascii="宋体" w:hAnsi="宋体"/>
          <w:color w:val="auto"/>
          <w:highlight w:val="none"/>
        </w:rPr>
        <w:t>(1) 货物在乙方通知安装调试完毕后3日内初步验收。初步验收合格后，进入15日试用期；试用期间发生重大质量问题，按照合同条款第四</w:t>
      </w:r>
      <w:r>
        <w:rPr>
          <w:rFonts w:hint="eastAsia" w:ascii="宋体" w:hAnsi="宋体"/>
          <w:color w:val="auto"/>
          <w:highlight w:val="none"/>
          <w:lang w:val="en-US" w:eastAsia="zh-CN"/>
        </w:rPr>
        <w:t>条</w:t>
      </w:r>
      <w:r>
        <w:rPr>
          <w:rFonts w:hint="eastAsia" w:ascii="宋体" w:hAnsi="宋体"/>
          <w:color w:val="auto"/>
          <w:highlight w:val="none"/>
        </w:rPr>
        <w:t>之第3</w:t>
      </w:r>
      <w:r>
        <w:rPr>
          <w:rFonts w:hint="eastAsia" w:ascii="宋体" w:hAnsi="宋体"/>
          <w:color w:val="auto"/>
          <w:highlight w:val="none"/>
          <w:lang w:val="en-US" w:eastAsia="zh-CN"/>
        </w:rPr>
        <w:t>款</w:t>
      </w:r>
      <w:r>
        <w:rPr>
          <w:rFonts w:hint="eastAsia" w:ascii="宋体" w:hAnsi="宋体"/>
          <w:color w:val="auto"/>
          <w:highlight w:val="none"/>
        </w:rPr>
        <w:t>处理，试用</w:t>
      </w:r>
      <w:r>
        <w:rPr>
          <w:rFonts w:hint="eastAsia" w:ascii="宋体" w:hAnsi="宋体"/>
          <w:color w:val="auto"/>
          <w:highlight w:val="none"/>
        </w:rPr>
        <w:t>期</w:t>
      </w:r>
      <w:r>
        <w:rPr>
          <w:rFonts w:hint="eastAsia" w:ascii="宋体" w:hAnsi="宋体"/>
          <w:color w:val="auto"/>
          <w:highlight w:val="none"/>
        </w:rPr>
        <w:t>相应顺延；试用期结束后3日内完成最终验收；</w:t>
      </w:r>
    </w:p>
    <w:p w14:paraId="693001BF">
      <w:pPr>
        <w:pStyle w:val="11"/>
        <w:spacing w:line="360" w:lineRule="auto"/>
        <w:ind w:firstLine="480"/>
        <w:rPr>
          <w:rFonts w:hint="eastAsia" w:ascii="宋体" w:hAnsi="宋体"/>
          <w:color w:val="auto"/>
          <w:highlight w:val="none"/>
        </w:rPr>
      </w:pPr>
      <w:r>
        <w:rPr>
          <w:rFonts w:hint="eastAsia" w:ascii="宋体" w:hAnsi="宋体"/>
          <w:color w:val="auto"/>
          <w:highlight w:val="none"/>
        </w:rPr>
        <w:t>(2)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7EAA5337">
      <w:pPr>
        <w:pStyle w:val="11"/>
        <w:spacing w:line="360" w:lineRule="auto"/>
        <w:ind w:firstLine="480"/>
        <w:rPr>
          <w:rFonts w:hint="eastAsia" w:ascii="宋体" w:hAnsi="宋体"/>
          <w:color w:val="auto"/>
          <w:highlight w:val="none"/>
        </w:rPr>
      </w:pPr>
      <w:r>
        <w:rPr>
          <w:rFonts w:hint="eastAsia" w:ascii="宋体" w:hAnsi="宋体"/>
          <w:color w:val="auto"/>
          <w:highlight w:val="none"/>
        </w:rPr>
        <w:t>(3) 验收时如发现所交付的货物有缺项、次品、损坏或其它不符合标准及本合同规定之情形者，甲方应做出详尽的现场记录，并由甲乙双方签署备忘录，此现场记录或备忘录可用作补充缺失和更换损坏部件和更换符合要求的整机之有效证据，由此产生的时间延误与相关费用由乙方承担，验收期限相应顺延；</w:t>
      </w:r>
    </w:p>
    <w:p w14:paraId="58D0E157">
      <w:pPr>
        <w:pStyle w:val="11"/>
        <w:spacing w:line="360" w:lineRule="auto"/>
        <w:ind w:firstLine="480"/>
        <w:rPr>
          <w:rFonts w:hint="eastAsia" w:ascii="宋体" w:hAnsi="宋体"/>
          <w:color w:val="auto"/>
          <w:highlight w:val="none"/>
        </w:rPr>
      </w:pPr>
      <w:r>
        <w:rPr>
          <w:rFonts w:hint="eastAsia" w:ascii="宋体" w:hAnsi="宋体"/>
          <w:color w:val="auto"/>
          <w:highlight w:val="none"/>
        </w:rPr>
        <w:t>(4) 如质量验收合格，双方签署质量验收报告</w:t>
      </w:r>
      <w:r>
        <w:rPr>
          <w:rFonts w:hint="eastAsia" w:ascii="宋体" w:hAnsi="宋体"/>
          <w:color w:val="auto"/>
          <w:highlight w:val="none"/>
        </w:rPr>
        <w:t>，作为双方最终结算的依据。</w:t>
      </w:r>
      <w:r>
        <w:rPr>
          <w:rFonts w:hint="eastAsia" w:ascii="宋体" w:hAnsi="宋体"/>
          <w:color w:val="auto"/>
          <w:highlight w:val="none"/>
        </w:rPr>
        <w:t xml:space="preserve">  </w:t>
      </w:r>
    </w:p>
    <w:p w14:paraId="2EC8B967">
      <w:pPr>
        <w:pStyle w:val="11"/>
        <w:spacing w:line="360" w:lineRule="auto"/>
        <w:ind w:firstLine="480"/>
        <w:rPr>
          <w:rFonts w:hint="eastAsia" w:ascii="宋体" w:hAnsi="宋体"/>
          <w:color w:val="auto"/>
          <w:highlight w:val="none"/>
        </w:rPr>
      </w:pPr>
      <w:r>
        <w:rPr>
          <w:rFonts w:hint="eastAsia" w:ascii="宋体" w:hAnsi="宋体"/>
          <w:color w:val="auto"/>
          <w:highlight w:val="none"/>
        </w:rPr>
        <w:t>3、货物安装完成后3日内，甲方无故不进行验收工作并已使用货物的，视同已安装调试完成并初步验收合格。</w:t>
      </w:r>
    </w:p>
    <w:p w14:paraId="4F42B362">
      <w:pPr>
        <w:pStyle w:val="11"/>
        <w:spacing w:line="360" w:lineRule="auto"/>
        <w:ind w:firstLine="480"/>
        <w:rPr>
          <w:rFonts w:hint="eastAsia" w:ascii="宋体" w:hAnsi="宋体"/>
          <w:color w:val="auto"/>
          <w:highlight w:val="none"/>
        </w:rPr>
      </w:pPr>
      <w:r>
        <w:rPr>
          <w:rFonts w:hint="eastAsia" w:ascii="宋体" w:hAnsi="宋体"/>
          <w:color w:val="auto"/>
          <w:highlight w:val="none"/>
        </w:rPr>
        <w:t>4、乙方应将所提供货物的装箱清单、配件、随机工具、用户使用手册、原厂保修卡等资料</w:t>
      </w:r>
      <w:r>
        <w:rPr>
          <w:rFonts w:hint="eastAsia" w:ascii="宋体" w:hAnsi="宋体"/>
          <w:color w:val="auto"/>
          <w:highlight w:val="none"/>
        </w:rPr>
        <w:t>在交货的同时</w:t>
      </w:r>
      <w:r>
        <w:rPr>
          <w:rFonts w:hint="eastAsia" w:ascii="宋体" w:hAnsi="宋体"/>
          <w:color w:val="auto"/>
          <w:highlight w:val="none"/>
        </w:rPr>
        <w:t>交付给甲方；乙方不能完整交付货物及本款规定的单证</w:t>
      </w:r>
      <w:r>
        <w:rPr>
          <w:rFonts w:hint="eastAsia" w:ascii="宋体" w:hAnsi="宋体"/>
          <w:color w:val="auto"/>
          <w:highlight w:val="none"/>
        </w:rPr>
        <w:t>或工具等约定的资料的</w:t>
      </w:r>
      <w:r>
        <w:rPr>
          <w:rFonts w:hint="eastAsia" w:ascii="宋体" w:hAnsi="宋体"/>
          <w:color w:val="auto"/>
          <w:highlight w:val="none"/>
        </w:rPr>
        <w:t>，必须负责补齐，否则视为未按合同约定交货。</w:t>
      </w:r>
    </w:p>
    <w:p w14:paraId="2BDFD140">
      <w:pPr>
        <w:pStyle w:val="11"/>
        <w:spacing w:line="360" w:lineRule="auto"/>
        <w:ind w:firstLine="480"/>
        <w:rPr>
          <w:rFonts w:hint="eastAsia" w:ascii="宋体" w:hAnsi="宋体"/>
          <w:color w:val="auto"/>
          <w:highlight w:val="none"/>
        </w:rPr>
      </w:pPr>
      <w:r>
        <w:rPr>
          <w:rFonts w:hint="eastAsia" w:ascii="宋体" w:hAnsi="宋体"/>
          <w:color w:val="auto"/>
          <w:highlight w:val="none"/>
        </w:rPr>
        <w:t>5、如货物质量有问题，经甲方同意乙方2次维修仍不能达到合同约定的质量标准，甲方有权退货，并视作乙方不能交付货物而须支付违约赔偿金给甲方，甲方还可依法追究乙方的违约责任。 </w:t>
      </w:r>
    </w:p>
    <w:p w14:paraId="7921E415">
      <w:pPr>
        <w:spacing w:line="360" w:lineRule="auto"/>
        <w:ind w:firstLine="0"/>
        <w:rPr>
          <w:rFonts w:hint="eastAsia" w:ascii="宋体" w:cs="宋体"/>
          <w:b/>
          <w:color w:val="auto"/>
          <w:highlight w:val="none"/>
        </w:rPr>
      </w:pPr>
      <w:r>
        <w:rPr>
          <w:rFonts w:hint="eastAsia" w:ascii="宋体" w:cs="宋体"/>
          <w:b/>
          <w:color w:val="auto"/>
          <w:highlight w:val="none"/>
        </w:rPr>
        <w:t>六、培训和保养</w:t>
      </w:r>
    </w:p>
    <w:p w14:paraId="48F7A481">
      <w:pPr>
        <w:spacing w:line="336" w:lineRule="auto"/>
        <w:ind w:firstLine="0"/>
        <w:rPr>
          <w:rFonts w:ascii="宋体" w:cs="宋体"/>
          <w:color w:val="auto"/>
          <w:highlight w:val="none"/>
        </w:rPr>
      </w:pPr>
      <w:r>
        <w:rPr>
          <w:rFonts w:hint="eastAsia" w:ascii="宋体" w:cs="宋体"/>
          <w:color w:val="auto"/>
          <w:highlight w:val="none"/>
        </w:rPr>
        <w:t xml:space="preserve">  乙方以多种方式负责向甲方培训设备的使用操作和维护保养工作，直到熟练掌握为止。甲方负责考核培训结果以决定是否需要再培训。乙方接到甲方培训通知后3日内安排再培训。</w:t>
      </w:r>
    </w:p>
    <w:p w14:paraId="444DDCBF">
      <w:pPr>
        <w:spacing w:before="0" w:after="0" w:line="360" w:lineRule="auto"/>
        <w:ind w:firstLine="0"/>
        <w:jc w:val="left"/>
        <w:rPr>
          <w:rFonts w:hint="eastAsia"/>
          <w:b/>
          <w:color w:val="auto"/>
          <w:highlight w:val="none"/>
        </w:rPr>
      </w:pPr>
      <w:r>
        <w:rPr>
          <w:rFonts w:hint="eastAsia"/>
          <w:b/>
          <w:color w:val="auto"/>
          <w:highlight w:val="none"/>
        </w:rPr>
        <w:t xml:space="preserve">七、付款方式     </w:t>
      </w:r>
    </w:p>
    <w:p w14:paraId="3F456CA8">
      <w:pPr>
        <w:rPr>
          <w:rFonts w:hint="eastAsia" w:ascii="宋体" w:hAnsi="宋体" w:cs="宋体"/>
          <w:color w:val="auto"/>
          <w:highlight w:val="none"/>
        </w:rPr>
      </w:pPr>
      <w:r>
        <w:rPr>
          <w:rFonts w:hint="eastAsia" w:ascii="宋体" w:hAnsi="宋体" w:cs="宋体"/>
          <w:color w:val="auto"/>
          <w:highlight w:val="none"/>
        </w:rPr>
        <w:t>1.验收合格并经</w:t>
      </w:r>
      <w:r>
        <w:rPr>
          <w:rFonts w:cs="Times"/>
          <w:color w:val="auto"/>
          <w:highlight w:val="none"/>
        </w:rPr>
        <w:t>15</w:t>
      </w:r>
      <w:r>
        <w:rPr>
          <w:rFonts w:hint="eastAsia" w:ascii="宋体" w:hAnsi="宋体" w:cs="宋体"/>
          <w:color w:val="auto"/>
          <w:highlight w:val="none"/>
        </w:rPr>
        <w:t>天试用期满,符合合同约定的质量标准要求，经产品最终验收合格后，一个月内全额支付合同总金额</w:t>
      </w:r>
      <w:r>
        <w:rPr>
          <w:rFonts w:hint="eastAsia" w:ascii="宋体" w:hAnsi="宋体" w:cs="宋体"/>
          <w:color w:val="auto"/>
          <w:szCs w:val="24"/>
          <w:highlight w:val="none"/>
        </w:rPr>
        <w:t>人民币（大写）：</w:t>
      </w:r>
      <w:r>
        <w:rPr>
          <w:rFonts w:hint="eastAsia" w:ascii="宋体" w:hAnsi="宋体" w:cs="宋体"/>
          <w:color w:val="auto"/>
          <w:szCs w:val="24"/>
          <w:highlight w:val="none"/>
          <w:u w:val="single"/>
          <w:lang w:val="en-US" w:eastAsia="zh-CN"/>
        </w:rPr>
        <w:t>xxx</w:t>
      </w:r>
      <w:r>
        <w:rPr>
          <w:rFonts w:hint="eastAsia"/>
          <w:color w:val="auto"/>
          <w:highlight w:val="none"/>
          <w:u w:val="single"/>
        </w:rPr>
        <w:t>元整</w:t>
      </w:r>
      <w:r>
        <w:rPr>
          <w:rFonts w:hint="eastAsia" w:ascii="宋体" w:hAnsi="宋体" w:cs="宋体"/>
          <w:color w:val="auto"/>
          <w:szCs w:val="24"/>
          <w:highlight w:val="none"/>
          <w:u w:val="single"/>
        </w:rPr>
        <w:t>（¥***.00）</w:t>
      </w:r>
      <w:r>
        <w:rPr>
          <w:rFonts w:hint="eastAsia" w:ascii="宋体" w:hAnsi="宋体" w:cs="宋体"/>
          <w:color w:val="auto"/>
          <w:highlight w:val="none"/>
        </w:rPr>
        <w:t>.</w:t>
      </w:r>
    </w:p>
    <w:p w14:paraId="3F9BE078">
      <w:pPr>
        <w:rPr>
          <w:rFonts w:hint="eastAsia" w:ascii="宋体" w:hAnsi="宋体" w:cs="宋体"/>
          <w:color w:val="auto"/>
          <w:highlight w:val="none"/>
        </w:rPr>
      </w:pPr>
      <w:r>
        <w:rPr>
          <w:rFonts w:hint="eastAsia" w:ascii="宋体" w:hAnsi="宋体" w:cs="宋体"/>
          <w:color w:val="auto"/>
          <w:highlight w:val="none"/>
        </w:rPr>
        <w:t>2、</w:t>
      </w:r>
      <w:r>
        <w:rPr>
          <w:rFonts w:hint="eastAsia"/>
          <w:color w:val="auto"/>
          <w:highlight w:val="none"/>
        </w:rPr>
        <w:t>乙方应当在合同签订后3日内，向甲方支付合同总金额的5%款项，</w:t>
      </w:r>
      <w:r>
        <w:rPr>
          <w:rFonts w:hint="eastAsia" w:ascii="宋体" w:hAnsi="宋体" w:cs="宋体"/>
          <w:color w:val="auto"/>
          <w:szCs w:val="24"/>
          <w:highlight w:val="none"/>
        </w:rPr>
        <w:t>人民币（大写）：</w:t>
      </w:r>
      <w:r>
        <w:rPr>
          <w:rFonts w:hint="eastAsia"/>
          <w:color w:val="auto"/>
          <w:highlight w:val="none"/>
          <w:u w:val="single"/>
          <w:lang w:val="en-US" w:eastAsia="zh-CN"/>
        </w:rPr>
        <w:t>xxx</w:t>
      </w:r>
      <w:r>
        <w:rPr>
          <w:rFonts w:hint="eastAsia"/>
          <w:color w:val="auto"/>
          <w:highlight w:val="none"/>
          <w:u w:val="single"/>
        </w:rPr>
        <w:t>元整</w:t>
      </w:r>
      <w:r>
        <w:rPr>
          <w:rFonts w:hint="eastAsia" w:ascii="宋体" w:hAnsi="宋体" w:cs="宋体"/>
          <w:color w:val="auto"/>
          <w:szCs w:val="24"/>
          <w:highlight w:val="none"/>
          <w:u w:val="single"/>
        </w:rPr>
        <w:t>（¥ ***.00）</w:t>
      </w:r>
      <w:r>
        <w:rPr>
          <w:rFonts w:hint="eastAsia" w:ascii="宋体" w:hAnsi="宋体" w:cs="宋体"/>
          <w:color w:val="auto"/>
          <w:highlight w:val="none"/>
        </w:rPr>
        <w:t>.作为履约保证金，保证期为中标（成交）之日起至项目服务期结束之日。保证期满乙方如约履行合同的，在合同服务期结束之日起30日内无息退还履约保证金。</w:t>
      </w:r>
      <w:r>
        <w:rPr>
          <w:rFonts w:hint="eastAsia" w:ascii="宋体" w:hAnsi="宋体" w:cs="宋体"/>
          <w:b/>
          <w:color w:val="auto"/>
          <w:szCs w:val="24"/>
          <w:highlight w:val="none"/>
        </w:rPr>
        <w:t>计划支付日期约为</w:t>
      </w:r>
      <w:r>
        <w:rPr>
          <w:rFonts w:hint="eastAsia" w:ascii="宋体" w:hAnsi="宋体" w:cs="宋体"/>
          <w:b/>
          <w:color w:val="auto"/>
          <w:szCs w:val="24"/>
          <w:highlight w:val="none"/>
          <w:lang w:val="en-US" w:eastAsia="zh-CN"/>
        </w:rPr>
        <w:t xml:space="preserve">    </w:t>
      </w:r>
      <w:r>
        <w:rPr>
          <w:rFonts w:hint="eastAsia" w:ascii="宋体" w:hAnsi="宋体" w:cs="宋体"/>
          <w:b/>
          <w:color w:val="auto"/>
          <w:szCs w:val="24"/>
          <w:highlight w:val="none"/>
        </w:rPr>
        <w:t>年  月  日（可视具体情况向后顺延）。</w:t>
      </w:r>
    </w:p>
    <w:p w14:paraId="541CA341">
      <w:pPr>
        <w:spacing w:line="336" w:lineRule="auto"/>
        <w:ind w:firstLine="520" w:firstLineChars="200"/>
        <w:rPr>
          <w:rFonts w:hint="eastAsia" w:ascii="宋体" w:hAnsi="宋体" w:cs="宋体"/>
          <w:color w:val="auto"/>
          <w:highlight w:val="none"/>
        </w:rPr>
      </w:pPr>
      <w:r>
        <w:rPr>
          <w:rFonts w:hint="eastAsia" w:ascii="宋体" w:hAnsi="宋体" w:cs="宋体"/>
          <w:color w:val="auto"/>
          <w:highlight w:val="none"/>
        </w:rPr>
        <w:t>3、乙方应当在甲方付款前向甲方出具正式增值税普通发票。乙方未按照约定提供发票的，甲方有权拒付相关款项，由此造成的损失由乙方负责。</w:t>
      </w:r>
    </w:p>
    <w:p w14:paraId="39D5F7BB">
      <w:pPr>
        <w:spacing w:before="0" w:after="0" w:line="360" w:lineRule="auto"/>
        <w:ind w:firstLine="0"/>
        <w:jc w:val="left"/>
        <w:rPr>
          <w:b/>
          <w:color w:val="auto"/>
          <w:highlight w:val="none"/>
        </w:rPr>
      </w:pPr>
      <w:r>
        <w:rPr>
          <w:rFonts w:hint="eastAsia"/>
          <w:b/>
          <w:color w:val="auto"/>
          <w:highlight w:val="none"/>
        </w:rPr>
        <w:t>八、售后服务</w:t>
      </w:r>
    </w:p>
    <w:p w14:paraId="16F75522">
      <w:pPr>
        <w:pStyle w:val="11"/>
        <w:spacing w:line="360" w:lineRule="auto"/>
        <w:ind w:firstLine="480"/>
        <w:rPr>
          <w:rFonts w:ascii="宋体" w:hAnsi="宋体"/>
          <w:color w:val="auto"/>
          <w:highlight w:val="none"/>
        </w:rPr>
      </w:pPr>
      <w:r>
        <w:rPr>
          <w:rFonts w:hint="eastAsia" w:ascii="宋体" w:hAnsi="宋体"/>
          <w:color w:val="auto"/>
          <w:highlight w:val="none"/>
        </w:rPr>
        <w:t>1、依据投标文件的响应，</w:t>
      </w:r>
      <w:r>
        <w:rPr>
          <w:rFonts w:hint="eastAsia" w:ascii="宋体" w:hAnsi="宋体"/>
          <w:color w:val="auto"/>
          <w:highlight w:val="none"/>
        </w:rPr>
        <w:t>设备质保期为验收合格后</w:t>
      </w:r>
      <w:r>
        <w:rPr>
          <w:color w:val="auto"/>
          <w:szCs w:val="21"/>
          <w:highlight w:val="none"/>
        </w:rPr>
        <w:t>3</w:t>
      </w:r>
      <w:r>
        <w:rPr>
          <w:rFonts w:hint="eastAsia" w:ascii="宋体" w:hAnsi="宋体"/>
          <w:color w:val="auto"/>
          <w:highlight w:val="none"/>
        </w:rPr>
        <w:t>年</w:t>
      </w:r>
      <w:r>
        <w:rPr>
          <w:rFonts w:hint="eastAsia" w:ascii="宋体" w:hAnsi="宋体"/>
          <w:color w:val="auto"/>
          <w:highlight w:val="none"/>
        </w:rPr>
        <w:t>（出具厂家提供的三年质保证明和维保内容，保</w:t>
      </w:r>
      <w:r>
        <w:rPr>
          <w:rFonts w:hint="eastAsia" w:ascii="Arial" w:hAnsi="Arial" w:cs="Arial"/>
          <w:color w:val="auto"/>
          <w:highlight w:val="none"/>
        </w:rPr>
        <w:t>修期外维修免工时费</w:t>
      </w:r>
      <w:r>
        <w:rPr>
          <w:rFonts w:hint="eastAsia" w:ascii="宋体" w:hAnsi="宋体"/>
          <w:color w:val="auto"/>
          <w:highlight w:val="none"/>
        </w:rPr>
        <w:t>），质保期内出现质量问题，乙方在接到甲方通知后2小时内响应，8小时内到达现场明确解决方案，48小时无法排除故障者需提供备用机，并承担修理调换的费用；质保期第一年内货物经乙方</w:t>
      </w:r>
      <w:r>
        <w:rPr>
          <w:rFonts w:hint="eastAsia" w:ascii="宋体" w:hAnsi="宋体"/>
          <w:color w:val="auto"/>
          <w:highlight w:val="none"/>
          <w:lang w:val="en-US" w:eastAsia="zh-CN"/>
        </w:rPr>
        <w:t>2</w:t>
      </w:r>
      <w:r>
        <w:rPr>
          <w:rFonts w:hint="eastAsia" w:ascii="宋体" w:hAnsi="宋体"/>
          <w:color w:val="auto"/>
          <w:highlight w:val="none"/>
        </w:rPr>
        <w:t>次维修仍达不到合同约定的质量标准时，视作乙方货物质量不符合合同约定</w:t>
      </w:r>
      <w:r>
        <w:rPr>
          <w:rFonts w:hint="eastAsia" w:ascii="宋体" w:hAnsi="宋体"/>
          <w:color w:val="auto"/>
          <w:highlight w:val="none"/>
        </w:rPr>
        <w:t>，甲方有权退货并追究乙方违约责任。货到现场后由于甲方保管不当造成的问题，乙方亦应负责修复，但费用由甲方负担。</w:t>
      </w:r>
    </w:p>
    <w:p w14:paraId="7E2658D0">
      <w:pPr>
        <w:pStyle w:val="11"/>
        <w:spacing w:line="360" w:lineRule="auto"/>
        <w:ind w:firstLine="480"/>
        <w:rPr>
          <w:rFonts w:hint="eastAsia" w:ascii="宋体" w:hAnsi="宋体"/>
          <w:color w:val="auto"/>
          <w:highlight w:val="none"/>
        </w:rPr>
      </w:pPr>
      <w:r>
        <w:rPr>
          <w:rFonts w:hint="eastAsia" w:ascii="宋体" w:hAnsi="宋体"/>
          <w:color w:val="auto"/>
          <w:highlight w:val="none"/>
        </w:rPr>
        <w:t>2、乙方应依据货物《招标文件》的《商务要求》中技术保障和服务保障，执行乙方《投标文件》的“响应”内容；</w:t>
      </w:r>
    </w:p>
    <w:p w14:paraId="1A8E71B8">
      <w:pPr>
        <w:pStyle w:val="11"/>
        <w:spacing w:line="360" w:lineRule="auto"/>
        <w:ind w:firstLine="480"/>
        <w:rPr>
          <w:rFonts w:ascii="宋体" w:hAnsi="宋体"/>
          <w:color w:val="auto"/>
          <w:highlight w:val="none"/>
        </w:rPr>
      </w:pPr>
      <w:r>
        <w:rPr>
          <w:rFonts w:hint="eastAsia" w:ascii="宋体" w:hAnsi="宋体"/>
          <w:color w:val="auto"/>
          <w:highlight w:val="none"/>
        </w:rPr>
        <w:t>3、乙方须指派专人负责与甲方联系售后服务事宜。 </w:t>
      </w:r>
    </w:p>
    <w:p w14:paraId="159D7E60">
      <w:pPr>
        <w:pStyle w:val="11"/>
        <w:spacing w:line="360" w:lineRule="auto"/>
        <w:ind w:firstLine="480"/>
        <w:rPr>
          <w:rFonts w:hint="eastAsia" w:ascii="宋体" w:hAnsi="宋体"/>
          <w:color w:val="auto"/>
          <w:highlight w:val="none"/>
        </w:rPr>
      </w:pPr>
      <w:r>
        <w:rPr>
          <w:rFonts w:hint="eastAsia" w:ascii="宋体" w:hAnsi="宋体"/>
          <w:color w:val="auto"/>
          <w:highlight w:val="none"/>
        </w:rPr>
        <w:t>甲方联系人及电话：</w:t>
      </w:r>
    </w:p>
    <w:p w14:paraId="738859EE">
      <w:pPr>
        <w:pStyle w:val="11"/>
        <w:spacing w:line="360" w:lineRule="auto"/>
        <w:ind w:firstLine="480"/>
        <w:rPr>
          <w:rFonts w:hint="eastAsia" w:ascii="宋体" w:hAnsi="宋体"/>
          <w:color w:val="auto"/>
          <w:highlight w:val="none"/>
        </w:rPr>
      </w:pPr>
      <w:r>
        <w:rPr>
          <w:rFonts w:hint="eastAsia" w:ascii="宋体" w:hAnsi="宋体"/>
          <w:color w:val="auto"/>
          <w:highlight w:val="none"/>
        </w:rPr>
        <w:t xml:space="preserve">乙方法人及负责人姓名及联系电话：法  人：                     </w:t>
      </w:r>
    </w:p>
    <w:p w14:paraId="22392DCB">
      <w:pPr>
        <w:pStyle w:val="11"/>
        <w:spacing w:line="360" w:lineRule="auto"/>
        <w:ind w:firstLine="4030" w:firstLineChars="1550"/>
        <w:rPr>
          <w:rFonts w:hint="eastAsia" w:ascii="宋体" w:hAnsi="宋体"/>
          <w:color w:val="auto"/>
          <w:highlight w:val="none"/>
        </w:rPr>
      </w:pPr>
      <w:r>
        <w:rPr>
          <w:rFonts w:hint="eastAsia" w:ascii="宋体" w:hAnsi="宋体"/>
          <w:color w:val="auto"/>
          <w:highlight w:val="none"/>
        </w:rPr>
        <w:t xml:space="preserve">     负责人： </w:t>
      </w:r>
    </w:p>
    <w:p w14:paraId="1D975109">
      <w:pPr>
        <w:pStyle w:val="11"/>
        <w:spacing w:line="360" w:lineRule="auto"/>
        <w:ind w:firstLine="4030" w:firstLineChars="1550"/>
        <w:rPr>
          <w:rFonts w:hint="eastAsia" w:ascii="宋体" w:hAnsi="宋体"/>
          <w:color w:val="auto"/>
          <w:highlight w:val="none"/>
        </w:rPr>
      </w:pPr>
    </w:p>
    <w:p w14:paraId="49E1B5E6">
      <w:pPr>
        <w:spacing w:before="0" w:after="0" w:line="360" w:lineRule="auto"/>
        <w:ind w:firstLine="0"/>
        <w:jc w:val="left"/>
        <w:rPr>
          <w:rFonts w:hint="eastAsia"/>
          <w:b/>
          <w:color w:val="auto"/>
          <w:highlight w:val="none"/>
        </w:rPr>
      </w:pPr>
      <w:r>
        <w:rPr>
          <w:rFonts w:hint="eastAsia"/>
          <w:b/>
          <w:color w:val="auto"/>
          <w:highlight w:val="none"/>
        </w:rPr>
        <w:t>九、违约责任</w:t>
      </w:r>
    </w:p>
    <w:p w14:paraId="6F8311C7">
      <w:pPr>
        <w:pStyle w:val="11"/>
        <w:spacing w:line="360" w:lineRule="auto"/>
        <w:ind w:firstLine="480"/>
        <w:rPr>
          <w:rFonts w:ascii="宋体" w:hAnsi="宋体"/>
          <w:color w:val="auto"/>
          <w:highlight w:val="none"/>
        </w:rPr>
      </w:pPr>
      <w:r>
        <w:rPr>
          <w:rFonts w:hint="eastAsia" w:ascii="宋体" w:hAnsi="宋体"/>
          <w:color w:val="auto"/>
          <w:highlight w:val="none"/>
        </w:rPr>
        <w:t>1、甲方违约责任</w:t>
      </w:r>
    </w:p>
    <w:p w14:paraId="337AA18C">
      <w:pPr>
        <w:pStyle w:val="11"/>
        <w:spacing w:line="360" w:lineRule="auto"/>
        <w:ind w:firstLine="480"/>
        <w:rPr>
          <w:rFonts w:hint="eastAsia" w:ascii="宋体" w:hAnsi="宋体"/>
          <w:color w:val="auto"/>
          <w:highlight w:val="none"/>
        </w:rPr>
      </w:pPr>
      <w:r>
        <w:rPr>
          <w:rFonts w:hint="eastAsia" w:ascii="宋体" w:hAnsi="宋体"/>
          <w:color w:val="auto"/>
          <w:highlight w:val="none"/>
        </w:rPr>
        <w:t>（1）甲方无正当理由拒收货物的，甲方应偿付合同总价百分之</w:t>
      </w:r>
      <w:r>
        <w:rPr>
          <w:rFonts w:hint="eastAsia" w:ascii="宋体" w:hAnsi="宋体"/>
          <w:b/>
          <w:color w:val="auto"/>
          <w:highlight w:val="none"/>
        </w:rPr>
        <w:t>五</w:t>
      </w:r>
      <w:r>
        <w:rPr>
          <w:rFonts w:hint="eastAsia" w:ascii="宋体" w:hAnsi="宋体"/>
          <w:color w:val="auto"/>
          <w:highlight w:val="none"/>
        </w:rPr>
        <w:t>的违约金；</w:t>
      </w:r>
    </w:p>
    <w:p w14:paraId="6B6CADFB">
      <w:pPr>
        <w:pStyle w:val="11"/>
        <w:spacing w:line="360" w:lineRule="auto"/>
        <w:ind w:firstLine="480"/>
        <w:rPr>
          <w:rFonts w:hint="eastAsia" w:ascii="宋体" w:hAnsi="宋体"/>
          <w:color w:val="auto"/>
          <w:highlight w:val="none"/>
        </w:rPr>
      </w:pPr>
      <w:r>
        <w:rPr>
          <w:rFonts w:hint="eastAsia" w:ascii="宋体" w:hAnsi="宋体"/>
          <w:color w:val="auto"/>
          <w:highlight w:val="none"/>
        </w:rPr>
        <w:t>（2）甲方逾期支付货款的，除应及时付足货款外，应按照银行同期贷款利率承担利息。逾期付款超过</w:t>
      </w:r>
      <w:r>
        <w:rPr>
          <w:rFonts w:hint="eastAsia" w:ascii="宋体" w:hAnsi="宋体"/>
          <w:b/>
          <w:color w:val="auto"/>
          <w:highlight w:val="none"/>
        </w:rPr>
        <w:t>15</w:t>
      </w:r>
      <w:r>
        <w:rPr>
          <w:rFonts w:hint="eastAsia" w:ascii="宋体" w:hAnsi="宋体"/>
          <w:color w:val="auto"/>
          <w:highlight w:val="none"/>
        </w:rPr>
        <w:t>天的，乙方有权终止合同</w:t>
      </w:r>
      <w:r>
        <w:rPr>
          <w:rFonts w:hint="eastAsia" w:ascii="宋体" w:hAnsi="宋体"/>
          <w:color w:val="auto"/>
          <w:highlight w:val="none"/>
        </w:rPr>
        <w:t>；</w:t>
      </w:r>
    </w:p>
    <w:p w14:paraId="6FDFBCBE">
      <w:pPr>
        <w:pStyle w:val="11"/>
        <w:spacing w:line="360" w:lineRule="auto"/>
        <w:ind w:firstLine="480"/>
        <w:rPr>
          <w:rFonts w:hint="eastAsia" w:ascii="宋体" w:hAnsi="宋体"/>
          <w:color w:val="auto"/>
          <w:highlight w:val="none"/>
        </w:rPr>
      </w:pPr>
      <w:r>
        <w:rPr>
          <w:rFonts w:hint="eastAsia" w:ascii="宋体" w:hAnsi="宋体"/>
          <w:color w:val="auto"/>
          <w:highlight w:val="none"/>
        </w:rPr>
        <w:t>2、乙方违约责任</w:t>
      </w:r>
    </w:p>
    <w:p w14:paraId="51402CAC">
      <w:pPr>
        <w:pStyle w:val="11"/>
        <w:spacing w:line="360" w:lineRule="auto"/>
        <w:ind w:firstLine="480"/>
        <w:rPr>
          <w:rFonts w:hint="eastAsia" w:ascii="宋体" w:hAnsi="宋体"/>
          <w:color w:val="auto"/>
          <w:highlight w:val="none"/>
        </w:rPr>
      </w:pPr>
      <w:r>
        <w:rPr>
          <w:rFonts w:hint="eastAsia" w:ascii="宋体" w:hAnsi="宋体"/>
          <w:color w:val="auto"/>
          <w:highlight w:val="none"/>
        </w:rPr>
        <w:t>（1）乙方交付的货物质量不符合合同规定的，乙方应向甲方支付合同总价百分之</w:t>
      </w:r>
      <w:r>
        <w:rPr>
          <w:rFonts w:hint="eastAsia" w:ascii="宋体" w:hAnsi="宋体"/>
          <w:b/>
          <w:color w:val="auto"/>
          <w:highlight w:val="none"/>
        </w:rPr>
        <w:t>五</w:t>
      </w:r>
      <w:r>
        <w:rPr>
          <w:rFonts w:hint="eastAsia" w:ascii="宋体" w:hAnsi="宋体"/>
          <w:color w:val="auto"/>
          <w:highlight w:val="none"/>
        </w:rPr>
        <w:t>的违约金，并须在合同规定的交货时间内更换合格的货物给甲方，否则，视作乙方不能交付货物而违约，按本条本款下述第“（2）”项规定由乙方偿付违约赔偿金给甲方。</w:t>
      </w:r>
    </w:p>
    <w:p w14:paraId="57595E44">
      <w:pPr>
        <w:pStyle w:val="11"/>
        <w:spacing w:line="360" w:lineRule="auto"/>
        <w:ind w:firstLine="480"/>
        <w:rPr>
          <w:rFonts w:hint="eastAsia" w:ascii="宋体" w:hAnsi="宋体"/>
          <w:color w:val="auto"/>
          <w:highlight w:val="none"/>
        </w:rPr>
      </w:pPr>
      <w:r>
        <w:rPr>
          <w:rFonts w:hint="eastAsia" w:ascii="宋体" w:hAnsi="宋体"/>
          <w:color w:val="auto"/>
          <w:highlight w:val="none"/>
        </w:rPr>
        <w:t>（2）乙方不能交付货物或逾期交付货物而违约的，除应及时交足货物外，还应向甲方偿付逾期交货部分货款总额</w:t>
      </w:r>
      <w:r>
        <w:rPr>
          <w:rFonts w:hint="eastAsia" w:ascii="宋体" w:hAnsi="宋体"/>
          <w:color w:val="auto"/>
          <w:highlight w:val="none"/>
        </w:rPr>
        <w:t>万分之</w:t>
      </w:r>
      <w:r>
        <w:rPr>
          <w:rFonts w:hint="eastAsia" w:ascii="宋体" w:hAnsi="宋体"/>
          <w:b/>
          <w:color w:val="auto"/>
          <w:highlight w:val="none"/>
        </w:rPr>
        <w:t>五</w:t>
      </w:r>
      <w:r>
        <w:rPr>
          <w:rFonts w:hint="eastAsia" w:ascii="宋体" w:hAnsi="宋体"/>
          <w:color w:val="auto"/>
          <w:highlight w:val="none"/>
        </w:rPr>
        <w:t>/天的违约金；逾期交货超过</w:t>
      </w:r>
      <w:r>
        <w:rPr>
          <w:b/>
          <w:color w:val="auto"/>
          <w:szCs w:val="21"/>
          <w:highlight w:val="none"/>
        </w:rPr>
        <w:t>7</w:t>
      </w:r>
      <w:r>
        <w:rPr>
          <w:rFonts w:hint="eastAsia" w:ascii="宋体" w:hAnsi="宋体"/>
          <w:color w:val="auto"/>
          <w:highlight w:val="none"/>
        </w:rPr>
        <w:t>天，甲方有权终止合同，乙方则应按合同总价百分之</w:t>
      </w:r>
      <w:r>
        <w:rPr>
          <w:rFonts w:hint="eastAsia" w:ascii="宋体" w:hAnsi="宋体"/>
          <w:b/>
          <w:color w:val="auto"/>
          <w:highlight w:val="none"/>
        </w:rPr>
        <w:t>五</w:t>
      </w:r>
      <w:r>
        <w:rPr>
          <w:rFonts w:hint="eastAsia" w:ascii="宋体" w:hAnsi="宋体"/>
          <w:color w:val="auto"/>
          <w:highlight w:val="none"/>
        </w:rPr>
        <w:t>的款额向甲方偿付赔偿金，并须在三日内全额退还甲方已经付给乙方的货款及其利息，同时甲方有权将乙方违约事宜上报至财政监督管理部门备案。</w:t>
      </w:r>
    </w:p>
    <w:p w14:paraId="1A92FFC6">
      <w:pPr>
        <w:pStyle w:val="11"/>
        <w:spacing w:line="360" w:lineRule="auto"/>
        <w:ind w:firstLine="480"/>
        <w:rPr>
          <w:rFonts w:hint="eastAsia" w:ascii="宋体" w:hAnsi="宋体"/>
          <w:color w:val="auto"/>
          <w:highlight w:val="none"/>
        </w:rPr>
      </w:pPr>
      <w:r>
        <w:rPr>
          <w:rFonts w:hint="eastAsia" w:ascii="宋体" w:hAnsi="宋体"/>
          <w:color w:val="auto"/>
          <w:highlight w:val="none"/>
        </w:rPr>
        <w:t>（3）乙方货物经甲方送交具有法定资格条件的质量技术监督机构检测后，如检测结果认定货物质量不符合本合同规定标准的，则视为乙方没有按时交货而违约，乙方须在</w:t>
      </w:r>
      <w:r>
        <w:rPr>
          <w:rFonts w:hint="eastAsia" w:ascii="宋体" w:hAnsi="宋体"/>
          <w:b/>
          <w:color w:val="auto"/>
          <w:highlight w:val="none"/>
        </w:rPr>
        <w:t>7</w:t>
      </w:r>
      <w:r>
        <w:rPr>
          <w:rFonts w:hint="eastAsia" w:ascii="宋体" w:hAnsi="宋体"/>
          <w:color w:val="auto"/>
          <w:highlight w:val="none"/>
        </w:rPr>
        <w:t>天内无条件更换合格的货物，如逾期不能更换合格的货物，甲方有权终止本合同，乙方应另付合同总价的百分之</w:t>
      </w:r>
      <w:r>
        <w:rPr>
          <w:rFonts w:hint="eastAsia" w:ascii="宋体" w:hAnsi="宋体"/>
          <w:b/>
          <w:color w:val="auto"/>
          <w:highlight w:val="none"/>
        </w:rPr>
        <w:t>一</w:t>
      </w:r>
      <w:r>
        <w:rPr>
          <w:rFonts w:hint="eastAsia" w:ascii="宋体" w:hAnsi="宋体"/>
          <w:color w:val="auto"/>
          <w:highlight w:val="none"/>
        </w:rPr>
        <w:t>的赔偿金给甲方。</w:t>
      </w:r>
    </w:p>
    <w:p w14:paraId="10D8FC8E">
      <w:pPr>
        <w:pStyle w:val="11"/>
        <w:spacing w:line="360" w:lineRule="auto"/>
        <w:ind w:firstLine="480"/>
        <w:rPr>
          <w:rFonts w:hint="eastAsia" w:ascii="宋体" w:hAnsi="宋体"/>
          <w:color w:val="auto"/>
          <w:highlight w:val="none"/>
        </w:rPr>
      </w:pPr>
      <w:r>
        <w:rPr>
          <w:rFonts w:hint="eastAsia" w:ascii="宋体" w:hAnsi="宋体"/>
          <w:color w:val="auto"/>
          <w:highlight w:val="none"/>
        </w:rPr>
        <w:t>（4）乙方保证甲方在本合同中货物的权利，包括货物所有权及知识产权等权利。如任何第三方经法院（或仲裁机构）裁决有权对上述货物主张权利或国家机关依法对货物进行没收查处的，乙方除应向甲方返还已收款项外，还应另按合同总价的百分之</w:t>
      </w:r>
      <w:r>
        <w:rPr>
          <w:rFonts w:hint="eastAsia" w:ascii="宋体" w:hAnsi="宋体"/>
          <w:b/>
          <w:color w:val="auto"/>
          <w:highlight w:val="none"/>
        </w:rPr>
        <w:t>一</w:t>
      </w:r>
      <w:r>
        <w:rPr>
          <w:rFonts w:hint="eastAsia" w:ascii="宋体" w:hAnsi="宋体"/>
          <w:color w:val="auto"/>
          <w:highlight w:val="none"/>
        </w:rPr>
        <w:t>向甲方支付违约金并赔偿因此给甲方造成的一切损失。</w:t>
      </w:r>
    </w:p>
    <w:p w14:paraId="59A597DB">
      <w:pPr>
        <w:spacing w:line="360" w:lineRule="auto"/>
        <w:ind w:firstLine="390" w:firstLineChars="150"/>
        <w:jc w:val="left"/>
        <w:rPr>
          <w:rFonts w:ascii="宋体" w:hAnsi="宋体" w:cs="宋体"/>
          <w:b/>
          <w:color w:val="auto"/>
          <w:highlight w:val="none"/>
        </w:rPr>
      </w:pPr>
      <w:r>
        <w:rPr>
          <w:rFonts w:hint="eastAsia" w:ascii="宋体" w:hAnsi="宋体" w:cs="宋体"/>
          <w:color w:val="auto"/>
          <w:highlight w:val="none"/>
        </w:rPr>
        <w:t>（5）乙方在不能按照本合同第</w:t>
      </w:r>
      <w:r>
        <w:rPr>
          <w:rFonts w:hint="eastAsia" w:ascii="宋体" w:hAnsi="宋体" w:cs="宋体"/>
          <w:color w:val="auto"/>
          <w:highlight w:val="none"/>
          <w:lang w:val="en-US" w:eastAsia="zh-CN"/>
        </w:rPr>
        <w:t>八</w:t>
      </w:r>
      <w:r>
        <w:rPr>
          <w:rFonts w:hint="eastAsia" w:ascii="宋体" w:hAnsi="宋体" w:cs="宋体"/>
          <w:color w:val="auto"/>
          <w:highlight w:val="none"/>
        </w:rPr>
        <w:t>条的约定时间提供售后服务，每逾期一次，按照合同总价款的</w:t>
      </w:r>
      <w:r>
        <w:rPr>
          <w:rFonts w:hint="eastAsia" w:ascii="宋体" w:hAnsi="宋体" w:cs="宋体"/>
          <w:color w:val="auto"/>
          <w:highlight w:val="none"/>
          <w:u w:val="single"/>
        </w:rPr>
        <w:t xml:space="preserve">  1%  </w:t>
      </w:r>
      <w:r>
        <w:rPr>
          <w:rFonts w:hint="eastAsia" w:ascii="宋体" w:hAnsi="宋体" w:cs="宋体"/>
          <w:color w:val="auto"/>
          <w:highlight w:val="none"/>
        </w:rPr>
        <w:t>向甲方支付违约金。</w:t>
      </w:r>
    </w:p>
    <w:p w14:paraId="62328F26">
      <w:pPr>
        <w:spacing w:before="0" w:after="0" w:line="360" w:lineRule="auto"/>
        <w:ind w:firstLine="0"/>
        <w:jc w:val="left"/>
        <w:rPr>
          <w:rFonts w:hint="eastAsia"/>
          <w:b/>
          <w:color w:val="auto"/>
          <w:highlight w:val="none"/>
        </w:rPr>
      </w:pPr>
      <w:r>
        <w:rPr>
          <w:rFonts w:hint="eastAsia"/>
          <w:b/>
          <w:color w:val="auto"/>
          <w:highlight w:val="none"/>
        </w:rPr>
        <w:t>十、争议解决办法</w:t>
      </w:r>
    </w:p>
    <w:p w14:paraId="2077A05A">
      <w:pPr>
        <w:pStyle w:val="11"/>
        <w:spacing w:line="360" w:lineRule="auto"/>
        <w:ind w:firstLine="480"/>
        <w:rPr>
          <w:rFonts w:ascii="宋体" w:hAnsi="宋体"/>
          <w:color w:val="auto"/>
          <w:highlight w:val="none"/>
        </w:rPr>
      </w:pPr>
      <w:r>
        <w:rPr>
          <w:rFonts w:hint="eastAsia" w:ascii="宋体" w:hAnsi="宋体"/>
          <w:color w:val="auto"/>
          <w:highlight w:val="none"/>
        </w:rPr>
        <w:t>1、因货物的质量问题发生争议，</w:t>
      </w:r>
      <w:r>
        <w:rPr>
          <w:rFonts w:hint="eastAsia" w:ascii="宋体" w:hAnsi="宋体"/>
          <w:color w:val="auto"/>
          <w:highlight w:val="none"/>
        </w:rPr>
        <w:t>可委托</w:t>
      </w:r>
      <w:r>
        <w:rPr>
          <w:rFonts w:hint="eastAsia" w:ascii="宋体" w:hAnsi="宋体"/>
          <w:color w:val="auto"/>
          <w:highlight w:val="none"/>
        </w:rPr>
        <w:t>质量技术监督部门或其指定的质量鉴定机构进行质量鉴定。货物符合标准的，鉴定费由甲方承担；货物不符合质量标准的，鉴定费由乙方承担。</w:t>
      </w:r>
    </w:p>
    <w:p w14:paraId="2BE66A07">
      <w:pPr>
        <w:pStyle w:val="11"/>
        <w:spacing w:line="360" w:lineRule="auto"/>
        <w:ind w:firstLine="480"/>
        <w:rPr>
          <w:rFonts w:hint="eastAsia" w:ascii="宋体" w:hAnsi="宋体"/>
          <w:color w:val="auto"/>
          <w:highlight w:val="none"/>
        </w:rPr>
      </w:pPr>
      <w:r>
        <w:rPr>
          <w:rFonts w:hint="eastAsia" w:ascii="宋体" w:hAnsi="宋体"/>
          <w:color w:val="auto"/>
          <w:highlight w:val="none"/>
        </w:rPr>
        <w:t>2、合同履行期间,若双方发生争议，可协商或由有关部门调解解决，协商或调解不成的，</w:t>
      </w:r>
      <w:r>
        <w:rPr>
          <w:rFonts w:hint="eastAsia"/>
          <w:color w:val="auto"/>
          <w:highlight w:val="none"/>
        </w:rPr>
        <w:t>提交西安市第一医院所在地人民法院诉讼解决。</w:t>
      </w:r>
    </w:p>
    <w:p w14:paraId="76DC2C73">
      <w:pPr>
        <w:pStyle w:val="11"/>
        <w:spacing w:line="360" w:lineRule="auto"/>
        <w:ind w:firstLine="0" w:firstLineChars="0"/>
        <w:rPr>
          <w:rFonts w:hint="eastAsia"/>
          <w:b/>
          <w:color w:val="auto"/>
          <w:highlight w:val="none"/>
        </w:rPr>
      </w:pPr>
      <w:r>
        <w:rPr>
          <w:rFonts w:hint="eastAsia"/>
          <w:b/>
          <w:color w:val="auto"/>
          <w:highlight w:val="none"/>
        </w:rPr>
        <w:t>十一、其他</w:t>
      </w:r>
    </w:p>
    <w:p w14:paraId="6D5E068E">
      <w:pPr>
        <w:pStyle w:val="11"/>
        <w:spacing w:line="360" w:lineRule="auto"/>
        <w:ind w:firstLine="480"/>
        <w:rPr>
          <w:rFonts w:ascii="宋体" w:hAnsi="宋体"/>
          <w:color w:val="auto"/>
          <w:highlight w:val="none"/>
        </w:rPr>
      </w:pPr>
      <w:r>
        <w:rPr>
          <w:rFonts w:hint="eastAsia" w:ascii="宋体" w:hAnsi="宋体"/>
          <w:color w:val="auto"/>
          <w:highlight w:val="none"/>
        </w:rPr>
        <w:t>1、如有未尽事宜，由双方依法订立补充合同，</w:t>
      </w:r>
      <w:r>
        <w:rPr>
          <w:rFonts w:hint="eastAsia" w:ascii="宋体" w:hAnsi="宋体"/>
          <w:color w:val="auto"/>
          <w:highlight w:val="none"/>
        </w:rPr>
        <w:t>补充合同与本合同具有同等法律效力。</w:t>
      </w:r>
    </w:p>
    <w:p w14:paraId="6881421E">
      <w:pPr>
        <w:pStyle w:val="11"/>
        <w:spacing w:line="360" w:lineRule="auto"/>
        <w:ind w:firstLine="480"/>
        <w:rPr>
          <w:rFonts w:hint="eastAsia" w:ascii="宋体" w:hAnsi="宋体"/>
          <w:color w:val="auto"/>
          <w:highlight w:val="none"/>
        </w:rPr>
      </w:pPr>
      <w:r>
        <w:rPr>
          <w:rFonts w:hint="eastAsia" w:ascii="宋体" w:hAnsi="宋体"/>
          <w:color w:val="auto"/>
          <w:highlight w:val="none"/>
        </w:rPr>
        <w:t>2、本合同一式七份，甲方五份，乙方一份，采购代理机构一份，效力相同，自双方签章盖章之日起生效。</w:t>
      </w:r>
    </w:p>
    <w:p w14:paraId="13E150DD">
      <w:pPr>
        <w:spacing w:line="360" w:lineRule="auto"/>
        <w:ind w:firstLine="509" w:firstLineChars="196"/>
        <w:rPr>
          <w:rFonts w:hint="eastAsia" w:ascii="宋体" w:hAnsi="宋体"/>
          <w:color w:val="auto"/>
          <w:highlight w:val="none"/>
        </w:rPr>
      </w:pPr>
      <w:r>
        <w:rPr>
          <w:rFonts w:hint="eastAsia" w:ascii="宋体" w:hAnsi="宋体"/>
          <w:color w:val="auto"/>
          <w:highlight w:val="none"/>
        </w:rPr>
        <w:t>3、</w:t>
      </w:r>
      <w:r>
        <w:rPr>
          <w:rFonts w:hint="eastAsia"/>
          <w:color w:val="auto"/>
          <w:highlight w:val="none"/>
        </w:rPr>
        <w:t>货物交付前的风险由乙方承担。</w:t>
      </w:r>
    </w:p>
    <w:p w14:paraId="24D3C86C">
      <w:pPr>
        <w:spacing w:line="360" w:lineRule="auto"/>
        <w:ind w:firstLine="509" w:firstLineChars="196"/>
        <w:rPr>
          <w:rFonts w:hint="eastAsia" w:ascii="宋体" w:hAnsi="宋体"/>
          <w:color w:val="auto"/>
          <w:highlight w:val="none"/>
        </w:rPr>
      </w:pPr>
      <w:r>
        <w:rPr>
          <w:color w:val="auto"/>
          <w:highlight w:val="none"/>
        </w:rPr>
        <w:t>4</w:t>
      </w:r>
      <w:r>
        <w:rPr>
          <w:rFonts w:hint="eastAsia"/>
          <w:color w:val="auto"/>
          <w:highlight w:val="none"/>
        </w:rPr>
        <w:t>、本合同项下地址为有效的通讯地址，一方变更应当书面通知相对方，未通知视为未变更，一方所发的文件通知等寄出或在《西安晚报》上公示即视为送达，产生相应的法律后果。</w:t>
      </w:r>
    </w:p>
    <w:p w14:paraId="784FF6B9">
      <w:pPr>
        <w:autoSpaceDE w:val="0"/>
        <w:autoSpaceDN w:val="0"/>
        <w:adjustRightInd w:val="0"/>
        <w:spacing w:line="360" w:lineRule="auto"/>
        <w:jc w:val="left"/>
        <w:rPr>
          <w:rFonts w:hint="eastAsia" w:ascii="宋体" w:hAnsi="宋体" w:eastAsia="宋体" w:cs="宋体"/>
          <w:color w:val="auto"/>
          <w:w w:val="110"/>
          <w:sz w:val="28"/>
          <w:szCs w:val="28"/>
          <w:highlight w:val="none"/>
        </w:rPr>
      </w:pPr>
      <w:r>
        <w:rPr>
          <w:rFonts w:hint="eastAsia" w:ascii="宋体" w:hAnsi="宋体" w:eastAsia="宋体" w:cs="宋体"/>
          <w:color w:val="auto"/>
          <w:w w:val="110"/>
          <w:sz w:val="28"/>
          <w:szCs w:val="28"/>
          <w:highlight w:val="none"/>
        </w:rPr>
        <w:t>（以下无正文）</w:t>
      </w:r>
    </w:p>
    <w:p w14:paraId="7BF9F15E">
      <w:pPr>
        <w:spacing w:before="0" w:after="0" w:line="360" w:lineRule="auto"/>
        <w:ind w:firstLine="0"/>
        <w:rPr>
          <w:rFonts w:hint="eastAsia" w:ascii="宋体" w:hAnsi="宋体"/>
          <w:color w:val="auto"/>
          <w:highlight w:val="none"/>
        </w:rPr>
      </w:pPr>
    </w:p>
    <w:p w14:paraId="3042938A">
      <w:pPr>
        <w:pStyle w:val="5"/>
        <w:ind w:left="0" w:leftChars="0" w:firstLine="0" w:firstLineChars="0"/>
        <w:rPr>
          <w:rFonts w:hint="eastAsia"/>
          <w:color w:val="auto"/>
          <w:highlight w:val="none"/>
          <w:lang w:bidi="en-US"/>
        </w:rPr>
      </w:pPr>
    </w:p>
    <w:p w14:paraId="1D95E495">
      <w:pPr>
        <w:widowControl/>
        <w:spacing w:before="0" w:after="0" w:line="360" w:lineRule="auto"/>
        <w:ind w:firstLine="0"/>
        <w:rPr>
          <w:rFonts w:hint="eastAsia" w:ascii="宋体" w:hAnsi="宋体" w:eastAsia="宋体" w:cs="宋体"/>
          <w:b/>
          <w:bCs/>
          <w:color w:val="auto"/>
          <w:szCs w:val="24"/>
          <w:highlight w:val="none"/>
          <w:lang w:bidi="en-US"/>
        </w:rPr>
      </w:pPr>
    </w:p>
    <w:p w14:paraId="341275DB">
      <w:pPr>
        <w:widowControl/>
        <w:spacing w:before="0" w:after="0" w:line="360" w:lineRule="auto"/>
        <w:ind w:firstLine="0"/>
        <w:rPr>
          <w:rFonts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甲方：</w:t>
      </w:r>
      <w:r>
        <w:rPr>
          <w:rFonts w:hint="eastAsia" w:ascii="宋体" w:hAnsi="宋体" w:eastAsia="宋体" w:cs="宋体"/>
          <w:color w:val="auto"/>
          <w:szCs w:val="24"/>
          <w:highlight w:val="none"/>
          <w:lang w:bidi="en-US"/>
        </w:rPr>
        <w:t xml:space="preserve">西安市第一医院（盖章）         </w:t>
      </w:r>
      <w:r>
        <w:rPr>
          <w:rFonts w:hint="eastAsia" w:ascii="宋体" w:hAnsi="宋体" w:eastAsia="宋体" w:cs="宋体"/>
          <w:b/>
          <w:bCs/>
          <w:color w:val="auto"/>
          <w:szCs w:val="24"/>
          <w:highlight w:val="none"/>
          <w:lang w:bidi="en-US"/>
        </w:rPr>
        <w:t xml:space="preserve">乙方：            </w:t>
      </w:r>
      <w:r>
        <w:rPr>
          <w:rFonts w:hint="eastAsia" w:ascii="宋体" w:hAnsi="宋体" w:eastAsia="宋体" w:cs="宋体"/>
          <w:color w:val="auto"/>
          <w:szCs w:val="24"/>
          <w:highlight w:val="none"/>
          <w:lang w:bidi="en-US"/>
        </w:rPr>
        <w:t xml:space="preserve"> （盖章）</w:t>
      </w:r>
    </w:p>
    <w:p w14:paraId="7FDB66B8">
      <w:pPr>
        <w:widowControl/>
        <w:spacing w:before="0" w:after="0" w:line="360" w:lineRule="auto"/>
        <w:ind w:firstLine="0"/>
        <w:rPr>
          <w:rFonts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开户行：</w:t>
      </w:r>
      <w:r>
        <w:rPr>
          <w:rFonts w:hint="eastAsia" w:ascii="宋体" w:cs="宋体"/>
          <w:color w:val="auto"/>
          <w:highlight w:val="none"/>
        </w:rPr>
        <w:t>中国工商银行西安南大街支行</w:t>
      </w:r>
      <w:r>
        <w:rPr>
          <w:rFonts w:hint="eastAsia" w:ascii="宋体" w:hAnsi="宋体" w:eastAsia="宋体" w:cs="宋体"/>
          <w:color w:val="auto"/>
          <w:szCs w:val="24"/>
          <w:highlight w:val="none"/>
          <w:lang w:bidi="en-US"/>
        </w:rPr>
        <w:t xml:space="preserve">   </w:t>
      </w:r>
      <w:r>
        <w:rPr>
          <w:rFonts w:hint="eastAsia" w:ascii="宋体" w:hAnsi="宋体" w:eastAsia="宋体" w:cs="宋体"/>
          <w:b/>
          <w:bCs/>
          <w:color w:val="auto"/>
          <w:szCs w:val="24"/>
          <w:highlight w:val="none"/>
          <w:lang w:bidi="en-US"/>
        </w:rPr>
        <w:t>开户行：</w:t>
      </w:r>
      <w:r>
        <w:rPr>
          <w:rFonts w:ascii="宋体" w:hAnsi="宋体" w:eastAsia="宋体" w:cs="宋体"/>
          <w:color w:val="auto"/>
          <w:szCs w:val="24"/>
          <w:highlight w:val="none"/>
          <w:lang w:bidi="en-US"/>
        </w:rPr>
        <w:t xml:space="preserve"> </w:t>
      </w:r>
    </w:p>
    <w:p w14:paraId="60359D18">
      <w:pPr>
        <w:widowControl/>
        <w:spacing w:before="0" w:after="0" w:line="360" w:lineRule="auto"/>
        <w:ind w:firstLine="0"/>
        <w:rPr>
          <w:rFonts w:hint="eastAsia" w:ascii="宋体" w:hAnsi="宋体" w:eastAsia="宋体" w:cs="宋体"/>
          <w:b/>
          <w:color w:val="auto"/>
          <w:szCs w:val="24"/>
          <w:highlight w:val="none"/>
          <w:lang w:bidi="en-US"/>
        </w:rPr>
      </w:pPr>
      <w:r>
        <w:rPr>
          <w:rFonts w:hint="eastAsia" w:ascii="宋体" w:hAnsi="宋体" w:eastAsia="宋体" w:cs="宋体"/>
          <w:b/>
          <w:bCs/>
          <w:color w:val="auto"/>
          <w:szCs w:val="24"/>
          <w:highlight w:val="none"/>
          <w:lang w:bidi="en-US"/>
        </w:rPr>
        <w:t>账号：</w:t>
      </w:r>
      <w:r>
        <w:rPr>
          <w:rFonts w:hint="eastAsia" w:ascii="宋体" w:hAnsi="宋体" w:eastAsia="宋体" w:cs="宋体"/>
          <w:color w:val="auto"/>
          <w:szCs w:val="24"/>
          <w:highlight w:val="none"/>
          <w:lang w:bidi="en-US"/>
        </w:rPr>
        <w:t xml:space="preserve">3700020409089344018           </w:t>
      </w:r>
      <w:r>
        <w:rPr>
          <w:rFonts w:hint="eastAsia" w:ascii="宋体" w:hAnsi="宋体" w:eastAsia="宋体" w:cs="宋体"/>
          <w:b/>
          <w:color w:val="auto"/>
          <w:szCs w:val="24"/>
          <w:highlight w:val="none"/>
          <w:lang w:bidi="en-US"/>
        </w:rPr>
        <w:t xml:space="preserve"> </w:t>
      </w:r>
      <w:r>
        <w:rPr>
          <w:rFonts w:hint="eastAsia" w:ascii="宋体" w:hAnsi="宋体" w:eastAsia="宋体" w:cs="宋体"/>
          <w:b/>
          <w:color w:val="auto"/>
          <w:szCs w:val="24"/>
          <w:highlight w:val="none"/>
          <w:lang w:bidi="en-US"/>
        </w:rPr>
        <w:t>银行账号：</w:t>
      </w:r>
      <w:r>
        <w:rPr>
          <w:rFonts w:hint="eastAsia" w:ascii="宋体" w:hAnsi="宋体" w:eastAsia="宋体" w:cs="宋体"/>
          <w:b/>
          <w:color w:val="auto"/>
          <w:szCs w:val="24"/>
          <w:highlight w:val="none"/>
          <w:lang w:bidi="en-US"/>
        </w:rPr>
        <w:t xml:space="preserve"> </w:t>
      </w:r>
    </w:p>
    <w:p w14:paraId="63B5B4F3">
      <w:pPr>
        <w:widowControl/>
        <w:spacing w:before="0" w:after="0" w:line="360" w:lineRule="auto"/>
        <w:ind w:firstLine="0"/>
        <w:rPr>
          <w:rFonts w:hint="eastAsia"/>
          <w:b/>
          <w:color w:val="auto"/>
          <w:highlight w:val="none"/>
          <w:lang w:bidi="en-US"/>
        </w:rPr>
      </w:pPr>
      <w:r>
        <w:rPr>
          <w:rFonts w:hint="eastAsia" w:ascii="宋体" w:hAnsi="宋体" w:eastAsia="宋体" w:cs="宋体"/>
          <w:b/>
          <w:bCs/>
          <w:color w:val="auto"/>
          <w:szCs w:val="24"/>
          <w:highlight w:val="none"/>
          <w:lang w:bidi="en-US"/>
        </w:rPr>
        <w:t>地址：</w:t>
      </w:r>
      <w:r>
        <w:rPr>
          <w:rFonts w:hint="eastAsia" w:ascii="宋体" w:hAnsi="宋体" w:eastAsia="宋体" w:cs="宋体"/>
          <w:color w:val="auto"/>
          <w:szCs w:val="24"/>
          <w:highlight w:val="none"/>
          <w:lang w:bidi="en-US"/>
        </w:rPr>
        <w:t xml:space="preserve">西安市南大街粉巷30号          </w:t>
      </w:r>
      <w:r>
        <w:rPr>
          <w:rFonts w:hint="eastAsia" w:ascii="宋体" w:hAnsi="宋体" w:eastAsia="宋体" w:cs="宋体"/>
          <w:b/>
          <w:bCs/>
          <w:color w:val="auto"/>
          <w:szCs w:val="24"/>
          <w:highlight w:val="none"/>
          <w:lang w:bidi="en-US"/>
        </w:rPr>
        <w:t>地址：</w:t>
      </w:r>
    </w:p>
    <w:p w14:paraId="2BF5B5A6">
      <w:pPr>
        <w:widowControl/>
        <w:spacing w:before="0" w:after="0" w:line="360" w:lineRule="auto"/>
        <w:ind w:firstLine="0"/>
        <w:rPr>
          <w:rFonts w:hint="eastAsia"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邮政编码：</w:t>
      </w:r>
      <w:r>
        <w:rPr>
          <w:rFonts w:hint="eastAsia" w:ascii="宋体" w:hAnsi="宋体" w:eastAsia="宋体" w:cs="宋体"/>
          <w:color w:val="auto"/>
          <w:szCs w:val="24"/>
          <w:highlight w:val="none"/>
          <w:lang w:bidi="en-US"/>
        </w:rPr>
        <w:t xml:space="preserve">710002                     </w:t>
      </w:r>
      <w:r>
        <w:rPr>
          <w:rFonts w:hint="eastAsia" w:ascii="宋体" w:hAnsi="宋体" w:eastAsia="宋体" w:cs="宋体"/>
          <w:b/>
          <w:bCs/>
          <w:color w:val="auto"/>
          <w:szCs w:val="24"/>
          <w:highlight w:val="none"/>
          <w:lang w:bidi="en-US"/>
        </w:rPr>
        <w:t>邮政编码：</w:t>
      </w:r>
      <w:r>
        <w:rPr>
          <w:rFonts w:hint="eastAsia" w:ascii="宋体" w:hAnsi="宋体" w:eastAsia="宋体" w:cs="宋体"/>
          <w:color w:val="auto"/>
          <w:szCs w:val="24"/>
          <w:highlight w:val="none"/>
          <w:lang w:bidi="en-US"/>
        </w:rPr>
        <w:t xml:space="preserve"> </w:t>
      </w:r>
    </w:p>
    <w:p w14:paraId="61A2F13D">
      <w:pPr>
        <w:widowControl/>
        <w:spacing w:before="0" w:after="0" w:line="360" w:lineRule="auto"/>
        <w:ind w:firstLine="0"/>
        <w:rPr>
          <w:rFonts w:hint="eastAsia"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电话：</w:t>
      </w:r>
      <w:r>
        <w:rPr>
          <w:rFonts w:hint="eastAsia" w:ascii="宋体" w:hAnsi="宋体" w:eastAsia="宋体" w:cs="宋体"/>
          <w:color w:val="auto"/>
          <w:szCs w:val="24"/>
          <w:highlight w:val="none"/>
          <w:lang w:bidi="en-US"/>
        </w:rPr>
        <w:t xml:space="preserve">029-87630929                   </w:t>
      </w:r>
      <w:r>
        <w:rPr>
          <w:rFonts w:hint="eastAsia" w:ascii="宋体" w:hAnsi="宋体" w:eastAsia="宋体" w:cs="宋体"/>
          <w:b/>
          <w:bCs/>
          <w:color w:val="auto"/>
          <w:szCs w:val="24"/>
          <w:highlight w:val="none"/>
          <w:lang w:bidi="en-US"/>
        </w:rPr>
        <w:t>电话：</w:t>
      </w:r>
    </w:p>
    <w:p w14:paraId="059F4864">
      <w:pPr>
        <w:widowControl/>
        <w:spacing w:before="0" w:after="0" w:line="360" w:lineRule="auto"/>
        <w:ind w:firstLine="0"/>
        <w:rPr>
          <w:rFonts w:hint="eastAsia" w:ascii="宋体" w:hAnsi="宋体" w:eastAsia="宋体" w:cs="宋体"/>
          <w:color w:val="auto"/>
          <w:szCs w:val="24"/>
          <w:highlight w:val="none"/>
          <w:lang w:bidi="en-US"/>
        </w:rPr>
      </w:pPr>
      <w:r>
        <w:rPr>
          <w:rFonts w:hint="eastAsia" w:ascii="宋体" w:hAnsi="宋体" w:eastAsia="宋体" w:cs="宋体"/>
          <w:color w:val="auto"/>
          <w:szCs w:val="24"/>
          <w:highlight w:val="none"/>
          <w:lang w:bidi="en-US"/>
        </w:rPr>
        <w:t xml:space="preserve">                             </w:t>
      </w:r>
    </w:p>
    <w:p w14:paraId="46F87186">
      <w:pPr>
        <w:widowControl/>
        <w:spacing w:before="0" w:after="0" w:line="360" w:lineRule="auto"/>
        <w:ind w:firstLine="0"/>
        <w:rPr>
          <w:rFonts w:hint="eastAsia"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法定代表人（授权代表）：</w:t>
      </w:r>
      <w:r>
        <w:rPr>
          <w:rFonts w:hint="eastAsia" w:ascii="宋体" w:hAnsi="宋体" w:eastAsia="宋体" w:cs="宋体"/>
          <w:color w:val="auto"/>
          <w:szCs w:val="24"/>
          <w:highlight w:val="none"/>
          <w:lang w:bidi="en-US"/>
        </w:rPr>
        <w:t xml:space="preserve">             </w:t>
      </w:r>
      <w:r>
        <w:rPr>
          <w:rFonts w:hint="eastAsia" w:ascii="宋体" w:hAnsi="宋体" w:eastAsia="宋体" w:cs="宋体"/>
          <w:b/>
          <w:bCs/>
          <w:color w:val="auto"/>
          <w:szCs w:val="24"/>
          <w:highlight w:val="none"/>
          <w:lang w:bidi="en-US"/>
        </w:rPr>
        <w:t>法定代表人（授权代表）</w:t>
      </w:r>
      <w:r>
        <w:rPr>
          <w:rFonts w:hint="eastAsia" w:ascii="宋体" w:hAnsi="宋体" w:eastAsia="宋体" w:cs="宋体"/>
          <w:color w:val="auto"/>
          <w:szCs w:val="24"/>
          <w:highlight w:val="none"/>
          <w:lang w:bidi="en-US"/>
        </w:rPr>
        <w:t>：</w:t>
      </w:r>
    </w:p>
    <w:p w14:paraId="452A3961">
      <w:pPr>
        <w:widowControl/>
        <w:spacing w:before="0" w:after="0" w:line="360" w:lineRule="auto"/>
        <w:ind w:firstLine="0"/>
        <w:rPr>
          <w:rFonts w:hint="eastAsia" w:ascii="宋体" w:hAnsi="宋体" w:eastAsia="宋体" w:cs="宋体"/>
          <w:color w:val="auto"/>
          <w:szCs w:val="24"/>
          <w:highlight w:val="none"/>
          <w:lang w:bidi="en-US"/>
        </w:rPr>
      </w:pPr>
    </w:p>
    <w:p w14:paraId="71D6B831">
      <w:pPr>
        <w:widowControl/>
        <w:spacing w:before="0" w:after="0" w:line="360" w:lineRule="auto"/>
        <w:ind w:firstLine="0"/>
        <w:rPr>
          <w:rFonts w:hint="eastAsia" w:ascii="宋体" w:hAnsi="宋体" w:eastAsia="宋体" w:cs="宋体"/>
          <w:color w:val="auto"/>
          <w:szCs w:val="24"/>
          <w:highlight w:val="none"/>
          <w:lang w:bidi="en-US"/>
        </w:rPr>
      </w:pPr>
      <w:r>
        <w:rPr>
          <w:rFonts w:hint="eastAsia" w:ascii="宋体" w:hAnsi="宋体" w:eastAsia="宋体" w:cs="宋体"/>
          <w:b/>
          <w:bCs/>
          <w:color w:val="auto"/>
          <w:szCs w:val="24"/>
          <w:highlight w:val="none"/>
          <w:lang w:bidi="en-US"/>
        </w:rPr>
        <w:t xml:space="preserve">签订日期：  </w:t>
      </w:r>
      <w:r>
        <w:rPr>
          <w:rFonts w:hint="eastAsia" w:ascii="宋体" w:hAnsi="宋体" w:eastAsia="宋体" w:cs="宋体"/>
          <w:color w:val="auto"/>
          <w:szCs w:val="24"/>
          <w:highlight w:val="none"/>
          <w:lang w:bidi="en-US"/>
        </w:rPr>
        <w:t xml:space="preserve">年  月   日          </w:t>
      </w:r>
      <w:r>
        <w:rPr>
          <w:rFonts w:hint="eastAsia" w:ascii="宋体" w:hAnsi="宋体" w:eastAsia="宋体" w:cs="宋体"/>
          <w:color w:val="auto"/>
          <w:szCs w:val="24"/>
          <w:highlight w:val="none"/>
          <w:lang w:val="en-US" w:eastAsia="zh-CN" w:bidi="en-US"/>
        </w:rPr>
        <w:t xml:space="preserve">   </w:t>
      </w:r>
      <w:r>
        <w:rPr>
          <w:rFonts w:hint="eastAsia" w:ascii="宋体" w:hAnsi="宋体" w:eastAsia="宋体" w:cs="宋体"/>
          <w:color w:val="auto"/>
          <w:szCs w:val="24"/>
          <w:highlight w:val="none"/>
          <w:lang w:bidi="en-US"/>
        </w:rPr>
        <w:t xml:space="preserve"> </w:t>
      </w:r>
      <w:r>
        <w:rPr>
          <w:rFonts w:hint="eastAsia" w:ascii="宋体" w:hAnsi="宋体" w:eastAsia="宋体" w:cs="宋体"/>
          <w:b/>
          <w:bCs/>
          <w:color w:val="auto"/>
          <w:szCs w:val="24"/>
          <w:highlight w:val="none"/>
          <w:lang w:bidi="en-US"/>
        </w:rPr>
        <w:t>签订日期：</w:t>
      </w:r>
      <w:r>
        <w:rPr>
          <w:rFonts w:hint="eastAsia" w:ascii="宋体" w:hAnsi="宋体" w:eastAsia="宋体" w:cs="宋体"/>
          <w:color w:val="auto"/>
          <w:szCs w:val="24"/>
          <w:highlight w:val="none"/>
          <w:lang w:bidi="en-US"/>
        </w:rPr>
        <w:t xml:space="preserve">   年  月   日</w:t>
      </w:r>
    </w:p>
    <w:p w14:paraId="46E7841E">
      <w:pPr>
        <w:widowControl/>
        <w:autoSpaceDE w:val="0"/>
        <w:autoSpaceDN w:val="0"/>
        <w:spacing w:before="0" w:after="0" w:line="360" w:lineRule="auto"/>
        <w:ind w:right="53" w:firstLine="0"/>
        <w:textAlignment w:val="bottom"/>
        <w:rPr>
          <w:rFonts w:hint="eastAsia"/>
          <w:color w:val="auto"/>
          <w:szCs w:val="21"/>
          <w:highlight w:val="none"/>
        </w:rPr>
      </w:pPr>
      <w:r>
        <w:rPr>
          <w:rFonts w:hint="eastAsia"/>
          <w:color w:val="auto"/>
          <w:szCs w:val="21"/>
          <w:highlight w:val="none"/>
        </w:rPr>
        <w:t xml:space="preserve">    </w:t>
      </w:r>
    </w:p>
    <w:p w14:paraId="084E198E">
      <w:pPr>
        <w:pStyle w:val="5"/>
        <w:rPr>
          <w:rFonts w:hint="eastAsia"/>
          <w:color w:val="auto"/>
          <w:szCs w:val="21"/>
          <w:highlight w:val="none"/>
        </w:rPr>
      </w:pPr>
    </w:p>
    <w:p w14:paraId="0A1BF2BC">
      <w:pPr>
        <w:rPr>
          <w:color w:val="auto"/>
          <w:highlight w:val="none"/>
        </w:rPr>
      </w:pPr>
    </w:p>
    <w:p w14:paraId="576AA7E6">
      <w:pPr>
        <w:spacing w:before="0" w:after="0" w:line="360" w:lineRule="auto"/>
        <w:ind w:firstLine="0"/>
        <w:rPr>
          <w:rFonts w:hint="eastAsia" w:ascii="宋体" w:hAnsi="宋体"/>
          <w:color w:val="auto"/>
          <w:szCs w:val="22"/>
          <w:highlight w:val="none"/>
        </w:rPr>
      </w:pPr>
      <w:r>
        <w:rPr>
          <w:rFonts w:hint="eastAsia" w:ascii="宋体" w:hAnsi="宋体"/>
          <w:b/>
          <w:bCs/>
          <w:color w:val="auto"/>
          <w:szCs w:val="22"/>
          <w:highlight w:val="none"/>
        </w:rPr>
        <w:t>鉴证方</w:t>
      </w:r>
      <w:r>
        <w:rPr>
          <w:rFonts w:hint="eastAsia" w:ascii="宋体" w:hAnsi="宋体"/>
          <w:color w:val="auto"/>
          <w:szCs w:val="22"/>
          <w:highlight w:val="none"/>
        </w:rPr>
        <w:t>（业务专用章）</w:t>
      </w:r>
      <w:r>
        <w:rPr>
          <w:rFonts w:hint="eastAsia" w:ascii="宋体" w:hAnsi="宋体"/>
          <w:b/>
          <w:bCs/>
          <w:color w:val="auto"/>
          <w:szCs w:val="22"/>
          <w:highlight w:val="none"/>
        </w:rPr>
        <w:t>：</w:t>
      </w:r>
    </w:p>
    <w:p w14:paraId="6653EB55">
      <w:pPr>
        <w:spacing w:before="0" w:after="0" w:line="360" w:lineRule="auto"/>
        <w:ind w:firstLine="0"/>
        <w:rPr>
          <w:rFonts w:hint="eastAsia" w:ascii="宋体" w:hAnsi="宋体"/>
          <w:color w:val="auto"/>
          <w:szCs w:val="22"/>
          <w:highlight w:val="none"/>
        </w:rPr>
      </w:pPr>
      <w:r>
        <w:rPr>
          <w:rFonts w:hint="eastAsia" w:ascii="宋体" w:hAnsi="宋体"/>
          <w:b/>
          <w:bCs/>
          <w:color w:val="auto"/>
          <w:szCs w:val="22"/>
          <w:highlight w:val="none"/>
        </w:rPr>
        <w:t xml:space="preserve">单位名称：  </w:t>
      </w:r>
      <w:r>
        <w:rPr>
          <w:rFonts w:hint="eastAsia" w:ascii="宋体" w:hAnsi="宋体"/>
          <w:color w:val="auto"/>
          <w:szCs w:val="22"/>
          <w:highlight w:val="none"/>
        </w:rPr>
        <w:t xml:space="preserve">                     </w:t>
      </w:r>
    </w:p>
    <w:p w14:paraId="6D74B8FE">
      <w:pPr>
        <w:spacing w:before="0" w:after="0" w:line="360" w:lineRule="auto"/>
        <w:ind w:firstLine="0"/>
        <w:rPr>
          <w:rFonts w:hint="eastAsia" w:ascii="宋体" w:hAnsi="宋体"/>
          <w:b/>
          <w:bCs/>
          <w:color w:val="auto"/>
          <w:szCs w:val="22"/>
          <w:highlight w:val="none"/>
        </w:rPr>
      </w:pPr>
      <w:r>
        <w:rPr>
          <w:rFonts w:hint="eastAsia" w:ascii="宋体" w:hAnsi="宋体"/>
          <w:b/>
          <w:bCs/>
          <w:color w:val="auto"/>
          <w:szCs w:val="22"/>
          <w:highlight w:val="none"/>
        </w:rPr>
        <w:t xml:space="preserve">地址： </w:t>
      </w:r>
    </w:p>
    <w:p w14:paraId="12ADCF6A">
      <w:pPr>
        <w:spacing w:before="0" w:after="0" w:line="360" w:lineRule="auto"/>
        <w:ind w:firstLine="0"/>
        <w:rPr>
          <w:rFonts w:hint="eastAsia" w:ascii="宋体" w:hAnsi="宋体"/>
          <w:b/>
          <w:bCs/>
          <w:color w:val="auto"/>
          <w:szCs w:val="22"/>
          <w:highlight w:val="none"/>
        </w:rPr>
      </w:pPr>
      <w:r>
        <w:rPr>
          <w:rFonts w:hint="eastAsia" w:ascii="宋体" w:hAnsi="宋体"/>
          <w:b/>
          <w:bCs/>
          <w:color w:val="auto"/>
          <w:szCs w:val="22"/>
          <w:highlight w:val="none"/>
        </w:rPr>
        <w:t>代理人（签字）：</w:t>
      </w:r>
    </w:p>
    <w:p w14:paraId="3C27BED9">
      <w:pPr>
        <w:spacing w:before="0" w:after="0" w:line="360" w:lineRule="auto"/>
        <w:ind w:firstLine="0"/>
        <w:rPr>
          <w:rFonts w:hint="eastAsia" w:ascii="宋体" w:hAnsi="宋体"/>
          <w:b/>
          <w:bCs/>
          <w:color w:val="auto"/>
          <w:szCs w:val="22"/>
          <w:highlight w:val="none"/>
        </w:rPr>
      </w:pPr>
      <w:r>
        <w:rPr>
          <w:rFonts w:hint="eastAsia" w:ascii="宋体" w:hAnsi="宋体"/>
          <w:b/>
          <w:bCs/>
          <w:color w:val="auto"/>
          <w:szCs w:val="22"/>
          <w:highlight w:val="none"/>
        </w:rPr>
        <w:t xml:space="preserve">联系电话： </w:t>
      </w:r>
    </w:p>
    <w:p w14:paraId="53918BCD">
      <w:pPr>
        <w:pStyle w:val="5"/>
        <w:rPr>
          <w:rFonts w:hint="eastAsia" w:ascii="宋体" w:hAnsi="宋体"/>
          <w:b/>
          <w:bCs/>
          <w:color w:val="auto"/>
          <w:szCs w:val="22"/>
          <w:highlight w:val="none"/>
        </w:rPr>
      </w:pPr>
    </w:p>
    <w:p w14:paraId="0F2B3F19">
      <w:pPr>
        <w:rPr>
          <w:rFonts w:hint="eastAsia"/>
          <w:color w:val="auto"/>
          <w:highlight w:val="none"/>
        </w:rPr>
      </w:pPr>
    </w:p>
    <w:p w14:paraId="2FE26E0B">
      <w:pPr>
        <w:spacing w:before="0" w:after="0" w:line="240" w:lineRule="auto"/>
        <w:ind w:firstLine="0"/>
        <w:rPr>
          <w:rFonts w:hint="eastAsia" w:ascii="Calibri" w:hAnsi="Calibri" w:eastAsia="宋体"/>
          <w:color w:val="auto"/>
          <w:kern w:val="2"/>
          <w:sz w:val="30"/>
          <w:szCs w:val="30"/>
          <w:highlight w:val="none"/>
        </w:rPr>
      </w:pPr>
      <w:r>
        <w:rPr>
          <w:rFonts w:hint="eastAsia" w:ascii="Calibri" w:hAnsi="Calibri" w:eastAsia="宋体"/>
          <w:color w:val="auto"/>
          <w:kern w:val="2"/>
          <w:sz w:val="30"/>
          <w:szCs w:val="30"/>
          <w:highlight w:val="none"/>
        </w:rPr>
        <w:t xml:space="preserve">附件一：配置清单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4"/>
        <w:gridCol w:w="1714"/>
        <w:gridCol w:w="1715"/>
        <w:gridCol w:w="1715"/>
        <w:gridCol w:w="1664"/>
      </w:tblGrid>
      <w:tr w14:paraId="6E069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0B5A96B3">
            <w:pPr>
              <w:pStyle w:val="5"/>
              <w:ind w:firstLine="0"/>
              <w:jc w:val="center"/>
              <w:rPr>
                <w:rFonts w:hint="eastAsia" w:eastAsia="宋体"/>
                <w:color w:val="auto"/>
                <w:kern w:val="2"/>
                <w:szCs w:val="22"/>
                <w:highlight w:val="none"/>
              </w:rPr>
            </w:pPr>
            <w:r>
              <w:rPr>
                <w:rFonts w:hint="eastAsia" w:eastAsia="宋体"/>
                <w:color w:val="auto"/>
                <w:kern w:val="2"/>
                <w:szCs w:val="22"/>
                <w:highlight w:val="none"/>
              </w:rPr>
              <w:t>序号</w:t>
            </w:r>
          </w:p>
        </w:tc>
        <w:tc>
          <w:tcPr>
            <w:tcW w:w="1869" w:type="dxa"/>
            <w:noWrap w:val="0"/>
            <w:vAlign w:val="top"/>
          </w:tcPr>
          <w:p w14:paraId="549D4B4F">
            <w:pPr>
              <w:pStyle w:val="5"/>
              <w:ind w:firstLine="0"/>
              <w:jc w:val="center"/>
              <w:rPr>
                <w:rFonts w:hint="eastAsia" w:eastAsia="宋体"/>
                <w:color w:val="auto"/>
                <w:kern w:val="2"/>
                <w:szCs w:val="22"/>
                <w:highlight w:val="none"/>
              </w:rPr>
            </w:pPr>
            <w:r>
              <w:rPr>
                <w:rFonts w:hint="eastAsia" w:eastAsia="宋体"/>
                <w:color w:val="auto"/>
                <w:kern w:val="2"/>
                <w:szCs w:val="22"/>
                <w:highlight w:val="none"/>
              </w:rPr>
              <w:t>产品名称</w:t>
            </w:r>
          </w:p>
        </w:tc>
        <w:tc>
          <w:tcPr>
            <w:tcW w:w="1869" w:type="dxa"/>
            <w:noWrap w:val="0"/>
            <w:vAlign w:val="top"/>
          </w:tcPr>
          <w:p w14:paraId="4DC2BE9B">
            <w:pPr>
              <w:pStyle w:val="5"/>
              <w:ind w:firstLine="0"/>
              <w:jc w:val="center"/>
              <w:rPr>
                <w:rFonts w:hint="eastAsia" w:eastAsia="宋体"/>
                <w:color w:val="auto"/>
                <w:kern w:val="2"/>
                <w:szCs w:val="22"/>
                <w:highlight w:val="none"/>
              </w:rPr>
            </w:pPr>
            <w:r>
              <w:rPr>
                <w:rFonts w:hint="eastAsia" w:eastAsia="宋体"/>
                <w:color w:val="auto"/>
                <w:kern w:val="2"/>
                <w:szCs w:val="22"/>
                <w:highlight w:val="none"/>
              </w:rPr>
              <w:t>型号</w:t>
            </w:r>
          </w:p>
        </w:tc>
        <w:tc>
          <w:tcPr>
            <w:tcW w:w="1869" w:type="dxa"/>
            <w:noWrap w:val="0"/>
            <w:vAlign w:val="top"/>
          </w:tcPr>
          <w:p w14:paraId="42A46394">
            <w:pPr>
              <w:pStyle w:val="5"/>
              <w:ind w:firstLine="0"/>
              <w:jc w:val="center"/>
              <w:rPr>
                <w:rFonts w:hint="eastAsia" w:eastAsia="宋体"/>
                <w:color w:val="auto"/>
                <w:kern w:val="2"/>
                <w:szCs w:val="22"/>
                <w:highlight w:val="none"/>
              </w:rPr>
            </w:pPr>
            <w:r>
              <w:rPr>
                <w:rFonts w:hint="eastAsia" w:eastAsia="宋体"/>
                <w:color w:val="auto"/>
                <w:kern w:val="2"/>
                <w:szCs w:val="22"/>
                <w:highlight w:val="none"/>
              </w:rPr>
              <w:t>数量</w:t>
            </w:r>
          </w:p>
        </w:tc>
        <w:tc>
          <w:tcPr>
            <w:tcW w:w="1812" w:type="dxa"/>
            <w:noWrap w:val="0"/>
            <w:vAlign w:val="top"/>
          </w:tcPr>
          <w:p w14:paraId="241FCD68">
            <w:pPr>
              <w:pStyle w:val="5"/>
              <w:ind w:firstLine="0"/>
              <w:jc w:val="center"/>
              <w:rPr>
                <w:rFonts w:hint="eastAsia" w:eastAsia="宋体"/>
                <w:color w:val="auto"/>
                <w:kern w:val="2"/>
                <w:szCs w:val="22"/>
                <w:highlight w:val="none"/>
              </w:rPr>
            </w:pPr>
            <w:r>
              <w:rPr>
                <w:rFonts w:hint="eastAsia" w:eastAsia="宋体"/>
                <w:color w:val="auto"/>
                <w:kern w:val="2"/>
                <w:szCs w:val="22"/>
                <w:highlight w:val="none"/>
              </w:rPr>
              <w:t>单位</w:t>
            </w:r>
          </w:p>
        </w:tc>
      </w:tr>
      <w:tr w14:paraId="5084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9" w:type="dxa"/>
            <w:noWrap w:val="0"/>
            <w:vAlign w:val="top"/>
          </w:tcPr>
          <w:p w14:paraId="5EA1BDAB">
            <w:pPr>
              <w:pStyle w:val="5"/>
              <w:ind w:firstLine="0"/>
              <w:rPr>
                <w:rFonts w:hint="eastAsia" w:eastAsia="宋体"/>
                <w:color w:val="auto"/>
                <w:kern w:val="2"/>
                <w:szCs w:val="22"/>
                <w:highlight w:val="none"/>
              </w:rPr>
            </w:pPr>
          </w:p>
        </w:tc>
        <w:tc>
          <w:tcPr>
            <w:tcW w:w="1869" w:type="dxa"/>
            <w:noWrap w:val="0"/>
            <w:vAlign w:val="top"/>
          </w:tcPr>
          <w:p w14:paraId="1245546C">
            <w:pPr>
              <w:pStyle w:val="5"/>
              <w:ind w:firstLine="0"/>
              <w:rPr>
                <w:rFonts w:hint="eastAsia" w:eastAsia="宋体"/>
                <w:color w:val="auto"/>
                <w:kern w:val="2"/>
                <w:szCs w:val="22"/>
                <w:highlight w:val="none"/>
              </w:rPr>
            </w:pPr>
          </w:p>
        </w:tc>
        <w:tc>
          <w:tcPr>
            <w:tcW w:w="1869" w:type="dxa"/>
            <w:noWrap w:val="0"/>
            <w:vAlign w:val="top"/>
          </w:tcPr>
          <w:p w14:paraId="151340BB">
            <w:pPr>
              <w:pStyle w:val="5"/>
              <w:ind w:firstLine="0"/>
              <w:rPr>
                <w:rFonts w:hint="eastAsia" w:eastAsia="宋体"/>
                <w:color w:val="auto"/>
                <w:kern w:val="2"/>
                <w:szCs w:val="22"/>
                <w:highlight w:val="none"/>
              </w:rPr>
            </w:pPr>
          </w:p>
        </w:tc>
        <w:tc>
          <w:tcPr>
            <w:tcW w:w="1869" w:type="dxa"/>
            <w:noWrap w:val="0"/>
            <w:vAlign w:val="top"/>
          </w:tcPr>
          <w:p w14:paraId="01B8ED71">
            <w:pPr>
              <w:pStyle w:val="5"/>
              <w:ind w:firstLine="0"/>
              <w:rPr>
                <w:rFonts w:hint="eastAsia" w:eastAsia="宋体"/>
                <w:color w:val="auto"/>
                <w:kern w:val="2"/>
                <w:szCs w:val="22"/>
                <w:highlight w:val="none"/>
              </w:rPr>
            </w:pPr>
          </w:p>
        </w:tc>
        <w:tc>
          <w:tcPr>
            <w:tcW w:w="1812" w:type="dxa"/>
            <w:noWrap w:val="0"/>
            <w:vAlign w:val="top"/>
          </w:tcPr>
          <w:p w14:paraId="7F516AD8">
            <w:pPr>
              <w:pStyle w:val="5"/>
              <w:ind w:firstLine="0"/>
              <w:rPr>
                <w:rFonts w:hint="eastAsia" w:eastAsia="宋体"/>
                <w:color w:val="auto"/>
                <w:kern w:val="2"/>
                <w:szCs w:val="22"/>
                <w:highlight w:val="none"/>
              </w:rPr>
            </w:pPr>
          </w:p>
        </w:tc>
      </w:tr>
    </w:tbl>
    <w:p w14:paraId="2709CACA">
      <w:pPr>
        <w:spacing w:before="0" w:after="0" w:line="240" w:lineRule="auto"/>
        <w:ind w:firstLine="0"/>
        <w:rPr>
          <w:rFonts w:hint="eastAsia" w:ascii="Calibri" w:hAnsi="Calibri" w:eastAsia="宋体"/>
          <w:color w:val="auto"/>
          <w:kern w:val="2"/>
          <w:sz w:val="30"/>
          <w:szCs w:val="30"/>
          <w:highlight w:val="none"/>
        </w:rPr>
      </w:pPr>
      <w:r>
        <w:rPr>
          <w:rFonts w:hint="eastAsia" w:ascii="Calibri" w:hAnsi="Calibri" w:eastAsia="宋体"/>
          <w:color w:val="auto"/>
          <w:kern w:val="2"/>
          <w:sz w:val="30"/>
          <w:szCs w:val="30"/>
          <w:highlight w:val="none"/>
        </w:rPr>
        <w:t>附件二：营业执照、法人授权委托书、受托人/法人身份证复印件</w:t>
      </w:r>
    </w:p>
    <w:p w14:paraId="322E7D9F">
      <w:pPr>
        <w:ind w:left="0" w:leftChars="0" w:firstLine="0" w:firstLineChars="0"/>
        <w:rPr>
          <w:rFonts w:hint="eastAsia"/>
          <w:color w:val="auto"/>
          <w:highlight w:val="none"/>
        </w:rPr>
      </w:pPr>
      <w:r>
        <w:rPr>
          <w:rFonts w:hint="eastAsia" w:ascii="Calibri" w:hAnsi="Calibri" w:eastAsia="宋体"/>
          <w:color w:val="auto"/>
          <w:kern w:val="2"/>
          <w:sz w:val="30"/>
          <w:szCs w:val="30"/>
          <w:highlight w:val="none"/>
        </w:rPr>
        <w:t>附件三：厂家提供的3年质保证明和维保内容</w:t>
      </w:r>
    </w:p>
    <w:p w14:paraId="2A2FB4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9C481"/>
    <w:multiLevelType w:val="singleLevel"/>
    <w:tmpl w:val="54D9C481"/>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BE06EF"/>
    <w:rsid w:val="36372C9B"/>
    <w:rsid w:val="65805C87"/>
    <w:rsid w:val="6F8C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6"/>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0"/>
    <w:pPr>
      <w:keepNext/>
      <w:keepLines/>
      <w:jc w:val="left"/>
      <w:outlineLvl w:val="3"/>
    </w:pPr>
    <w:rPr>
      <w:rFonts w:hint="eastAsia" w:ascii="Arial" w:hAnsi="Arial" w:cs="Times New Roman"/>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before="60" w:line="360" w:lineRule="auto"/>
      <w:ind w:firstLine="420"/>
    </w:pPr>
    <w:rPr>
      <w:rFonts w:ascii="Times New Roman" w:hAnsi="Times New Roman"/>
      <w:color w:val="auto"/>
      <w:spacing w:val="6"/>
      <w:kern w:val="2"/>
    </w:rPr>
  </w:style>
  <w:style w:type="paragraph" w:styleId="5">
    <w:name w:val="Body Text"/>
    <w:basedOn w:val="1"/>
    <w:next w:val="1"/>
    <w:qFormat/>
    <w:uiPriority w:val="99"/>
    <w:rPr>
      <w:rFonts w:ascii="Calibri" w:hAnsi="Calibri"/>
      <w:kern w:val="0"/>
      <w:sz w:val="20"/>
      <w:szCs w:val="20"/>
    </w:rPr>
  </w:style>
  <w:style w:type="paragraph" w:styleId="6">
    <w:name w:val="footer"/>
    <w:basedOn w:val="1"/>
    <w:qFormat/>
    <w:uiPriority w:val="99"/>
    <w:pPr>
      <w:tabs>
        <w:tab w:val="center" w:pos="4153"/>
        <w:tab w:val="right" w:pos="8306"/>
      </w:tabs>
      <w:snapToGrid w:val="0"/>
      <w:jc w:val="left"/>
    </w:pPr>
    <w:rPr>
      <w:kern w:val="0"/>
      <w:sz w:val="18"/>
      <w:szCs w:val="18"/>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character" w:customStyle="1" w:styleId="10">
    <w:name w:val="NormalCharacter"/>
    <w:qFormat/>
    <w:uiPriority w:val="0"/>
  </w:style>
  <w:style w:type="paragraph" w:customStyle="1" w:styleId="11">
    <w:name w:val="样式 首行缩进:  2 字符"/>
    <w:basedOn w:val="1"/>
    <w:qFormat/>
    <w:uiPriority w:val="0"/>
    <w:pPr>
      <w:spacing w:before="0" w:after="0" w:line="400" w:lineRule="exact"/>
      <w:ind w:firstLine="200" w:firstLineChars="200"/>
    </w:pPr>
    <w:rPr>
      <w:rFonts w:ascii="Times New Roman" w:hAnsi="Times New Roman" w:cs="宋体"/>
      <w:color w:val="auto"/>
      <w:kern w:val="2"/>
      <w:szCs w:val="24"/>
    </w:rPr>
  </w:style>
  <w:style w:type="paragraph" w:customStyle="1" w:styleId="12">
    <w:name w:val="正文首行缩进两字符"/>
    <w:basedOn w:val="1"/>
    <w:qFormat/>
    <w:uiPriority w:val="0"/>
    <w:pPr>
      <w:spacing w:line="360" w:lineRule="auto"/>
      <w:ind w:firstLine="200" w:firstLineChars="200"/>
    </w:pPr>
    <w:rPr>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3679</Words>
  <Characters>3754</Characters>
  <Lines>0</Lines>
  <Paragraphs>0</Paragraphs>
  <TotalTime>0</TotalTime>
  <ScaleCrop>false</ScaleCrop>
  <LinksUpToDate>false</LinksUpToDate>
  <CharactersWithSpaces>4366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2025-04-28T09:36:00Z</dcterms:created>
  <dc:creator>Administrator</dc:creator>
  <cp:lastModifiedBy>趁早</cp:lastModifiedBy>
  <dcterms:modified xsi:type="dcterms:W3CDTF">2025-09-29T04:39:57Z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9E1751E7756E42B9930B3692268CC20A_12</vt:lpwstr>
  </property>
</Properties>
</file>