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版本号：SXGS2025-ZC-02420250929001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西安市科技局2025年科技创新服务项目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SXGS2025-ZC-024</w:t>
      </w:r>
      <w:r>
        <w:br/>
      </w:r>
      <w:r>
        <w:br/>
      </w:r>
      <w:r>
        <w:br/>
      </w:r>
    </w:p>
    <w:p>
      <w:pPr>
        <w:pStyle w:val="null3"/>
        <w:jc w:val="center"/>
        <w:outlineLvl w:val="2"/>
      </w:pPr>
      <w:r>
        <w:rPr>
          <w:rFonts w:ascii="仿宋_GB2312" w:hAnsi="仿宋_GB2312" w:cs="仿宋_GB2312" w:eastAsia="仿宋_GB2312"/>
          <w:sz w:val="28"/>
          <w:b/>
        </w:rPr>
        <w:t>西安市科学技术局（本级）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西安市科学技术局（本级）</w:t>
      </w:r>
      <w:r>
        <w:rPr>
          <w:rFonts w:ascii="仿宋_GB2312" w:hAnsi="仿宋_GB2312" w:cs="仿宋_GB2312" w:eastAsia="仿宋_GB2312"/>
        </w:rPr>
        <w:t>委托，拟对</w:t>
      </w:r>
      <w:r>
        <w:rPr>
          <w:rFonts w:ascii="仿宋_GB2312" w:hAnsi="仿宋_GB2312" w:cs="仿宋_GB2312" w:eastAsia="仿宋_GB2312"/>
        </w:rPr>
        <w:t>西安市科技局2025年科技创新服务项目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SXGS2025-ZC-024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西安市科技局2025年科技创新服务项目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科技局2025年科技创新服务项目的实施是加快西安区域科技创新中心建设、打造具有全球影响力的国家创新名城的重要举措。围绕培育科技企业梯队、促进科技产业融合、完善成果转化平台、营造创新氛围环境、促进农业科技发展等方面，主要涉及规上企业研发奖补服务、专项研究分析报告服务、科技企业创新积分制服务、高新技术企业火炬统计服务、常态化企业技术创新需求供需匹配服务、海外离岸创新创业平台支持服务、农业科技专项服务、“科创西安”活动组织服务、科技创新创业能力提升服务九方面内容。通过提供科技创新服务关键要素助力西安科技创新和产业创新深度融合，推动西安经济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状况报告：提供2024年的财务审计报告（至少包括资产负债表和利润表，成立时间至提交响应文件截止时间不足一年的可提供成立后任意时段的资产负债表），或开标前六个月内其基本存款账户开户银行出具的资信证明（出具基本存款账户信息）；</w:t>
      </w:r>
    </w:p>
    <w:p>
      <w:pPr>
        <w:pStyle w:val="null3"/>
      </w:pPr>
      <w:r>
        <w:rPr>
          <w:rFonts w:ascii="仿宋_GB2312" w:hAnsi="仿宋_GB2312" w:cs="仿宋_GB2312" w:eastAsia="仿宋_GB2312"/>
        </w:rPr>
        <w:t>3、税收缴纳证明：提供投标截止前半年内任意一个月的完税证明，依法免税的单位应提供相关证明材料；</w:t>
      </w:r>
    </w:p>
    <w:p>
      <w:pPr>
        <w:pStyle w:val="null3"/>
      </w:pPr>
      <w:r>
        <w:rPr>
          <w:rFonts w:ascii="仿宋_GB2312" w:hAnsi="仿宋_GB2312" w:cs="仿宋_GB2312" w:eastAsia="仿宋_GB2312"/>
        </w:rPr>
        <w:t>4、社会保障资金缴纳证明：提供投标截止前半年内任意一个月的缴纳社会保险凭证，依法不需要缴纳社会保障资金的单位应提供相关证明材料；</w:t>
      </w:r>
    </w:p>
    <w:p>
      <w:pPr>
        <w:pStyle w:val="null3"/>
      </w:pPr>
      <w:r>
        <w:rPr>
          <w:rFonts w:ascii="仿宋_GB2312" w:hAnsi="仿宋_GB2312" w:cs="仿宋_GB2312" w:eastAsia="仿宋_GB2312"/>
        </w:rPr>
        <w:t>5、无重大违法声明：参加政府采购活动前3年内，在经营活动中没有重大违法记录的书面声明；</w:t>
      </w:r>
    </w:p>
    <w:p>
      <w:pPr>
        <w:pStyle w:val="null3"/>
      </w:pPr>
      <w:r>
        <w:rPr>
          <w:rFonts w:ascii="仿宋_GB2312" w:hAnsi="仿宋_GB2312" w:cs="仿宋_GB2312" w:eastAsia="仿宋_GB2312"/>
        </w:rPr>
        <w:t>6、履约能力承诺：具备履行合同所必需的设备和专业技术能力的证明材料(由供应商根据项目需求提供说明材料或者承诺)；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7、授权委托书：非法定代表人参加投标时，须提供法定代表人授权委托书（附法定代表人、被授权人身份证复印件）,被授权人身份证及授权代表在投标文件递交截止之日前在投标单位近3个月内任意一个月的社保证明；法定代表人直接参加投标，须提供法定代表人身份证明；</w:t>
      </w:r>
    </w:p>
    <w:p>
      <w:pPr>
        <w:pStyle w:val="null3"/>
      </w:pPr>
      <w:r>
        <w:rPr>
          <w:rFonts w:ascii="仿宋_GB2312" w:hAnsi="仿宋_GB2312" w:cs="仿宋_GB2312" w:eastAsia="仿宋_GB2312"/>
        </w:rPr>
        <w:t>8、信用查询：不得为“信用中国”网站(http://www.creditchina.gov.cn)列入“失信被执行人及重大税收违法失信主体及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西安市科学技术局（本级）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西安市凤城八路市政府2号楼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西安市科学技术局（本级）经办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029-86786645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伍仟元按伍仟元收取。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西安市科学技术局（本级）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西安市科学技术局（本级）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西安市科学技术局（本级）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按照国家相关规范的验收标准执行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科技局2025年科技创新服务项目的实施是加快西安区域科技创新中心建设、打造具有全球影响力的国家创新名城的重要举措。围绕培育科技企业梯队、促进科技产业融合、完善成果转化平台、营造创新氛围环境、促进农业科技发展等方面，主要涉及规上企业研发奖补服务、专项研究分析报告服务、科技企业创新积分制服务、高新技术企业火炬统计服务、常态化企业技术创新需求供需匹配服务、海外离岸创新创业平台支持服务、农业科技专项服务、“科创西安”活动组织服务、科技创新创业能力提升服务九方面内容。通过提供科技创新服务关键要素助力西安科技创新和产业创新深度融合，推动西安经济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西安市科技局2025年科技创新服务项目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标的名称：西安市科技局2025年科技创新服务项目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0"/>
              <w:jc w:val="both"/>
            </w:pPr>
            <w:r>
              <w:rPr>
                <w:rFonts w:ascii="仿宋_GB2312" w:hAnsi="仿宋_GB2312" w:cs="仿宋_GB2312" w:eastAsia="仿宋_GB2312"/>
                <w:sz w:val="18"/>
                <w:b/>
              </w:rPr>
              <w:t>服务</w:t>
            </w:r>
            <w:r>
              <w:rPr>
                <w:rFonts w:ascii="仿宋_GB2312" w:hAnsi="仿宋_GB2312" w:cs="仿宋_GB2312" w:eastAsia="仿宋_GB2312"/>
                <w:sz w:val="18"/>
                <w:b/>
              </w:rPr>
              <w:t>内容及指标主要有：</w:t>
            </w:r>
          </w:p>
          <w:p>
            <w:pPr>
              <w:pStyle w:val="null3"/>
              <w:ind w:firstLine="360"/>
              <w:jc w:val="both"/>
            </w:pPr>
            <w:r>
              <w:rPr>
                <w:rFonts w:ascii="仿宋_GB2312" w:hAnsi="仿宋_GB2312" w:cs="仿宋_GB2312" w:eastAsia="仿宋_GB2312"/>
                <w:sz w:val="18"/>
              </w:rPr>
              <w:t>一、</w:t>
            </w:r>
            <w:r>
              <w:rPr>
                <w:rFonts w:ascii="仿宋_GB2312" w:hAnsi="仿宋_GB2312" w:cs="仿宋_GB2312" w:eastAsia="仿宋_GB2312"/>
                <w:sz w:val="18"/>
              </w:rPr>
              <w:t>规上企业研发奖补服务</w:t>
            </w:r>
          </w:p>
          <w:p>
            <w:pPr>
              <w:pStyle w:val="null3"/>
              <w:ind w:firstLine="360"/>
              <w:jc w:val="both"/>
            </w:pPr>
            <w:r>
              <w:rPr>
                <w:rFonts w:ascii="仿宋_GB2312" w:hAnsi="仿宋_GB2312" w:cs="仿宋_GB2312" w:eastAsia="仿宋_GB2312"/>
                <w:sz w:val="18"/>
              </w:rPr>
              <w:t>聚焦我市全社会和规上企业研发投入强度稳定增长的任务。针对全市规上企业、科研院所等单位进行研发投入专项工作的实施与服务。计划联动区县（开发区）、服务机构配合市科技局开展不低于</w:t>
            </w:r>
            <w:r>
              <w:rPr>
                <w:rFonts w:ascii="仿宋_GB2312" w:hAnsi="仿宋_GB2312" w:cs="仿宋_GB2312" w:eastAsia="仿宋_GB2312"/>
                <w:sz w:val="18"/>
              </w:rPr>
              <w:t>10场次科技政策宣讲会、服务企业不低于1000家；负责服务机构日常管理工作：指导服务机构人员培训、沟通协调、信息统计、绩效考核。</w:t>
            </w:r>
          </w:p>
          <w:p>
            <w:pPr>
              <w:pStyle w:val="null3"/>
              <w:ind w:firstLine="360"/>
              <w:jc w:val="both"/>
            </w:pPr>
            <w:r>
              <w:rPr>
                <w:rFonts w:ascii="仿宋_GB2312" w:hAnsi="仿宋_GB2312" w:cs="仿宋_GB2312" w:eastAsia="仿宋_GB2312"/>
                <w:sz w:val="18"/>
              </w:rPr>
              <w:t>二、</w:t>
            </w:r>
            <w:r>
              <w:rPr>
                <w:rFonts w:ascii="仿宋_GB2312" w:hAnsi="仿宋_GB2312" w:cs="仿宋_GB2312" w:eastAsia="仿宋_GB2312"/>
                <w:sz w:val="18"/>
              </w:rPr>
              <w:t>专项研究分析报告服务</w:t>
            </w:r>
          </w:p>
          <w:p>
            <w:pPr>
              <w:pStyle w:val="null3"/>
              <w:ind w:firstLine="360"/>
              <w:jc w:val="both"/>
            </w:pPr>
            <w:r>
              <w:rPr>
                <w:rFonts w:ascii="仿宋_GB2312" w:hAnsi="仿宋_GB2312" w:cs="仿宋_GB2312" w:eastAsia="仿宋_GB2312"/>
                <w:sz w:val="18"/>
              </w:rPr>
              <w:t>完成《西安市规模以上高新技术企业发展报告》、《西安市规上企业研发投入分析研究报告》两项课题分析报告</w:t>
            </w:r>
          </w:p>
          <w:p>
            <w:pPr>
              <w:pStyle w:val="null3"/>
              <w:ind w:firstLine="360"/>
              <w:jc w:val="both"/>
            </w:pPr>
            <w:r>
              <w:rPr>
                <w:rFonts w:ascii="仿宋_GB2312" w:hAnsi="仿宋_GB2312" w:cs="仿宋_GB2312" w:eastAsia="仿宋_GB2312"/>
                <w:sz w:val="18"/>
              </w:rPr>
              <w:t>三、</w:t>
            </w:r>
            <w:r>
              <w:rPr>
                <w:rFonts w:ascii="仿宋_GB2312" w:hAnsi="仿宋_GB2312" w:cs="仿宋_GB2312" w:eastAsia="仿宋_GB2312"/>
                <w:sz w:val="18"/>
              </w:rPr>
              <w:t>科技企业创新积分制服务</w:t>
            </w:r>
          </w:p>
          <w:p>
            <w:pPr>
              <w:pStyle w:val="null3"/>
              <w:ind w:firstLine="360"/>
              <w:jc w:val="both"/>
            </w:pPr>
            <w:r>
              <w:rPr>
                <w:rFonts w:ascii="仿宋_GB2312" w:hAnsi="仿宋_GB2312" w:cs="仿宋_GB2312" w:eastAsia="仿宋_GB2312"/>
                <w:sz w:val="18"/>
              </w:rPr>
              <w:t>为深入贯彻党的二十届三中全会精神，认真落实全国科技大会和中央金融工作会议精神，加大支持科技金融力度，面向全市科技型企业开展</w:t>
            </w:r>
            <w:r>
              <w:rPr>
                <w:rFonts w:ascii="仿宋_GB2312" w:hAnsi="仿宋_GB2312" w:cs="仿宋_GB2312" w:eastAsia="仿宋_GB2312"/>
                <w:sz w:val="18"/>
              </w:rPr>
              <w:t>“创新积分制”信息征集工作，开展“创新积分制”相关培训5场，培训企业数量不少于500家，完成数据挖掘清洗、分析及国家科技管理信息系统数据报送操作等内容。加强已推荐企业的银企对接服务，及时跟踪贷款投放落地情况，提升科技型企业的融资便利度和可获得性，积极拓展创新积分应用场景，引导和撬动各类创新资源向创新能力突出的科技型企业集聚。</w:t>
            </w:r>
          </w:p>
          <w:p>
            <w:pPr>
              <w:pStyle w:val="null3"/>
              <w:ind w:firstLine="360"/>
              <w:jc w:val="both"/>
            </w:pPr>
            <w:r>
              <w:rPr>
                <w:rFonts w:ascii="仿宋_GB2312" w:hAnsi="仿宋_GB2312" w:cs="仿宋_GB2312" w:eastAsia="仿宋_GB2312"/>
                <w:sz w:val="18"/>
              </w:rPr>
              <w:t>四、</w:t>
            </w:r>
            <w:r>
              <w:rPr>
                <w:rFonts w:ascii="仿宋_GB2312" w:hAnsi="仿宋_GB2312" w:cs="仿宋_GB2312" w:eastAsia="仿宋_GB2312"/>
                <w:sz w:val="18"/>
              </w:rPr>
              <w:t>高新技术企业火炬统计调查工作</w:t>
            </w:r>
          </w:p>
          <w:p>
            <w:pPr>
              <w:pStyle w:val="null3"/>
              <w:ind w:firstLine="360"/>
              <w:jc w:val="both"/>
            </w:pPr>
            <w:r>
              <w:rPr>
                <w:rFonts w:ascii="仿宋_GB2312" w:hAnsi="仿宋_GB2312" w:cs="仿宋_GB2312" w:eastAsia="仿宋_GB2312"/>
                <w:sz w:val="18"/>
              </w:rPr>
              <w:t>根据国家相关要求，组织召开全市有效期内高新技术企业火炬统计培训会</w:t>
            </w:r>
            <w:r>
              <w:rPr>
                <w:rFonts w:ascii="仿宋_GB2312" w:hAnsi="仿宋_GB2312" w:cs="仿宋_GB2312" w:eastAsia="仿宋_GB2312"/>
                <w:sz w:val="18"/>
              </w:rPr>
              <w:t>2-3场次，培训企业不少于1000家。重点针对火炬统计易错问题进行梳理，编制火炬统计填报指南及相应指标解析文件，助力企业高质量完成火炬统计相关工作。围绕提升火炬统计数据质量工作要求，开展全市火炬统计数据摸底与辅导工作，确保企业合理、合规、真实地填报相关数据。对摸底数据中出现极值问题、数据结构不合理、增幅过快等情况进行分析与辅导。确保顺利完成火炬统计工作。</w:t>
            </w:r>
          </w:p>
          <w:p>
            <w:pPr>
              <w:pStyle w:val="null3"/>
              <w:ind w:firstLine="360"/>
              <w:jc w:val="both"/>
            </w:pPr>
            <w:r>
              <w:rPr>
                <w:rFonts w:ascii="仿宋_GB2312" w:hAnsi="仿宋_GB2312" w:cs="仿宋_GB2312" w:eastAsia="仿宋_GB2312"/>
                <w:sz w:val="18"/>
              </w:rPr>
              <w:t>五、</w:t>
            </w:r>
            <w:r>
              <w:rPr>
                <w:rFonts w:ascii="仿宋_GB2312" w:hAnsi="仿宋_GB2312" w:cs="仿宋_GB2312" w:eastAsia="仿宋_GB2312"/>
                <w:sz w:val="18"/>
              </w:rPr>
              <w:t>常态化企业技术创新需求供需匹配服务</w:t>
            </w:r>
          </w:p>
          <w:p>
            <w:pPr>
              <w:pStyle w:val="null3"/>
              <w:ind w:firstLine="360"/>
              <w:jc w:val="both"/>
            </w:pPr>
            <w:r>
              <w:rPr>
                <w:rFonts w:ascii="仿宋_GB2312" w:hAnsi="仿宋_GB2312" w:cs="仿宋_GB2312" w:eastAsia="仿宋_GB2312"/>
                <w:sz w:val="18"/>
              </w:rPr>
              <w:t>面向各区县、各开发区科技管理部门、相关园区、孵化器、众创空间等，组织政策宣讲</w:t>
            </w:r>
            <w:r>
              <w:rPr>
                <w:rFonts w:ascii="仿宋_GB2312" w:hAnsi="仿宋_GB2312" w:cs="仿宋_GB2312" w:eastAsia="仿宋_GB2312"/>
                <w:sz w:val="18"/>
              </w:rPr>
              <w:t>10次。对通过挑战赛平台成功对接并签订意向合作协议的双方，做好后续跟踪及配套服务，跟踪项目不少于150项，做好绩效评估以及项目中涉及的技术指标、合作方式等关键指标的落实，促成双方合作。通过现场走访、专家对接、政策咨询、科技金融赋能等服务方式，促成企业签订100项技术合同。协助科技局开展企业技术需求揭榜答题项目奖补兑现工作，包括现场走访、资料审核、组织审计等。</w:t>
            </w:r>
          </w:p>
          <w:p>
            <w:pPr>
              <w:pStyle w:val="null3"/>
              <w:ind w:firstLine="360"/>
              <w:jc w:val="both"/>
            </w:pPr>
            <w:r>
              <w:rPr>
                <w:rFonts w:ascii="仿宋_GB2312" w:hAnsi="仿宋_GB2312" w:cs="仿宋_GB2312" w:eastAsia="仿宋_GB2312"/>
                <w:sz w:val="18"/>
              </w:rPr>
              <w:t>六、</w:t>
            </w:r>
            <w:r>
              <w:rPr>
                <w:rFonts w:ascii="仿宋_GB2312" w:hAnsi="仿宋_GB2312" w:cs="仿宋_GB2312" w:eastAsia="仿宋_GB2312"/>
                <w:sz w:val="18"/>
              </w:rPr>
              <w:t>海外离岸创新创业平台支持服务</w:t>
            </w:r>
          </w:p>
          <w:p>
            <w:pPr>
              <w:pStyle w:val="null3"/>
              <w:ind w:firstLine="360"/>
              <w:jc w:val="both"/>
            </w:pPr>
            <w:r>
              <w:rPr>
                <w:rFonts w:ascii="仿宋_GB2312" w:hAnsi="仿宋_GB2312" w:cs="仿宋_GB2312" w:eastAsia="仿宋_GB2312"/>
                <w:sz w:val="18"/>
              </w:rPr>
              <w:t>针对我市重点产业链，调研</w:t>
            </w:r>
            <w:r>
              <w:rPr>
                <w:rFonts w:ascii="仿宋_GB2312" w:hAnsi="仿宋_GB2312" w:cs="仿宋_GB2312" w:eastAsia="仿宋_GB2312"/>
                <w:sz w:val="18"/>
              </w:rPr>
              <w:t>100家相关企业，开展政策宣传与解读3场次，挖掘潜在项目，对申报主体进行“一对一”辅导，扩大海外离岸创新创业平台项目覆盖面。协助科技局开展新一批海外离岸创新创业平台认定工作，并做好后续服务和指导。针对已认定且正常运营的第一批海外离岸创新创业平台，协助科技局开展绩效考评工作，持续跟进并做好后续服务和指导。针对之前认定的不参加绩效考评的其他海外离岸创新创业平台及时跟踪，了解运营情况，持续开展后续服务和指导。</w:t>
            </w:r>
          </w:p>
          <w:p>
            <w:pPr>
              <w:pStyle w:val="null3"/>
              <w:ind w:firstLine="360"/>
              <w:jc w:val="both"/>
            </w:pPr>
            <w:r>
              <w:rPr>
                <w:rFonts w:ascii="仿宋_GB2312" w:hAnsi="仿宋_GB2312" w:cs="仿宋_GB2312" w:eastAsia="仿宋_GB2312"/>
                <w:sz w:val="18"/>
              </w:rPr>
              <w:t>七、</w:t>
            </w:r>
            <w:r>
              <w:rPr>
                <w:rFonts w:ascii="仿宋_GB2312" w:hAnsi="仿宋_GB2312" w:cs="仿宋_GB2312" w:eastAsia="仿宋_GB2312"/>
                <w:sz w:val="18"/>
              </w:rPr>
              <w:t>农业科技专项服务</w:t>
            </w:r>
          </w:p>
          <w:p>
            <w:pPr>
              <w:pStyle w:val="null3"/>
              <w:ind w:firstLine="360"/>
              <w:jc w:val="both"/>
            </w:pPr>
            <w:r>
              <w:rPr>
                <w:rFonts w:ascii="仿宋_GB2312" w:hAnsi="仿宋_GB2312" w:cs="仿宋_GB2312" w:eastAsia="仿宋_GB2312"/>
                <w:sz w:val="18"/>
              </w:rPr>
              <w:t>协助科技局组织开展</w:t>
            </w:r>
            <w:r>
              <w:rPr>
                <w:rFonts w:ascii="仿宋_GB2312" w:hAnsi="仿宋_GB2312" w:cs="仿宋_GB2312" w:eastAsia="仿宋_GB2312"/>
                <w:sz w:val="18"/>
              </w:rPr>
              <w:t>2025年346名市派科技特派员全年工作总结、考核工作。协助实施省科技厅2025年“三区人才”专项，开展16个人才年度工作总结、考核工作。推荐不少于300名2026年市派科技特派员，市、区派科技特派员服务覆盖不少于100个镇街、1000个涉农行政村及科技特派员工作日常管理等。</w:t>
            </w:r>
          </w:p>
          <w:p>
            <w:pPr>
              <w:pStyle w:val="null3"/>
              <w:ind w:firstLine="360"/>
              <w:jc w:val="both"/>
            </w:pPr>
            <w:r>
              <w:rPr>
                <w:rFonts w:ascii="仿宋_GB2312" w:hAnsi="仿宋_GB2312" w:cs="仿宋_GB2312" w:eastAsia="仿宋_GB2312"/>
                <w:sz w:val="18"/>
              </w:rPr>
              <w:t>八、科创西安活动组织服务</w:t>
            </w:r>
          </w:p>
          <w:p>
            <w:pPr>
              <w:pStyle w:val="null3"/>
              <w:ind w:firstLine="360"/>
              <w:jc w:val="both"/>
            </w:pPr>
            <w:r>
              <w:rPr>
                <w:rFonts w:ascii="仿宋_GB2312" w:hAnsi="仿宋_GB2312" w:cs="仿宋_GB2312" w:eastAsia="仿宋_GB2312"/>
                <w:sz w:val="18"/>
              </w:rPr>
              <w:t>面向我市区县开发区、高校、科技企业等不少于</w:t>
            </w:r>
            <w:r>
              <w:rPr>
                <w:rFonts w:ascii="仿宋_GB2312" w:hAnsi="仿宋_GB2312" w:cs="仿宋_GB2312" w:eastAsia="仿宋_GB2312"/>
                <w:sz w:val="18"/>
              </w:rPr>
              <w:t>60 家主体开展“科创西安”活动的宣传推广工作，赴已纳入“科创西安”活动现场考察监督，收集活动总结材料包括活动总结报告和审计报告，并对提交的材料进行初步审核。组织不少于1场次评价会，对申报单位提交的材料以及活动现场跟踪考核情况围绕“活动目标评价”“活动成效评价”“活动影响评价”等指标进行综合评价，并编制评价总结报告。</w:t>
            </w:r>
          </w:p>
          <w:p>
            <w:pPr>
              <w:pStyle w:val="null3"/>
              <w:ind w:firstLine="360"/>
              <w:jc w:val="both"/>
            </w:pPr>
            <w:r>
              <w:rPr>
                <w:rFonts w:ascii="仿宋_GB2312" w:hAnsi="仿宋_GB2312" w:cs="仿宋_GB2312" w:eastAsia="仿宋_GB2312"/>
                <w:sz w:val="18"/>
              </w:rPr>
              <w:t>九、科技创新创业能力提升服务</w:t>
            </w:r>
          </w:p>
          <w:p>
            <w:pPr>
              <w:pStyle w:val="null3"/>
              <w:ind w:firstLine="360"/>
              <w:jc w:val="both"/>
            </w:pPr>
            <w:r>
              <w:rPr>
                <w:rFonts w:ascii="仿宋_GB2312" w:hAnsi="仿宋_GB2312" w:cs="仿宋_GB2312" w:eastAsia="仿宋_GB2312"/>
                <w:sz w:val="18"/>
              </w:rPr>
              <w:t>一是强化政策赋能。面向企业提供科技政策咨询及培训服务，助力企业发展，全年计划举办政策培训</w:t>
            </w:r>
            <w:r>
              <w:rPr>
                <w:rFonts w:ascii="仿宋_GB2312" w:hAnsi="仿宋_GB2312" w:cs="仿宋_GB2312" w:eastAsia="仿宋_GB2312"/>
                <w:sz w:val="18"/>
              </w:rPr>
              <w:t>2场次，服务企业不少于30次。</w:t>
            </w:r>
          </w:p>
          <w:p>
            <w:pPr>
              <w:pStyle w:val="null3"/>
              <w:ind w:firstLine="360"/>
              <w:jc w:val="both"/>
            </w:pPr>
            <w:r>
              <w:rPr>
                <w:rFonts w:ascii="仿宋_GB2312" w:hAnsi="仿宋_GB2312" w:cs="仿宋_GB2312" w:eastAsia="仿宋_GB2312"/>
                <w:sz w:val="18"/>
              </w:rPr>
              <w:t>二是加强项目创业辅导。组织创业技能培训，提升科创团队创业能力，服务企业不少于</w:t>
            </w:r>
            <w:r>
              <w:rPr>
                <w:rFonts w:ascii="仿宋_GB2312" w:hAnsi="仿宋_GB2312" w:cs="仿宋_GB2312" w:eastAsia="仿宋_GB2312"/>
                <w:sz w:val="18"/>
              </w:rPr>
              <w:t>30次。</w:t>
            </w:r>
          </w:p>
          <w:p>
            <w:pPr>
              <w:pStyle w:val="null3"/>
              <w:ind w:firstLine="360"/>
              <w:jc w:val="both"/>
            </w:pPr>
            <w:r>
              <w:rPr>
                <w:rFonts w:ascii="仿宋_GB2312" w:hAnsi="仿宋_GB2312" w:cs="仿宋_GB2312" w:eastAsia="仿宋_GB2312"/>
                <w:sz w:val="18"/>
              </w:rPr>
              <w:t>三是促进项目孵化落地。精准对接孵化载体、产业园资源，延伸孵化期培育服务链条，推动项目落地发展。服务企业不少于</w:t>
            </w:r>
            <w:r>
              <w:rPr>
                <w:rFonts w:ascii="仿宋_GB2312" w:hAnsi="仿宋_GB2312" w:cs="仿宋_GB2312" w:eastAsia="仿宋_GB2312"/>
                <w:sz w:val="18"/>
              </w:rPr>
              <w:t>10次。</w:t>
            </w:r>
          </w:p>
          <w:p>
            <w:pPr>
              <w:pStyle w:val="null3"/>
              <w:ind w:firstLine="360"/>
              <w:jc w:val="both"/>
            </w:pPr>
            <w:r>
              <w:rPr>
                <w:rFonts w:ascii="仿宋_GB2312" w:hAnsi="仿宋_GB2312" w:cs="仿宋_GB2312" w:eastAsia="仿宋_GB2312"/>
                <w:sz w:val="18"/>
              </w:rPr>
              <w:t>四是提升企业创新能力。通过链接高校科研成果、引荐产业链上下游企业等途径，实现资源共享、服务互促，为企业提供技术支撑，助力区域创业集群成长。全年计划举办产业对接活动</w:t>
            </w:r>
            <w:r>
              <w:rPr>
                <w:rFonts w:ascii="仿宋_GB2312" w:hAnsi="仿宋_GB2312" w:cs="仿宋_GB2312" w:eastAsia="仿宋_GB2312"/>
                <w:sz w:val="18"/>
              </w:rPr>
              <w:t>1场次，服务企业不少于10次。</w:t>
            </w:r>
          </w:p>
          <w:p>
            <w:pPr>
              <w:pStyle w:val="null3"/>
              <w:jc w:val="both"/>
            </w:pPr>
            <w:r>
              <w:rPr>
                <w:rFonts w:ascii="仿宋_GB2312" w:hAnsi="仿宋_GB2312" w:cs="仿宋_GB2312" w:eastAsia="仿宋_GB2312"/>
                <w:sz w:val="18"/>
              </w:rPr>
              <w:t xml:space="preserve">  五是营造产业创新生态。通过对接天使投资、信贷、产业基金等金融工具，辅导人才政策认定等方式，优化创业服务环境，形成区域良好的创业生态圈。全年计划举办金融培训</w:t>
            </w:r>
            <w:r>
              <w:rPr>
                <w:rFonts w:ascii="仿宋_GB2312" w:hAnsi="仿宋_GB2312" w:cs="仿宋_GB2312" w:eastAsia="仿宋_GB2312"/>
                <w:sz w:val="18"/>
              </w:rPr>
              <w:t>2场次，服务企业不少于20次。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361"/>
              <w:jc w:val="both"/>
            </w:pPr>
            <w:r>
              <w:rPr>
                <w:rFonts w:ascii="仿宋_GB2312" w:hAnsi="仿宋_GB2312" w:cs="仿宋_GB2312" w:eastAsia="仿宋_GB2312"/>
                <w:sz w:val="18"/>
                <w:b/>
              </w:rPr>
              <w:t>商务要求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1）服务期限</w:t>
            </w:r>
          </w:p>
          <w:p>
            <w:pPr>
              <w:pStyle w:val="null3"/>
              <w:ind w:firstLine="360"/>
              <w:jc w:val="both"/>
            </w:pPr>
            <w:r>
              <w:rPr>
                <w:rFonts w:ascii="仿宋_GB2312" w:hAnsi="仿宋_GB2312" w:cs="仿宋_GB2312" w:eastAsia="仿宋_GB2312"/>
                <w:sz w:val="18"/>
              </w:rPr>
              <w:t>自合同签订之日起至</w:t>
            </w:r>
            <w:r>
              <w:rPr>
                <w:rFonts w:ascii="仿宋_GB2312" w:hAnsi="仿宋_GB2312" w:cs="仿宋_GB2312" w:eastAsia="仿宋_GB2312"/>
                <w:sz w:val="18"/>
              </w:rPr>
              <w:t>2026年8月31日（以实际完成合同内容为准）</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2）款项结算</w:t>
            </w:r>
          </w:p>
          <w:p>
            <w:pPr>
              <w:pStyle w:val="null3"/>
              <w:jc w:val="both"/>
            </w:pPr>
            <w:r>
              <w:rPr>
                <w:rFonts w:ascii="仿宋_GB2312" w:hAnsi="仿宋_GB2312" w:cs="仿宋_GB2312" w:eastAsia="仿宋_GB2312"/>
                <w:sz w:val="18"/>
              </w:rPr>
              <w:t>合同正式生效后，支付合同价款的</w:t>
            </w:r>
            <w:r>
              <w:rPr>
                <w:rFonts w:ascii="仿宋_GB2312" w:hAnsi="仿宋_GB2312" w:cs="仿宋_GB2312" w:eastAsia="仿宋_GB2312"/>
                <w:sz w:val="18"/>
              </w:rPr>
              <w:t>67％；活动结束后，由甲方组织验收，验收合格后支付合同价款的33％</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381"/>
              <w:jc w:val="both"/>
            </w:pPr>
            <w:r>
              <w:rPr>
                <w:rFonts w:ascii="仿宋_GB2312" w:hAnsi="仿宋_GB2312" w:cs="仿宋_GB2312" w:eastAsia="仿宋_GB2312"/>
                <w:sz w:val="19"/>
                <w:b/>
              </w:rPr>
              <w:t>保密要求</w:t>
            </w:r>
          </w:p>
          <w:p>
            <w:pPr>
              <w:pStyle w:val="null3"/>
              <w:jc w:val="both"/>
            </w:pPr>
            <w:r>
              <w:rPr>
                <w:rFonts w:ascii="仿宋_GB2312" w:hAnsi="仿宋_GB2312" w:cs="仿宋_GB2312" w:eastAsia="仿宋_GB2312"/>
                <w:sz w:val="19"/>
              </w:rPr>
              <w:t>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385"/>
              <w:jc w:val="both"/>
            </w:pPr>
            <w:r>
              <w:rPr>
                <w:rFonts w:ascii="仿宋_GB2312" w:hAnsi="仿宋_GB2312" w:cs="仿宋_GB2312" w:eastAsia="仿宋_GB2312"/>
                <w:sz w:val="19"/>
                <w:b/>
              </w:rPr>
              <w:t>成果要求</w:t>
            </w:r>
          </w:p>
          <w:p>
            <w:pPr>
              <w:pStyle w:val="null3"/>
              <w:ind w:firstLine="288"/>
              <w:jc w:val="both"/>
            </w:pPr>
            <w:r>
              <w:rPr>
                <w:rFonts w:ascii="仿宋_GB2312" w:hAnsi="仿宋_GB2312" w:cs="仿宋_GB2312" w:eastAsia="仿宋_GB2312"/>
                <w:sz w:val="19"/>
              </w:rPr>
              <w:t>（</w:t>
            </w:r>
            <w:r>
              <w:rPr>
                <w:rFonts w:ascii="仿宋_GB2312" w:hAnsi="仿宋_GB2312" w:cs="仿宋_GB2312" w:eastAsia="仿宋_GB2312"/>
                <w:sz w:val="19"/>
              </w:rPr>
              <w:t>1）成果提交地点为采购方办公地；</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2）根据项目计划及采购方的明确要求，按时完成赛事活动各项工作。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385"/>
              <w:jc w:val="both"/>
            </w:pPr>
            <w:r>
              <w:rPr>
                <w:rFonts w:ascii="仿宋_GB2312" w:hAnsi="仿宋_GB2312" w:cs="仿宋_GB2312" w:eastAsia="仿宋_GB2312"/>
                <w:sz w:val="19"/>
                <w:b/>
              </w:rPr>
              <w:t>验收要求</w:t>
            </w:r>
          </w:p>
          <w:p>
            <w:pPr>
              <w:pStyle w:val="null3"/>
              <w:ind w:firstLine="385"/>
              <w:jc w:val="both"/>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服务期满或供应商提前完成合同内容满足验收条件，采购方对所有服务成果通过审核后，向供应商方出具服务验收单作为对供应商合同履约情况的最终认可。</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2）验收依据:合同文本、招标文件、投标文件。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自合同签订之日起至2026年8月31日（以实际完成合同内容为准）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①服务期满或供应商提前完成合同内容满足验收条件，采购方对所有服务成果通过审核后，向供应商方出具服务验收单作为对供应商合同履约情况的最终认可。②验收依据:合同文本、招标文件、投标文件。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活动结束后，由采购方组织验收，验收合格后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①本合同执行过程中，如发现相关事项约定不明确，或者履行监管程序受到限制需要增加、调整约定事项的，甲乙双方可对合同书相关条款进行变更，并签订补充协议或者重新签订合同书。 ②因不可抗力导致双方或某一方无法履行本合同书的，根据不可抗力的影响，可部分或者全部免除无法履约方的责任，法律另有规定的除外。 ③甲乙双方如因一方违反本合同书，应根据《民法典》的有关规定，向对方支付违约金。 ④因本合同书或执行本合同书产生的任何争议，应当由甲乙双方协商解决，如果协商不成，应将争议提交采购人所在地法院管辖。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的财务审计报告（至少包括资产负债表和利润表，成立时间至提交响应文件截止时间不足一年的可提供成立后任意时段的资产负债表），或开标前六个月内其基本存款账户开户银行出具的资信证明（出具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提供投标截止前半年内任意一个月的完税证明，依法免税的单位应提供相关证明材料；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提供投标截止前半年内任意一个月的缴纳社会保险凭证，依法不需要缴纳社会保障资金的单位应提供相关证明材料；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时，须提供法定代表人授权委托书（附法定代表人、被授权人身份证复印件）,被授权人身份证及授权代表在投标文件递交截止之日前在投标单位近3个月内任意一个月的社保证明；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及重大税收违法失信主体及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服务内容及服务邀请应答表 分项报价表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是否超出预算或最高限价</w:t>
            </w:r>
          </w:p>
        </w:tc>
        <w:tc>
          <w:tcPr>
            <w:tcW w:type="dxa" w:w="3322"/>
          </w:tcPr>
          <w:p>
            <w:pPr>
              <w:pStyle w:val="null3"/>
            </w:pPr>
            <w:r>
              <w:rPr>
                <w:rFonts w:ascii="仿宋_GB2312" w:hAnsi="仿宋_GB2312" w:cs="仿宋_GB2312" w:eastAsia="仿宋_GB2312"/>
              </w:rPr>
              <w:t>投标人投标报价未超出采购预算或最高限价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数量要求符合</w:t>
            </w:r>
          </w:p>
        </w:tc>
        <w:tc>
          <w:tcPr>
            <w:tcW w:type="dxa" w:w="3322"/>
          </w:tcPr>
          <w:p>
            <w:pPr>
              <w:pStyle w:val="null3"/>
            </w:pPr>
            <w:r>
              <w:rPr>
                <w:rFonts w:ascii="仿宋_GB2312" w:hAnsi="仿宋_GB2312" w:cs="仿宋_GB2312" w:eastAsia="仿宋_GB2312"/>
              </w:rPr>
              <w:t>投标内容没有出现漏项或数量与要求不符或投标内容的技术指标达不到招标文件要求，没有造成采购档次降低或影响采购性能、功能。</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总体服务规划及服务方案</w:t>
            </w:r>
          </w:p>
        </w:tc>
        <w:tc>
          <w:tcPr>
            <w:tcW w:type="dxa" w:w="2492"/>
          </w:tcPr>
          <w:p>
            <w:pPr>
              <w:pStyle w:val="null3"/>
            </w:pPr>
            <w:r>
              <w:rPr>
                <w:rFonts w:ascii="仿宋_GB2312" w:hAnsi="仿宋_GB2312" w:cs="仿宋_GB2312" w:eastAsia="仿宋_GB2312"/>
              </w:rPr>
              <w:t>投标人应根据招标文件的要求，分别提供详细的活动服务方案，服务内容包括但不限于以下内容：①规上企业研发奖补服务；②专项研究分析报告服务；③科技企业创新积分制服务；④高新技术企业火炬统计调查工作；⑤常态化企业技术创新需求供需匹配服务；⑥海外离岸创新创业平台支持服务；⑦农业科技专项服务；⑧科创西安活动组织服务；⑨科技创新创业能力提升服务。 1、以上内容不存在瑕疵计18-20分； 2、以上内容存在1处瑕疵计15-17分； 3、以上内容存在2处瑕疵计11-14分； 4、以上内容存在3处瑕疵计5-10分； 5、以上内容存在4处瑕疵计1-4分； 6、未提供或存在5处以上瑕疵计0分。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供应商针对本项目提供项目重点、难点分析及合理化建议，符合采购人实际需求，包括但不限于①重点、难点分析②应对措施③合理化建议等。 1、以上内容不存在瑕疵计8-10分； 2、以上内容存在1处瑕疵计4-7分； 3、以上内容存在2处瑕疵计1-3分；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供应商针对本项目提供的质量保证措施，包括但不限于①质量保障方案②质量目标③进度质量保证等。 1、以上内容不存在瑕疵计8-10分； 2、以上内容存在1处瑕疵计4-7分； 3、以上内容存在2处瑕疵计1-3分；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供应商针对本项目提供的进度保证措施，包括但不限于①项目的总体计划安排②各子项任务的衔接③保证工作进度计划措施等。 1、以上内容不存在瑕疵计8-10分； 2、以上内容存在1处瑕疵计4-7分； 3、以上内容存在2处瑕疵计1-3分；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针对本项目的项目团队组织机构，包括但不限于①团队人员配置清单及学历相关信息②团队人员管理方案；③从业经历等。 1、以上内容不存在瑕疵计8-10分； 2、以上内容存在1处瑕疵计4-7分； 3、以上内容存在2处瑕疵计1-3分；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对本次项目的服务承诺包含但不限于①针对本项目的各项服务质量目标②保障措施③服务响应时间④应急预案等。 1、以上内容不存在瑕疵计8-10分； 2、以上内容存在1处瑕疵计4-7分； 3、以上内容存在2处瑕疵计1-3分；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投标人2022年10月至今具有类似项目业绩，（以合同签订时间为准，提供合同复印件加盖投标人公章），每提供1个得2分，满分10分。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2、满足招标文件实质性要求且最终报价最低的投标人的价格为投标基准价，其价格分为满分20分。 3、投标报价得分＝（投标基准价／最终投标报价）x20。 4、投标报价不完整的，不进入投标基准价的计算，本项得0分。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