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5E0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分项报价表</w:t>
      </w:r>
    </w:p>
    <w:p w14:paraId="33AD02B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项目名称：        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</w:p>
    <w:p w14:paraId="4873E2EB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共   页，第   页</w:t>
      </w:r>
    </w:p>
    <w:tbl>
      <w:tblPr>
        <w:tblStyle w:val="5"/>
        <w:tblW w:w="49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12"/>
        <w:gridCol w:w="805"/>
        <w:gridCol w:w="1184"/>
        <w:gridCol w:w="952"/>
        <w:gridCol w:w="1271"/>
        <w:gridCol w:w="917"/>
        <w:gridCol w:w="1002"/>
        <w:gridCol w:w="740"/>
        <w:gridCol w:w="1280"/>
      </w:tblGrid>
      <w:tr w14:paraId="58B8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32" w:type="pct"/>
            <w:vAlign w:val="center"/>
          </w:tcPr>
          <w:p w14:paraId="270956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617" w:type="pct"/>
            <w:vAlign w:val="center"/>
          </w:tcPr>
          <w:p w14:paraId="4178B9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410" w:type="pct"/>
            <w:vAlign w:val="center"/>
          </w:tcPr>
          <w:p w14:paraId="152B31B3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603" w:type="pct"/>
            <w:vAlign w:val="center"/>
          </w:tcPr>
          <w:p w14:paraId="4DF0667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485" w:type="pct"/>
            <w:vAlign w:val="center"/>
          </w:tcPr>
          <w:p w14:paraId="025CD27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647" w:type="pct"/>
            <w:vAlign w:val="center"/>
          </w:tcPr>
          <w:p w14:paraId="3F9C06A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企业划型</w:t>
            </w:r>
          </w:p>
          <w:p w14:paraId="7D21BEF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14:paraId="2DD7A820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510" w:type="pct"/>
            <w:vAlign w:val="center"/>
          </w:tcPr>
          <w:p w14:paraId="768AF5A9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77" w:type="pct"/>
            <w:vAlign w:val="center"/>
          </w:tcPr>
          <w:p w14:paraId="186C37C5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单价(元)</w:t>
            </w:r>
          </w:p>
        </w:tc>
        <w:tc>
          <w:tcPr>
            <w:tcW w:w="647" w:type="pct"/>
            <w:vAlign w:val="center"/>
          </w:tcPr>
          <w:p w14:paraId="247DCAB8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合计(元)</w:t>
            </w:r>
          </w:p>
        </w:tc>
      </w:tr>
      <w:tr w14:paraId="079E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2F4098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617" w:type="pct"/>
            <w:tcBorders>
              <w:left w:val="single" w:color="auto" w:sz="4" w:space="0"/>
            </w:tcBorders>
            <w:vAlign w:val="center"/>
          </w:tcPr>
          <w:p w14:paraId="7F81F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 w14:paraId="5F1CE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03" w:type="pct"/>
            <w:tcBorders>
              <w:left w:val="single" w:color="auto" w:sz="4" w:space="0"/>
            </w:tcBorders>
            <w:vAlign w:val="center"/>
          </w:tcPr>
          <w:p w14:paraId="1E0801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vAlign w:val="center"/>
          </w:tcPr>
          <w:p w14:paraId="1AACFD83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21524CE4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color="auto" w:sz="4" w:space="0"/>
            </w:tcBorders>
            <w:vAlign w:val="center"/>
          </w:tcPr>
          <w:p w14:paraId="11B965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color="auto" w:sz="4" w:space="0"/>
            </w:tcBorders>
            <w:vAlign w:val="center"/>
          </w:tcPr>
          <w:p w14:paraId="3FF9D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377" w:type="pct"/>
            <w:tcBorders>
              <w:left w:val="single" w:color="auto" w:sz="4" w:space="0"/>
            </w:tcBorders>
            <w:vAlign w:val="center"/>
          </w:tcPr>
          <w:p w14:paraId="6329F467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197B2DD2">
            <w:pPr>
              <w:pStyle w:val="3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6EB0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0F2CDF8F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Arial" w:hAnsi="Arial" w:eastAsia="宋体" w:cs="Arial"/>
                <w:color w:val="auto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17" w:type="pct"/>
            <w:tcBorders>
              <w:left w:val="single" w:color="auto" w:sz="4" w:space="0"/>
            </w:tcBorders>
            <w:vAlign w:val="center"/>
          </w:tcPr>
          <w:p w14:paraId="57273FE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 w14:paraId="049B807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03" w:type="pct"/>
            <w:tcBorders>
              <w:left w:val="single" w:color="auto" w:sz="4" w:space="0"/>
            </w:tcBorders>
            <w:vAlign w:val="center"/>
          </w:tcPr>
          <w:p w14:paraId="4A4239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vAlign w:val="center"/>
          </w:tcPr>
          <w:p w14:paraId="2F32381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136E912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color="auto" w:sz="4" w:space="0"/>
            </w:tcBorders>
            <w:vAlign w:val="center"/>
          </w:tcPr>
          <w:p w14:paraId="1BB4A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color="auto" w:sz="4" w:space="0"/>
            </w:tcBorders>
            <w:vAlign w:val="center"/>
          </w:tcPr>
          <w:p w14:paraId="6F954A3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377" w:type="pct"/>
            <w:tcBorders>
              <w:left w:val="single" w:color="auto" w:sz="4" w:space="0"/>
            </w:tcBorders>
            <w:vAlign w:val="center"/>
          </w:tcPr>
          <w:p w14:paraId="146F8685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10D7DDDF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AAE9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2C7A0096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617" w:type="pct"/>
            <w:tcBorders>
              <w:left w:val="single" w:color="auto" w:sz="4" w:space="0"/>
            </w:tcBorders>
            <w:vAlign w:val="center"/>
          </w:tcPr>
          <w:p w14:paraId="41FAC9D5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 w14:paraId="13B8317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03" w:type="pct"/>
            <w:tcBorders>
              <w:left w:val="single" w:color="auto" w:sz="4" w:space="0"/>
            </w:tcBorders>
            <w:vAlign w:val="center"/>
          </w:tcPr>
          <w:p w14:paraId="11F49D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vAlign w:val="center"/>
          </w:tcPr>
          <w:p w14:paraId="0E97F6E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694065B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color="auto" w:sz="4" w:space="0"/>
            </w:tcBorders>
            <w:vAlign w:val="center"/>
          </w:tcPr>
          <w:p w14:paraId="170B4F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color="auto" w:sz="4" w:space="0"/>
            </w:tcBorders>
            <w:vAlign w:val="center"/>
          </w:tcPr>
          <w:p w14:paraId="1D1A82E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bidi="ar-SA"/>
              </w:rPr>
            </w:pPr>
          </w:p>
        </w:tc>
        <w:tc>
          <w:tcPr>
            <w:tcW w:w="377" w:type="pct"/>
            <w:tcBorders>
              <w:left w:val="single" w:color="auto" w:sz="4" w:space="0"/>
            </w:tcBorders>
            <w:vAlign w:val="center"/>
          </w:tcPr>
          <w:p w14:paraId="3BBD9929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19C50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3CAC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6AF040BE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17" w:type="pct"/>
            <w:tcBorders>
              <w:left w:val="single" w:color="auto" w:sz="4" w:space="0"/>
            </w:tcBorders>
            <w:vAlign w:val="center"/>
          </w:tcPr>
          <w:p w14:paraId="34377508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 w14:paraId="4137C82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03" w:type="pct"/>
            <w:tcBorders>
              <w:left w:val="single" w:color="auto" w:sz="4" w:space="0"/>
            </w:tcBorders>
            <w:vAlign w:val="center"/>
          </w:tcPr>
          <w:p w14:paraId="1ABAA5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vAlign w:val="center"/>
          </w:tcPr>
          <w:p w14:paraId="263D4BC6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27CD1FD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color="auto" w:sz="4" w:space="0"/>
            </w:tcBorders>
            <w:vAlign w:val="center"/>
          </w:tcPr>
          <w:p w14:paraId="214E41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10" w:type="pct"/>
            <w:tcBorders>
              <w:left w:val="single" w:color="auto" w:sz="4" w:space="0"/>
            </w:tcBorders>
            <w:vAlign w:val="center"/>
          </w:tcPr>
          <w:p w14:paraId="2E12AB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color="auto" w:sz="4" w:space="0"/>
            </w:tcBorders>
            <w:vAlign w:val="center"/>
          </w:tcPr>
          <w:p w14:paraId="6D7BF73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655DBDD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35F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32" w:type="pct"/>
            <w:vAlign w:val="center"/>
          </w:tcPr>
          <w:p w14:paraId="7E6CC54E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17" w:type="pct"/>
            <w:tcBorders>
              <w:left w:val="single" w:color="auto" w:sz="4" w:space="0"/>
            </w:tcBorders>
            <w:vAlign w:val="center"/>
          </w:tcPr>
          <w:p w14:paraId="0F36CF97">
            <w:pPr>
              <w:jc w:val="center"/>
              <w:rPr>
                <w:rFonts w:hint="eastAsia" w:ascii="宋体" w:hAnsi="宋体" w:eastAsia="宋体" w:cs="宋体"/>
                <w:color w:val="auto"/>
                <w:spacing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 w14:paraId="4C7B45C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03" w:type="pct"/>
            <w:tcBorders>
              <w:left w:val="single" w:color="auto" w:sz="4" w:space="0"/>
            </w:tcBorders>
            <w:vAlign w:val="center"/>
          </w:tcPr>
          <w:p w14:paraId="1EC755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color="auto" w:sz="4" w:space="0"/>
            </w:tcBorders>
            <w:vAlign w:val="center"/>
          </w:tcPr>
          <w:p w14:paraId="1FE9A9D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5FC0D6B1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color="auto" w:sz="4" w:space="0"/>
            </w:tcBorders>
            <w:vAlign w:val="center"/>
          </w:tcPr>
          <w:p w14:paraId="3E4AC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10" w:type="pct"/>
            <w:tcBorders>
              <w:left w:val="single" w:color="auto" w:sz="4" w:space="0"/>
            </w:tcBorders>
            <w:vAlign w:val="center"/>
          </w:tcPr>
          <w:p w14:paraId="3ED95E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color="auto" w:sz="4" w:space="0"/>
            </w:tcBorders>
            <w:vAlign w:val="center"/>
          </w:tcPr>
          <w:p w14:paraId="1B87E0DE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color="auto" w:sz="4" w:space="0"/>
            </w:tcBorders>
            <w:vAlign w:val="center"/>
          </w:tcPr>
          <w:p w14:paraId="248E3497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76670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1267813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报价（人民币大写）：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 xml:space="preserve">                    元）</w:t>
            </w:r>
          </w:p>
        </w:tc>
      </w:tr>
      <w:tr w14:paraId="02649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81CE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</w:tbl>
    <w:p w14:paraId="3C84AC8C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”一致。各子项分别报价。</w:t>
      </w:r>
    </w:p>
    <w:p w14:paraId="11C69071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。</w:t>
      </w:r>
    </w:p>
    <w:p w14:paraId="2D3F380D">
      <w:pPr>
        <w:pStyle w:val="3"/>
        <w:rPr>
          <w:rFonts w:hint="eastAsia" w:hAnsi="宋体"/>
          <w:color w:val="auto"/>
          <w:sz w:val="24"/>
          <w:szCs w:val="24"/>
        </w:rPr>
      </w:pPr>
    </w:p>
    <w:p w14:paraId="0CCEED7E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1F3A0A70">
      <w:pPr>
        <w:pStyle w:val="4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03D42CA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1E465AA5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</w:t>
      </w:r>
    </w:p>
    <w:p w14:paraId="61F22D2F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</w:t>
      </w:r>
    </w:p>
    <w:p w14:paraId="05001B28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84222"/>
    <w:rsid w:val="7E08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bidi="ar-SA"/>
    </w:rPr>
  </w:style>
  <w:style w:type="paragraph" w:styleId="3">
    <w:name w:val="Plain Text"/>
    <w:basedOn w:val="1"/>
    <w:qFormat/>
    <w:uiPriority w:val="0"/>
    <w:rPr>
      <w:rFonts w:ascii="宋体" w:hAns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2025-09-29T07:27:00Z</dcterms:created>
  <dc:creator>我在
丶等风</dc:creator>
  <cp:lastModifiedBy>我在
丶等风</cp:lastModifiedBy>
  <dcterms:modified xsi:type="dcterms:W3CDTF">2025-09-29T07:32:08Z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CA998815ABD941E2A0A1044A353E3B10_11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