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版本号：GCZB25-03520250929001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渭河西安城市段皂河以东至机场高速桥段堤南200m绿化林带及西安湖区域维修养护项目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GCZB25-035</w:t>
      </w:r>
      <w:r>
        <w:br/>
      </w:r>
      <w:r>
        <w:br/>
      </w:r>
      <w:r>
        <w:br/>
      </w:r>
    </w:p>
    <w:p>
      <w:pPr>
        <w:pStyle w:val="null3"/>
        <w:jc w:val="center"/>
        <w:outlineLvl w:val="2"/>
      </w:pPr>
      <w:r>
        <w:rPr>
          <w:rFonts w:ascii="仿宋_GB2312" w:hAnsi="仿宋_GB2312" w:cs="仿宋_GB2312" w:eastAsia="仿宋_GB2312"/>
          <w:sz w:val="28"/>
          <w:b/>
        </w:rPr>
        <w:t>西安市渭河生态管理中心</w:t>
      </w:r>
    </w:p>
    <w:p>
      <w:pPr>
        <w:pStyle w:val="null3"/>
        <w:jc w:val="center"/>
        <w:outlineLvl w:val="2"/>
      </w:pPr>
      <w:r>
        <w:rPr>
          <w:rFonts w:ascii="仿宋_GB2312" w:hAnsi="仿宋_GB2312" w:cs="仿宋_GB2312" w:eastAsia="仿宋_GB2312"/>
          <w:sz w:val="28"/>
          <w:b/>
        </w:rPr>
        <w:t>陕西国采项目管理有限公司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西安市渭河生态管理中心</w:t>
      </w:r>
      <w:r>
        <w:rPr>
          <w:rFonts w:ascii="仿宋_GB2312" w:hAnsi="仿宋_GB2312" w:cs="仿宋_GB2312" w:eastAsia="仿宋_GB2312"/>
        </w:rPr>
        <w:t>委托，拟对</w:t>
      </w:r>
      <w:r>
        <w:rPr>
          <w:rFonts w:ascii="仿宋_GB2312" w:hAnsi="仿宋_GB2312" w:cs="仿宋_GB2312" w:eastAsia="仿宋_GB2312"/>
        </w:rPr>
        <w:t>渭河西安城市段皂河以东至机场高速桥段堤南200m绿化林带及西安湖区域维修养护项目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GCZB25-035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渭河西安城市段皂河以东至机场高速桥段堤南200m绿化林带及西安湖区域维修养护项目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渭河西安城市段堤防背水坡坡脚以南，东至机场高速桥，西至皂河入渭口东岸的堤南200m绿化林带及堤内西安湖区域等进行维修养护，主要维修养护内容包括绿化养护、设施维护、保洁、巡查、安全生产、维修项目等。需满足的要求:严格按国家、地方颁发的管理规范及采购人相关管理考核标准，达到合格标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采购包1（渭河西安城市段皂河以东至机场高速桥段堤南200m绿化林带及西安湖区域维修养护项目）：属于专门面向中小企业采购。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1、供应商特定资格要求：无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西安市渭河生态管理中心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西安市未央区河堤路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涂工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029-86263595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西安市唐延路35号旺座现代城C座26层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029-81130182 18049538114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中标金额为基数，参照《招标代理服务收费管理暂行办法》的通知（计价格[2002]1980号）和《关于招标代理服务收费有关问题的通知》（发改办价格[2003]857号）的有关规定标准下浮20%计算收取。（2）采购代理服务费缴纳账户：开户名称：陕西国采项目管理有限公司，开户行：中国建设银行股份有限公司西安大庆路支行，账号：61050174360000000901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西安市渭河生态管理中心</w:t>
      </w:r>
      <w:r>
        <w:rPr>
          <w:rFonts w:ascii="仿宋_GB2312" w:hAnsi="仿宋_GB2312" w:cs="仿宋_GB2312" w:eastAsia="仿宋_GB2312"/>
        </w:rPr>
        <w:t>和</w:t>
      </w:r>
      <w:r>
        <w:rPr>
          <w:rFonts w:ascii="仿宋_GB2312" w:hAnsi="仿宋_GB2312" w:cs="仿宋_GB2312" w:eastAsia="仿宋_GB2312"/>
        </w:rPr>
        <w:t>陕西国采项目管理有限公司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西安市渭河生态管理中心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西安市渭河生态管理中心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符合国家、地方颁发的管理规范及采购人相关管理考核标准，达到合格标准。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联系电话：029-81130182 18049538114</w:t>
      </w:r>
    </w:p>
    <w:p>
      <w:pPr>
        <w:pStyle w:val="null3"/>
      </w:pPr>
      <w:r>
        <w:rPr>
          <w:rFonts w:ascii="仿宋_GB2312" w:hAnsi="仿宋_GB2312" w:cs="仿宋_GB2312" w:eastAsia="仿宋_GB2312"/>
        </w:rPr>
        <w:t>地址：西安市唐延路35号旺座现代城C座26层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渭河西安城市段堤防背水坡坡脚以南，东至机场高速桥，西至皂河入渭口东岸的堤南200m绿化林带及堤内西安湖区域等进行维修养护，主要维修养护内容包括绿化养护、设施维护、保洁、巡查、安全生产、维修项目等。需满足的要求:严格按国家、地方颁发的管理规范及采购人相关管理考核标准，达到合格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6,060,000.00</w:t>
      </w:r>
    </w:p>
    <w:p>
      <w:pPr>
        <w:pStyle w:val="null3"/>
      </w:pPr>
      <w:r>
        <w:rPr>
          <w:rFonts w:ascii="仿宋_GB2312" w:hAnsi="仿宋_GB2312" w:cs="仿宋_GB2312" w:eastAsia="仿宋_GB2312"/>
        </w:rPr>
        <w:t>采购包最高限价（元）: 6,060,000.00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渭河西安城市段皂河以东至机场高速桥段堤南200m绿化林带及西安湖区域维修养护项目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标的名称：渭河西安城市段皂河以东至机场高速桥段堤南200m绿化林带及西安湖区域维修养护项目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18"/>
              </w:rPr>
              <w:t>一、维修养护范围及养护期</w:t>
            </w:r>
          </w:p>
          <w:p>
            <w:pPr>
              <w:pStyle w:val="null3"/>
              <w:ind w:firstLine="400"/>
              <w:jc w:val="both"/>
            </w:pPr>
            <w:r>
              <w:rPr>
                <w:rFonts w:ascii="仿宋_GB2312" w:hAnsi="仿宋_GB2312" w:cs="仿宋_GB2312" w:eastAsia="仿宋_GB2312"/>
                <w:sz w:val="18"/>
              </w:rPr>
              <w:t>渭河西安城市段堤防背水坡坡脚以南，东至机场高速桥，西至皂河入渭口东岸的堤南200m绿化林带及堤内西安湖区域等。</w:t>
            </w:r>
          </w:p>
          <w:p>
            <w:pPr>
              <w:pStyle w:val="null3"/>
              <w:ind w:firstLine="400"/>
              <w:jc w:val="both"/>
            </w:pPr>
            <w:r>
              <w:rPr>
                <w:rFonts w:ascii="仿宋_GB2312" w:hAnsi="仿宋_GB2312" w:cs="仿宋_GB2312" w:eastAsia="仿宋_GB2312"/>
                <w:sz w:val="18"/>
              </w:rPr>
              <w:t>养护期限为2025年11月1日至2026年6月30日，共8个月。</w:t>
            </w:r>
          </w:p>
          <w:p>
            <w:pPr>
              <w:pStyle w:val="null3"/>
              <w:ind w:firstLine="400"/>
              <w:jc w:val="both"/>
            </w:pPr>
            <w:r>
              <w:rPr>
                <w:rFonts w:ascii="仿宋_GB2312" w:hAnsi="仿宋_GB2312" w:cs="仿宋_GB2312" w:eastAsia="仿宋_GB2312"/>
                <w:sz w:val="18"/>
              </w:rPr>
              <w:t>二、维修养护内容</w:t>
            </w:r>
          </w:p>
          <w:p>
            <w:pPr>
              <w:pStyle w:val="null3"/>
              <w:ind w:firstLine="400"/>
              <w:jc w:val="both"/>
            </w:pPr>
            <w:r>
              <w:rPr>
                <w:rFonts w:ascii="仿宋_GB2312" w:hAnsi="仿宋_GB2312" w:cs="仿宋_GB2312" w:eastAsia="仿宋_GB2312"/>
                <w:sz w:val="18"/>
              </w:rPr>
              <w:t>渭河西安城市段皂河以东至机场高速桥段堤南200m绿化林带及西安湖区域维修养护项目，主要维修养护内容包括绿化养护、设施维护、保洁、巡查、安全生产、维修项目等。具体如下：</w:t>
            </w:r>
          </w:p>
          <w:p>
            <w:pPr>
              <w:pStyle w:val="null3"/>
              <w:ind w:firstLine="400"/>
              <w:jc w:val="left"/>
            </w:pPr>
            <w:r>
              <w:rPr>
                <w:rFonts w:ascii="仿宋_GB2312" w:hAnsi="仿宋_GB2312" w:cs="仿宋_GB2312" w:eastAsia="仿宋_GB2312"/>
                <w:sz w:val="18"/>
              </w:rPr>
              <w:t>（一）皂河入渭口至机场高速桥段堤南200m绿化林带养护</w:t>
            </w:r>
          </w:p>
          <w:p>
            <w:pPr>
              <w:pStyle w:val="null3"/>
              <w:ind w:firstLine="400"/>
              <w:jc w:val="left"/>
            </w:pPr>
            <w:r>
              <w:rPr>
                <w:rFonts w:ascii="仿宋_GB2312" w:hAnsi="仿宋_GB2312" w:cs="仿宋_GB2312" w:eastAsia="仿宋_GB2312"/>
                <w:sz w:val="18"/>
              </w:rPr>
              <w:t>1.绿化及园路养护</w:t>
            </w:r>
          </w:p>
          <w:p>
            <w:pPr>
              <w:pStyle w:val="null3"/>
              <w:ind w:firstLine="400"/>
              <w:jc w:val="left"/>
            </w:pPr>
            <w:r>
              <w:rPr>
                <w:rFonts w:ascii="仿宋_GB2312" w:hAnsi="仿宋_GB2312" w:cs="仿宋_GB2312" w:eastAsia="仿宋_GB2312"/>
                <w:sz w:val="18"/>
              </w:rPr>
              <w:t>对皂河入渭口至机场高速桥段堤南200m核心段绿化林带进行养护965342㎡；对49374.1㎡园路、8090㎡广场进行日常保洁。</w:t>
            </w:r>
          </w:p>
          <w:p>
            <w:pPr>
              <w:pStyle w:val="null3"/>
              <w:ind w:firstLine="400"/>
              <w:jc w:val="left"/>
            </w:pPr>
            <w:r>
              <w:rPr>
                <w:rFonts w:ascii="仿宋_GB2312" w:hAnsi="仿宋_GB2312" w:cs="仿宋_GB2312" w:eastAsia="仿宋_GB2312"/>
                <w:sz w:val="18"/>
              </w:rPr>
              <w:t>2.设施设备日常维护</w:t>
            </w:r>
          </w:p>
          <w:p>
            <w:pPr>
              <w:pStyle w:val="null3"/>
              <w:ind w:firstLine="400"/>
              <w:jc w:val="left"/>
            </w:pPr>
            <w:r>
              <w:rPr>
                <w:rFonts w:ascii="仿宋_GB2312" w:hAnsi="仿宋_GB2312" w:cs="仿宋_GB2312" w:eastAsia="仿宋_GB2312"/>
                <w:sz w:val="18"/>
              </w:rPr>
              <w:t>对皂河入渭口至机场高速桥段堤南200m核心段路灯等电力设施进行维护，保证照明、灌溉、管理等正常用电；对井、泵等灌溉设施进行维修；对4处厕所进行日常维修；对厕所化粪池进行及时清理，保证无外溢情况，正常使用。</w:t>
            </w:r>
          </w:p>
          <w:p>
            <w:pPr>
              <w:pStyle w:val="null3"/>
              <w:ind w:firstLine="400"/>
              <w:jc w:val="left"/>
            </w:pPr>
            <w:r>
              <w:rPr>
                <w:rFonts w:ascii="仿宋_GB2312" w:hAnsi="仿宋_GB2312" w:cs="仿宋_GB2312" w:eastAsia="仿宋_GB2312"/>
                <w:sz w:val="18"/>
              </w:rPr>
              <w:t>3.保洁</w:t>
            </w:r>
          </w:p>
          <w:p>
            <w:pPr>
              <w:pStyle w:val="null3"/>
              <w:ind w:firstLine="400"/>
              <w:jc w:val="left"/>
            </w:pPr>
            <w:r>
              <w:rPr>
                <w:rFonts w:ascii="仿宋_GB2312" w:hAnsi="仿宋_GB2312" w:cs="仿宋_GB2312" w:eastAsia="仿宋_GB2312"/>
                <w:sz w:val="18"/>
              </w:rPr>
              <w:t>对皂河入渭口至机场高速桥段堤南200m核心段厕所进行日常保洁；对日常产生垃圾进行清运处理；对沿线垃圾桶进行维护、更换。</w:t>
            </w:r>
          </w:p>
          <w:p>
            <w:pPr>
              <w:pStyle w:val="null3"/>
              <w:ind w:firstLine="400"/>
              <w:jc w:val="left"/>
            </w:pPr>
            <w:r>
              <w:rPr>
                <w:rFonts w:ascii="仿宋_GB2312" w:hAnsi="仿宋_GB2312" w:cs="仿宋_GB2312" w:eastAsia="仿宋_GB2312"/>
                <w:sz w:val="18"/>
              </w:rPr>
              <w:t>4.巡查</w:t>
            </w:r>
          </w:p>
          <w:p>
            <w:pPr>
              <w:pStyle w:val="null3"/>
              <w:ind w:firstLine="400"/>
              <w:jc w:val="left"/>
            </w:pPr>
            <w:r>
              <w:rPr>
                <w:rFonts w:ascii="仿宋_GB2312" w:hAnsi="仿宋_GB2312" w:cs="仿宋_GB2312" w:eastAsia="仿宋_GB2312"/>
                <w:sz w:val="18"/>
              </w:rPr>
              <w:t>对皂河入渭口至机场高速桥段堤南200m林带进行24小时巡查，共12人。</w:t>
            </w:r>
          </w:p>
          <w:p>
            <w:pPr>
              <w:pStyle w:val="null3"/>
              <w:ind w:firstLine="400"/>
              <w:jc w:val="left"/>
            </w:pPr>
            <w:r>
              <w:rPr>
                <w:rFonts w:ascii="仿宋_GB2312" w:hAnsi="仿宋_GB2312" w:cs="仿宋_GB2312" w:eastAsia="仿宋_GB2312"/>
                <w:sz w:val="18"/>
              </w:rPr>
              <w:t>5.安全生产费</w:t>
            </w:r>
          </w:p>
          <w:p>
            <w:pPr>
              <w:pStyle w:val="null3"/>
              <w:ind w:firstLine="400"/>
              <w:jc w:val="left"/>
            </w:pPr>
            <w:r>
              <w:rPr>
                <w:rFonts w:ascii="仿宋_GB2312" w:hAnsi="仿宋_GB2312" w:cs="仿宋_GB2312" w:eastAsia="仿宋_GB2312"/>
                <w:sz w:val="18"/>
              </w:rPr>
              <w:t>对堤南区域90个宣传栏、警示牌等进行维护；对13处救生设施进行维护。</w:t>
            </w:r>
          </w:p>
          <w:p>
            <w:pPr>
              <w:pStyle w:val="null3"/>
              <w:ind w:firstLine="400"/>
              <w:jc w:val="left"/>
            </w:pPr>
            <w:r>
              <w:rPr>
                <w:rFonts w:ascii="仿宋_GB2312" w:hAnsi="仿宋_GB2312" w:cs="仿宋_GB2312" w:eastAsia="仿宋_GB2312"/>
                <w:sz w:val="18"/>
              </w:rPr>
              <w:t>6.基础设施维修</w:t>
            </w:r>
          </w:p>
          <w:p>
            <w:pPr>
              <w:pStyle w:val="null3"/>
              <w:ind w:firstLine="400"/>
              <w:jc w:val="left"/>
            </w:pPr>
            <w:r>
              <w:rPr>
                <w:rFonts w:ascii="仿宋_GB2312" w:hAnsi="仿宋_GB2312" w:cs="仿宋_GB2312" w:eastAsia="仿宋_GB2312"/>
                <w:sz w:val="18"/>
              </w:rPr>
              <w:t>对416㎡木栈道表面进行清理、磨平、开裂部位维修、刷漆维护等；对34处垃圾桶进行维修；对287㎡石材路、石子路、透水砖路、塑胶跑道等道路进行维修；对紫薇湖吊桥进行检修维护。</w:t>
            </w:r>
          </w:p>
          <w:p>
            <w:pPr>
              <w:pStyle w:val="null3"/>
              <w:ind w:firstLine="400"/>
              <w:jc w:val="left"/>
            </w:pPr>
            <w:r>
              <w:rPr>
                <w:rFonts w:ascii="仿宋_GB2312" w:hAnsi="仿宋_GB2312" w:cs="仿宋_GB2312" w:eastAsia="仿宋_GB2312"/>
                <w:sz w:val="18"/>
              </w:rPr>
              <w:t>（二）西安湖养护</w:t>
            </w:r>
          </w:p>
          <w:p>
            <w:pPr>
              <w:pStyle w:val="null3"/>
              <w:ind w:firstLine="400"/>
              <w:jc w:val="left"/>
            </w:pPr>
            <w:r>
              <w:rPr>
                <w:rFonts w:ascii="仿宋_GB2312" w:hAnsi="仿宋_GB2312" w:cs="仿宋_GB2312" w:eastAsia="仿宋_GB2312"/>
                <w:sz w:val="18"/>
              </w:rPr>
              <w:t>1.绿化园路养护</w:t>
            </w:r>
          </w:p>
          <w:p>
            <w:pPr>
              <w:pStyle w:val="null3"/>
              <w:ind w:firstLine="400"/>
              <w:jc w:val="left"/>
            </w:pPr>
            <w:r>
              <w:rPr>
                <w:rFonts w:ascii="仿宋_GB2312" w:hAnsi="仿宋_GB2312" w:cs="仿宋_GB2312" w:eastAsia="仿宋_GB2312"/>
                <w:sz w:val="18"/>
              </w:rPr>
              <w:t>对186.17亩防护林带及绿地、151152㎡灌木色带进行养护；对园区190120㎡草皮进行养护；对82894㎡园路、9590㎡广场路面进行日常保洁；对西安湖北岸进行日常打草。</w:t>
            </w:r>
          </w:p>
          <w:p>
            <w:pPr>
              <w:pStyle w:val="null3"/>
              <w:ind w:firstLine="400"/>
              <w:jc w:val="left"/>
            </w:pPr>
            <w:r>
              <w:rPr>
                <w:rFonts w:ascii="仿宋_GB2312" w:hAnsi="仿宋_GB2312" w:cs="仿宋_GB2312" w:eastAsia="仿宋_GB2312"/>
                <w:sz w:val="18"/>
              </w:rPr>
              <w:t>2.设施设备日常维护</w:t>
            </w:r>
          </w:p>
          <w:p>
            <w:pPr>
              <w:pStyle w:val="null3"/>
              <w:ind w:firstLine="400"/>
              <w:jc w:val="left"/>
            </w:pPr>
            <w:r>
              <w:rPr>
                <w:rFonts w:ascii="仿宋_GB2312" w:hAnsi="仿宋_GB2312" w:cs="仿宋_GB2312" w:eastAsia="仿宋_GB2312"/>
                <w:sz w:val="18"/>
              </w:rPr>
              <w:t>对西安湖段变电箱等电力设施进行维护，保证照明、灌溉、管理等正常用电；对井、泵等灌溉设施进行维修；对园区内厕所进行日常维修；对厕所化粪池进行及时清理，保证无外溢情况，正常使用。</w:t>
            </w:r>
          </w:p>
          <w:p>
            <w:pPr>
              <w:pStyle w:val="null3"/>
              <w:ind w:firstLine="400"/>
              <w:jc w:val="left"/>
            </w:pPr>
            <w:r>
              <w:rPr>
                <w:rFonts w:ascii="仿宋_GB2312" w:hAnsi="仿宋_GB2312" w:cs="仿宋_GB2312" w:eastAsia="仿宋_GB2312"/>
                <w:sz w:val="18"/>
              </w:rPr>
              <w:t>3.保洁</w:t>
            </w:r>
          </w:p>
          <w:p>
            <w:pPr>
              <w:pStyle w:val="null3"/>
              <w:ind w:firstLine="400"/>
              <w:jc w:val="left"/>
            </w:pPr>
            <w:r>
              <w:rPr>
                <w:rFonts w:ascii="仿宋_GB2312" w:hAnsi="仿宋_GB2312" w:cs="仿宋_GB2312" w:eastAsia="仿宋_GB2312"/>
                <w:sz w:val="18"/>
              </w:rPr>
              <w:t>对西安湖园区湖面、厕所、运动区等进行日常保洁；对日常产生垃圾进行清运处理；对沿线垃圾桶进行维护、更换。</w:t>
            </w:r>
          </w:p>
          <w:p>
            <w:pPr>
              <w:pStyle w:val="null3"/>
              <w:ind w:firstLine="400"/>
              <w:jc w:val="left"/>
            </w:pPr>
            <w:r>
              <w:rPr>
                <w:rFonts w:ascii="仿宋_GB2312" w:hAnsi="仿宋_GB2312" w:cs="仿宋_GB2312" w:eastAsia="仿宋_GB2312"/>
                <w:sz w:val="18"/>
              </w:rPr>
              <w:t>4.巡查</w:t>
            </w:r>
          </w:p>
          <w:p>
            <w:pPr>
              <w:pStyle w:val="null3"/>
              <w:ind w:firstLine="400"/>
              <w:jc w:val="left"/>
            </w:pPr>
            <w:r>
              <w:rPr>
                <w:rFonts w:ascii="仿宋_GB2312" w:hAnsi="仿宋_GB2312" w:cs="仿宋_GB2312" w:eastAsia="仿宋_GB2312"/>
                <w:sz w:val="18"/>
              </w:rPr>
              <w:t>对西安湖进行24小时巡查，共19人。</w:t>
            </w:r>
          </w:p>
          <w:p>
            <w:pPr>
              <w:pStyle w:val="null3"/>
              <w:ind w:firstLine="400"/>
              <w:jc w:val="left"/>
            </w:pPr>
            <w:r>
              <w:rPr>
                <w:rFonts w:ascii="仿宋_GB2312" w:hAnsi="仿宋_GB2312" w:cs="仿宋_GB2312" w:eastAsia="仿宋_GB2312"/>
                <w:sz w:val="18"/>
              </w:rPr>
              <w:t>5.水质维护</w:t>
            </w:r>
          </w:p>
          <w:p>
            <w:pPr>
              <w:pStyle w:val="null3"/>
              <w:ind w:firstLine="400"/>
              <w:jc w:val="left"/>
            </w:pPr>
            <w:r>
              <w:rPr>
                <w:rFonts w:ascii="仿宋_GB2312" w:hAnsi="仿宋_GB2312" w:cs="仿宋_GB2312" w:eastAsia="仿宋_GB2312"/>
                <w:sz w:val="18"/>
              </w:rPr>
              <w:t>对湖区每季度进行一次水质检测，进、排水口及中心区域（三组）进行取样；对湖区水面进行蓝藻、水绵消杀20960.1㎡。</w:t>
            </w:r>
          </w:p>
          <w:p>
            <w:pPr>
              <w:pStyle w:val="null3"/>
              <w:ind w:firstLine="400"/>
              <w:jc w:val="left"/>
            </w:pPr>
            <w:r>
              <w:rPr>
                <w:rFonts w:ascii="仿宋_GB2312" w:hAnsi="仿宋_GB2312" w:cs="仿宋_GB2312" w:eastAsia="仿宋_GB2312"/>
                <w:sz w:val="18"/>
              </w:rPr>
              <w:t>6.安全生产费</w:t>
            </w:r>
          </w:p>
          <w:p>
            <w:pPr>
              <w:pStyle w:val="null3"/>
              <w:ind w:firstLine="400"/>
              <w:jc w:val="left"/>
            </w:pPr>
            <w:r>
              <w:rPr>
                <w:rFonts w:ascii="仿宋_GB2312" w:hAnsi="仿宋_GB2312" w:cs="仿宋_GB2312" w:eastAsia="仿宋_GB2312"/>
                <w:sz w:val="18"/>
              </w:rPr>
              <w:t>对西安湖区域60个宣传警示牌等进行维护；对37处救生设施进行维护。</w:t>
            </w:r>
          </w:p>
          <w:p>
            <w:pPr>
              <w:pStyle w:val="null3"/>
              <w:ind w:firstLine="400"/>
              <w:jc w:val="left"/>
            </w:pPr>
            <w:r>
              <w:rPr>
                <w:rFonts w:ascii="仿宋_GB2312" w:hAnsi="仿宋_GB2312" w:cs="仿宋_GB2312" w:eastAsia="仿宋_GB2312"/>
                <w:sz w:val="18"/>
              </w:rPr>
              <w:t>7.基础设施维修</w:t>
            </w:r>
          </w:p>
          <w:p>
            <w:pPr>
              <w:pStyle w:val="null3"/>
              <w:ind w:firstLine="400"/>
              <w:jc w:val="left"/>
            </w:pPr>
            <w:r>
              <w:rPr>
                <w:rFonts w:ascii="仿宋_GB2312" w:hAnsi="仿宋_GB2312" w:cs="仿宋_GB2312" w:eastAsia="仿宋_GB2312"/>
                <w:sz w:val="18"/>
              </w:rPr>
              <w:t>对179㎡木栈道表面进行清理、磨平、开裂部位维修、刷漆维护等；对6处垃圾桶进行维修；对462㎡石材路、石子路、透水砖路、塑胶跑道等道路进行维修；对9600㎡沙滩区进行维护；对西安湖进、退水闸门进行维护。</w:t>
            </w:r>
          </w:p>
          <w:p>
            <w:pPr>
              <w:pStyle w:val="null3"/>
              <w:ind w:left="645"/>
              <w:jc w:val="both"/>
            </w:pPr>
            <w:r>
              <w:rPr>
                <w:rFonts w:ascii="仿宋_GB2312" w:hAnsi="仿宋_GB2312" w:cs="仿宋_GB2312" w:eastAsia="仿宋_GB2312"/>
                <w:sz w:val="18"/>
              </w:rPr>
              <w:t>（三）保险费</w:t>
            </w:r>
          </w:p>
          <w:p>
            <w:pPr>
              <w:pStyle w:val="null3"/>
              <w:jc w:val="both"/>
            </w:pPr>
            <w:r>
              <w:rPr>
                <w:rFonts w:ascii="仿宋_GB2312" w:hAnsi="仿宋_GB2312" w:cs="仿宋_GB2312" w:eastAsia="仿宋_GB2312"/>
                <w:sz w:val="18"/>
              </w:rPr>
              <w:t xml:space="preserve">    意外灾害等第三方责任险费用。</w:t>
            </w:r>
          </w:p>
          <w:p>
            <w:pPr>
              <w:pStyle w:val="null3"/>
              <w:ind w:firstLine="400"/>
              <w:jc w:val="both"/>
            </w:pPr>
            <w:r>
              <w:rPr>
                <w:rFonts w:ascii="仿宋_GB2312" w:hAnsi="仿宋_GB2312" w:cs="仿宋_GB2312" w:eastAsia="仿宋_GB2312"/>
                <w:sz w:val="18"/>
              </w:rPr>
              <w:t>（四）预备费</w:t>
            </w:r>
          </w:p>
          <w:p>
            <w:pPr>
              <w:pStyle w:val="null3"/>
              <w:ind w:firstLine="400"/>
              <w:jc w:val="both"/>
            </w:pPr>
            <w:r>
              <w:rPr>
                <w:rFonts w:ascii="仿宋_GB2312" w:hAnsi="仿宋_GB2312" w:cs="仿宋_GB2312" w:eastAsia="仿宋_GB2312"/>
                <w:sz w:val="18"/>
              </w:rPr>
              <w:t>按直接费用10%计算。</w:t>
            </w:r>
          </w:p>
          <w:p>
            <w:pPr>
              <w:pStyle w:val="null3"/>
              <w:numPr>
                <w:ilvl w:val="0"/>
                <w:numId w:val="1"/>
              </w:numPr>
              <w:jc w:val="both"/>
            </w:pPr>
            <w:r>
              <w:rPr>
                <w:rFonts w:ascii="仿宋_GB2312" w:hAnsi="仿宋_GB2312" w:cs="仿宋_GB2312" w:eastAsia="仿宋_GB2312"/>
                <w:sz w:val="18"/>
              </w:rPr>
              <w:t>服务内容明细</w:t>
            </w:r>
          </w:p>
          <w:tbl>
            <w:tblPr>
              <w:tblInd w:type="dxa" w:w="195"/>
              <w:tblBorders>
                <w:top w:val="none" w:color="000000" w:sz="4"/>
                <w:left w:val="none" w:color="000000" w:sz="4"/>
                <w:bottom w:val="none" w:color="000000" w:sz="4"/>
                <w:right w:val="none" w:color="000000" w:sz="4"/>
                <w:insideH w:val="none"/>
                <w:insideV w:val="none"/>
              </w:tblBorders>
            </w:tblPr>
            <w:tblGrid>
              <w:gridCol w:w="287"/>
              <w:gridCol w:w="702"/>
              <w:gridCol w:w="249"/>
              <w:gridCol w:w="324"/>
              <w:gridCol w:w="281"/>
              <w:gridCol w:w="691"/>
            </w:tblGrid>
            <w:tr>
              <w:tc>
                <w:tcPr>
                  <w:tcW w:type="dxa" w:w="2534"/>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渭河西安城市段皂河以东至机场高速桥段堤南200m绿化林带及西安湖区域维修养护项目服务内容明细表</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7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项目内容</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3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养护期限（月）</w:t>
                  </w:r>
                </w:p>
              </w:tc>
              <w:tc>
                <w:tcPr>
                  <w:tcW w:type="dxa" w:w="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 注</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一</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渭河西安城市段皂河以东至机场高速桥段堤南200m绿化林带及西安湖区域维修养护项目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养护期限为2025年11月1日-2026年6月30日，共计8个月。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（一）</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皂河入渭口至机场高速桥段堤南200m绿化林带养护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绿化及园路养护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林带及绿地养护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965342</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包括对965342㎡林带绿化进行日常养护。</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园路日常养护保洁</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49374.1</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包括堤南200米绿化带内园路保洁，附属设施保洁。3处停车场保洁，其中园路约40884㎡、管理中心停车场约990㎡、毕升路西侧停车场约2100㎡、横桥下停车场约5400㎡，园路共49374.1㎡。</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广场保洁</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8090</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紫薇湖广场730㎡、汉台广场7000㎡、堤南一段健身广场360㎡，共8090㎡。</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2</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设施设备日常维护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电力设施维护及电费</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①</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电费</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包括照明、灌溉、管理用电等费用。此项为暂列金，按30000元填报。</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②</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路灯等电力设施维护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包括约464盏路灯、19个变电箱、约26km电缆的常规养护、检修等，保证正常使用。此项为暂列金，按10000元填报。</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灌溉系统维修养护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包括23km灌溉管线，13处井泵的常规养护、检修等，保证正常使用。此项为暂列金，按10000元填报。</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厕所日常维护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①</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化粪池清理</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w:t>
                  </w:r>
                  <w:r>
                    <w:rPr>
                      <w:rFonts w:ascii="仿宋_GB2312" w:hAnsi="仿宋_GB2312" w:cs="仿宋_GB2312" w:eastAsia="仿宋_GB2312"/>
                      <w:sz w:val="18"/>
                    </w:rPr>
                    <w:t>³</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960</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根据实际情况对厕所化粪池进行及时清理，保证无外溢情况，正常使用。共4处厕所，每月约清理120m³，累计清理约960m³。</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②</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厕所维修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厕所设施维修，堤南共4处厕所，蹲位19个。此项为暂列金，按8000元填报。</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3</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保洁</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保洁人员工资</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人.月</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汉台南侧厕所1人、毕升路下堤路西侧厕所1人、中心办公楼厕所1人、紫薇湖厕所2人，厕所保洁共5人；牛郎湖2人、天璇湖1人、魁星湖1人及紫薇湖4人，湖面打捞养护共8人、景观渠（长度约550m）1人。共设置保洁14人。</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垃圾处理</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堤南林带日常垃圾进行集中处理。此项为暂列金，按52733元填报。</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垃圾桶维护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根据养护实际，对破损的垃圾桶进行更换，增设固定式双桶垃圾桶3个。</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4</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巡查</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巡查费用</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人.月</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包括皂河入渭口至机场高速桥段堤南200m林带的24小时巡查，共12人。</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5</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安全生产</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管理标志牌维修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处</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90</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对皂河入渭口至机场高速桥段堤南的90处标识牌进行刷新、维修，按照要求更换内容。包括宣传栏、警示牌等。</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安全设施维修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处</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共13处，包括救生圈、救生杆及设施打磨刷新等。</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6</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基础设施维修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木栈道维修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416</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对木栈道表面进行清理、磨平、开裂部位维修、刷漆维护，木栈道总面积416㎡，破损率取10%。</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垃圾桶维修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处</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双桶垃圾桶维修，包括刷漆、更换内胆等，共169个。</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园路维修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287</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石材路、石子路、透水砖路、塑胶跑道等道路总面积约49374.1㎡，广场总面积约8090㎡，破损率取0.5%</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紫薇湖吊桥检修维护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每月对吊桥的钢缆、螺栓、护栏进行除锈、刷漆等，每季度对横梁、锚固点、桥面破损进行一次维修。此项为暂列金，按10000元填报。</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（二）</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西安湖养护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绿化园路养护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防护林带及绿地养护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亩</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186.17</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养护内容包括浇水、除草、修枝、施肥、防害、涂白。</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灌木色带养护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151152</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按照精细化管护标准进行养护，对西安湖三标种植灌木面积135533㎡，皂河一期改造灌木面积15619m³。</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草皮养护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190120</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包括190120㎡草皮日常养护。</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园路日常保洁养护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82894</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括西安湖区域的园路保洁，附属设施及停车场保洁，其中7.5km环湖路宽6米，7.35km步道1.5米，2米宽游步道196㎡，停车场约4877㎡，皂河湿地生态改造园路4.5m宽混凝土路，1377㎡；2米园路透水砖，2126.97㎡，环湖步道至沉淀池广场及安保队监控室门前石材路：2711.47㎡，防浪林内道路1210.2㎡，西安湖三段杨树林道路300㎡，机场高速桥下停车场11000㎡，西安湖北岸集散广场2954㎡，节点小广场116㎡，共计82894㎡。</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广场保洁</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9590</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亲水平台及岸边节点小广场1900㎡，东、西码头广场面积6080㎡，沉淀池广场1610㎡，共9590m³。</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西安湖北岸打草</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186666</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打草280亩，包括西安湖北岸的打草，每季度至少打草一次。</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2</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设施设备日常维护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电力设施维护及电费</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①</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电费</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主要用于管理、灌溉用电费用等。此项为暂列金，按30000元填报。</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②</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电箱等电力设施维护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包括15处变电箱、约8km电缆、维护及相关电力设备的常规养护、检修等，保证正常使用。此项为暂列金，按10000元填报。</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灌溉系统维修养护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包括约14.1km灌溉管线，7处井泵的常规养护、检修等，保证正常使用。此项为暂列金，按20000元填报。</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厕所日常检查维护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①</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化粪池清理</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m³</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984</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根据实际情况对厕所化粪池进行及时清理，保证无外溢情况，正常使用。每月约清理123m³，累计清理约984m³</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②</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厕所维修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厕所设施维修，西安湖共2处厕所，蹲位26个。此项为暂列金，按944元填报。</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3</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保洁</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保洁人员工资</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人.月</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西安湖湖面养护5人，厕所2处4人，沙滩运动区1人，共计10人。</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垃圾处理</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西安湖日常垃圾处理。此项为暂列金，按50000元填报。</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垃圾桶维护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根据养护实际，对破损的垃圾桶进行更换，增设固定式双桶垃圾桶3个。</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4</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巡查</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巡查费用</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人.月</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西安湖游客流量大，水体面积很大、且经常发现飙车、偷钓等不文明行为，需巡查人员24小时巡查值守，劝导游客，共19人。</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5</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水质维护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水质监测</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次</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包括对湖区每季度进行一次水质检测，进、排水口及中心区域（三组）进行取样。</w:t>
                  </w:r>
                </w:p>
              </w:tc>
            </w:tr>
            <w:tr>
              <w:tc>
                <w:tcPr>
                  <w:tcW w:type="dxa" w:w="2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蓝藻、水绵消杀</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3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20960.1</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水面面积1572亩，按照湖区总面积2%处理。</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6</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安全生产</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管理标志牌维修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处</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对皂河入渭口至机场高速桥段堤南的60处标识牌进行刷新、维修，按照要求更换内容。包括宣传栏、警示牌等。</w:t>
                  </w:r>
                </w:p>
              </w:tc>
            </w:tr>
            <w:tr>
              <w:tc>
                <w:tcPr>
                  <w:tcW w:type="dxa" w:w="2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安全设施维修</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处</w:t>
                  </w:r>
                </w:p>
              </w:tc>
              <w:tc>
                <w:tcPr>
                  <w:tcW w:type="dxa" w:w="3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共37处，包括救生圈、救生杆及设施打磨刷新等。</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7</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基础设施维修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木栈道维修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179</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西安湖北岸木栈道660㎡、东西码头约950㎡、亲水平台180㎡，共1790㎡，破损率取10%。</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园路维修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462</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石子路、透水砖、沥青路等，约92483.6㎡，破损率取0.5%。</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垃圾桶维修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处</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双桶垃圾桶维修，包括刷漆、更换内胆等，共29个。</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沙滩区维护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对沙滩区总面积9600㎡，对约50㎡木质边框进行拆除、更换。此项为暂列金，按5000元填报。</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西安湖进、退水闸门维护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对西安湖区域3处闸门每月经常常规维护，保证正常使用。此项为暂列金，按3000元填报。</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二</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保险费</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三</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预备费</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按直接费用10%计算填报</w:t>
                  </w:r>
                </w:p>
              </w:tc>
            </w:tr>
          </w:tbl>
          <w:p>
            <w:pPr>
              <w:pStyle w:val="null3"/>
              <w:jc w:val="both"/>
            </w:pPr>
            <w:r>
              <w:rPr>
                <w:rFonts w:ascii="仿宋_GB2312" w:hAnsi="仿宋_GB2312" w:cs="仿宋_GB2312" w:eastAsia="仿宋_GB2312"/>
                <w:sz w:val="18"/>
              </w:rPr>
              <w:t>注：预备费（暂列金）是采购人为用于合同签订时尚未确定或者不可预见的所需材料、设备、服务的采购，实施过程中可能发生的变更、合同约定调整因素出现时的合同价款调整以及发生的索赔、现场签证确认等的费用，不应视为投标人所有，投标人投标报价时按招标人给定的数值计入投标报价中，当发生事项时，依据合同相关条款据实结算。</w:t>
            </w:r>
          </w:p>
          <w:p>
            <w:pPr>
              <w:pStyle w:val="null3"/>
              <w:jc w:val="both"/>
            </w:pPr>
            <w:r>
              <w:rPr>
                <w:rFonts w:ascii="仿宋_GB2312" w:hAnsi="仿宋_GB2312" w:cs="仿宋_GB2312" w:eastAsia="仿宋_GB2312"/>
                <w:sz w:val="18"/>
              </w:rPr>
              <w:t>三、主材、机械、人工单价按照以下执行</w:t>
            </w:r>
          </w:p>
          <w:p>
            <w:pPr>
              <w:pStyle w:val="null3"/>
              <w:jc w:val="both"/>
            </w:pPr>
            <w:r>
              <w:rPr>
                <w:rFonts w:ascii="仿宋_GB2312" w:hAnsi="仿宋_GB2312" w:cs="仿宋_GB2312" w:eastAsia="仿宋_GB2312"/>
                <w:sz w:val="18"/>
              </w:rPr>
              <w:t>表一</w:t>
            </w:r>
          </w:p>
          <w:tbl>
            <w:tblPr>
              <w:tblBorders>
                <w:top w:val="none" w:color="000000" w:sz="4"/>
                <w:left w:val="none" w:color="000000" w:sz="4"/>
                <w:bottom w:val="none" w:color="000000" w:sz="4"/>
                <w:right w:val="none" w:color="000000" w:sz="4"/>
                <w:insideH w:val="none"/>
                <w:insideV w:val="none"/>
              </w:tblBorders>
            </w:tblPr>
            <w:tblGrid>
              <w:gridCol w:w="151"/>
              <w:gridCol w:w="415"/>
              <w:gridCol w:w="341"/>
              <w:gridCol w:w="289"/>
              <w:gridCol w:w="255"/>
              <w:gridCol w:w="255"/>
              <w:gridCol w:w="250"/>
              <w:gridCol w:w="242"/>
              <w:gridCol w:w="333"/>
            </w:tblGrid>
            <w:tr>
              <w:tc>
                <w:tcPr>
                  <w:tcW w:type="dxa" w:w="2531"/>
                  <w:gridSpan w:val="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人工单价汇总表</w:t>
                  </w:r>
                </w:p>
              </w:tc>
            </w:tr>
            <w:tr>
              <w:tc>
                <w:tcPr>
                  <w:tcW w:type="dxa" w:w="2531"/>
                  <w:gridSpan w:val="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单位：元</w:t>
                  </w:r>
                </w:p>
              </w:tc>
            </w:tr>
            <w:tr>
              <w:tc>
                <w:tcPr>
                  <w:tcW w:type="dxa" w:w="1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编号</w:t>
                  </w:r>
                </w:p>
              </w:tc>
              <w:tc>
                <w:tcPr>
                  <w:tcW w:type="dxa" w:w="41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工程名称</w:t>
                  </w:r>
                </w:p>
              </w:tc>
              <w:tc>
                <w:tcPr>
                  <w:tcW w:type="dxa" w:w="34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28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w:t>
                  </w:r>
                </w:p>
              </w:tc>
              <w:tc>
                <w:tcPr>
                  <w:tcW w:type="dxa" w:w="133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          中</w:t>
                  </w:r>
                </w:p>
              </w:tc>
            </w:tr>
            <w:tr>
              <w:tc>
                <w:tcPr>
                  <w:tcW w:type="dxa" w:w="151"/>
                  <w:vMerge/>
                  <w:tcBorders>
                    <w:top w:val="none" w:color="000000" w:sz="4"/>
                    <w:left w:val="single" w:color="000000" w:sz="4"/>
                    <w:bottom w:val="single" w:color="000000" w:sz="4"/>
                    <w:right w:val="single" w:color="000000" w:sz="4"/>
                  </w:tcBorders>
                </w:tcPr>
                <w:p/>
              </w:tc>
              <w:tc>
                <w:tcPr>
                  <w:tcW w:type="dxa" w:w="415"/>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289"/>
                  <w:vMerge/>
                  <w:tcBorders>
                    <w:top w:val="single" w:color="000000" w:sz="4"/>
                    <w:left w:val="none" w:color="000000" w:sz="4"/>
                    <w:bottom w:val="single" w:color="000000" w:sz="4"/>
                    <w:right w:val="single" w:color="000000" w:sz="4"/>
                  </w:tcBorders>
                </w:tc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直接费</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间接费</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利润</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价差</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税金</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普工</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技工</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计日工</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土石方人工费（普工）</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63.84</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52.625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3.16</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2.79</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5.27</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土石方人工费（技工）</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95.76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78.9375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安装工程人工费</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142.27</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79.305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0.00</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11.75</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金属结构人工除锈喷漆</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24.42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w:t>
                  </w:r>
                </w:p>
              </w:tc>
            </w:tr>
          </w:tbl>
          <w:p>
            <w:pPr>
              <w:pStyle w:val="null3"/>
              <w:jc w:val="both"/>
            </w:pPr>
            <w:r>
              <w:rPr>
                <w:rFonts w:ascii="仿宋_GB2312" w:hAnsi="仿宋_GB2312" w:cs="仿宋_GB2312" w:eastAsia="仿宋_GB2312"/>
                <w:sz w:val="18"/>
              </w:rPr>
              <w:t>表二：</w:t>
            </w:r>
          </w:p>
          <w:tbl>
            <w:tblPr>
              <w:tblBorders>
                <w:top w:val="none" w:color="000000" w:sz="4"/>
                <w:left w:val="none" w:color="000000" w:sz="4"/>
                <w:bottom w:val="none" w:color="000000" w:sz="4"/>
                <w:right w:val="none" w:color="000000" w:sz="4"/>
                <w:insideH w:val="none"/>
                <w:insideV w:val="none"/>
              </w:tblBorders>
            </w:tblPr>
            <w:tblGrid>
              <w:gridCol w:w="140"/>
              <w:gridCol w:w="148"/>
              <w:gridCol w:w="127"/>
              <w:gridCol w:w="135"/>
              <w:gridCol w:w="199"/>
              <w:gridCol w:w="165"/>
              <w:gridCol w:w="127"/>
              <w:gridCol w:w="186"/>
              <w:gridCol w:w="195"/>
              <w:gridCol w:w="182"/>
              <w:gridCol w:w="203"/>
              <w:gridCol w:w="199"/>
              <w:gridCol w:w="135"/>
              <w:gridCol w:w="182"/>
              <w:gridCol w:w="195"/>
            </w:tblGrid>
            <w:tr>
              <w:tc>
                <w:tcPr>
                  <w:tcW w:type="dxa" w:w="2518"/>
                  <w:gridSpan w:val="1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主要材料预算价格计算表</w:t>
                  </w:r>
                </w:p>
              </w:tc>
            </w:tr>
            <w:tr>
              <w:tc>
                <w:tcPr>
                  <w:tcW w:type="dxa" w:w="1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编号</w:t>
                  </w:r>
                </w:p>
              </w:tc>
              <w:tc>
                <w:tcPr>
                  <w:tcW w:type="dxa" w:w="14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名称及规格</w:t>
                  </w:r>
                </w:p>
              </w:tc>
              <w:tc>
                <w:tcPr>
                  <w:tcW w:type="dxa" w:w="12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1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原价依据</w:t>
                  </w:r>
                </w:p>
              </w:tc>
              <w:tc>
                <w:tcPr>
                  <w:tcW w:type="dxa" w:w="19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预算             价格</w:t>
                  </w:r>
                </w:p>
              </w:tc>
              <w:tc>
                <w:tcPr>
                  <w:tcW w:type="dxa" w:w="1392"/>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  中（金额元）</w:t>
                  </w:r>
                </w:p>
              </w:tc>
              <w:tc>
                <w:tcPr>
                  <w:tcW w:type="dxa" w:w="18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陕水预（2017）规定价</w:t>
                  </w:r>
                </w:p>
              </w:tc>
              <w:tc>
                <w:tcPr>
                  <w:tcW w:type="dxa" w:w="1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价差</w:t>
                  </w:r>
                </w:p>
              </w:tc>
            </w:tr>
            <w:tr>
              <w:tc>
                <w:tcPr>
                  <w:tcW w:type="dxa" w:w="140"/>
                  <w:vMerge/>
                  <w:tcBorders>
                    <w:top w:val="none" w:color="000000" w:sz="4"/>
                    <w:left w:val="single" w:color="000000" w:sz="4"/>
                    <w:bottom w:val="single" w:color="000000" w:sz="4"/>
                    <w:right w:val="single" w:color="000000" w:sz="4"/>
                  </w:tcBorders>
                </w:tcPr>
                <w:p/>
              </w:tc>
              <w:tc>
                <w:tcPr>
                  <w:tcW w:type="dxa" w:w="148"/>
                  <w:vMerge/>
                  <w:tcBorders>
                    <w:top w:val="single" w:color="000000" w:sz="4"/>
                    <w:left w:val="none" w:color="000000" w:sz="4"/>
                    <w:bottom w:val="single" w:color="000000" w:sz="4"/>
                    <w:right w:val="single" w:color="000000" w:sz="4"/>
                  </w:tcBorders>
                </w:tcPr>
                <w:p/>
              </w:tc>
              <w:tc>
                <w:tcPr>
                  <w:tcW w:type="dxa" w:w="127"/>
                  <w:vMerge/>
                  <w:tcBorders>
                    <w:top w:val="single" w:color="000000" w:sz="4"/>
                    <w:left w:val="none" w:color="000000" w:sz="4"/>
                    <w:bottom w:val="single" w:color="000000" w:sz="4"/>
                    <w:right w:val="single" w:color="000000" w:sz="4"/>
                  </w:tcBorders>
                </w:tcPr>
                <w:p/>
              </w:tc>
              <w:tc>
                <w:tcPr>
                  <w:tcW w:type="dxa" w:w="135"/>
                  <w:vMerge/>
                  <w:tcBorders>
                    <w:top w:val="single" w:color="000000" w:sz="4"/>
                    <w:left w:val="none" w:color="000000" w:sz="4"/>
                    <w:bottom w:val="single" w:color="000000" w:sz="4"/>
                    <w:right w:val="single" w:color="000000" w:sz="4"/>
                  </w:tcBorders>
                </w:tcPr>
                <w:p/>
              </w:tc>
              <w:tc>
                <w:tcPr>
                  <w:tcW w:type="dxa" w:w="199"/>
                  <w:vMerge/>
                  <w:tcBorders>
                    <w:top w:val="single" w:color="000000" w:sz="4"/>
                    <w:left w:val="none" w:color="000000" w:sz="4"/>
                    <w:bottom w:val="single" w:color="000000" w:sz="4"/>
                    <w:right w:val="single" w:color="000000" w:sz="4"/>
                  </w:tcBorders>
                </w:tcPr>
                <w:p/>
              </w:tc>
              <w:tc>
                <w:tcPr>
                  <w:tcW w:type="dxa" w:w="1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原价  （调查）</w:t>
                  </w:r>
                </w:p>
              </w:tc>
              <w:tc>
                <w:tcPr>
                  <w:tcW w:type="dxa" w:w="1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包装费</w:t>
                  </w:r>
                </w:p>
              </w:tc>
              <w:tc>
                <w:tcPr>
                  <w:tcW w:type="dxa" w:w="56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运杂费</w:t>
                  </w:r>
                </w:p>
              </w:tc>
              <w:tc>
                <w:tcPr>
                  <w:tcW w:type="dxa" w:w="20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运到工地仓库价格</w:t>
                  </w:r>
                </w:p>
              </w:tc>
              <w:tc>
                <w:tcPr>
                  <w:tcW w:type="dxa" w:w="19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采购及保管费（3%）</w:t>
                  </w:r>
                </w:p>
              </w:tc>
              <w:tc>
                <w:tcPr>
                  <w:tcW w:type="dxa" w:w="1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运输保险费</w:t>
                  </w:r>
                </w:p>
              </w:tc>
            </w:tr>
            <w:tr>
              <w:tc>
                <w:tcPr>
                  <w:tcW w:type="dxa" w:w="140"/>
                  <w:vMerge/>
                  <w:tcBorders>
                    <w:top w:val="none" w:color="000000" w:sz="4"/>
                    <w:left w:val="single" w:color="000000" w:sz="4"/>
                    <w:bottom w:val="single" w:color="000000" w:sz="4"/>
                    <w:right w:val="single" w:color="000000" w:sz="4"/>
                  </w:tcBorders>
                </w:tcPr>
                <w:p/>
              </w:tc>
              <w:tc>
                <w:tcPr>
                  <w:tcW w:type="dxa" w:w="148"/>
                  <w:vMerge/>
                  <w:tcBorders>
                    <w:top w:val="single" w:color="000000" w:sz="4"/>
                    <w:left w:val="none" w:color="000000" w:sz="4"/>
                    <w:bottom w:val="single" w:color="000000" w:sz="4"/>
                    <w:right w:val="single" w:color="000000" w:sz="4"/>
                  </w:tcBorders>
                </w:tcPr>
                <w:p/>
              </w:tc>
              <w:tc>
                <w:tcPr>
                  <w:tcW w:type="dxa" w:w="127"/>
                  <w:vMerge/>
                  <w:tcBorders>
                    <w:top w:val="single" w:color="000000" w:sz="4"/>
                    <w:left w:val="none" w:color="000000" w:sz="4"/>
                    <w:bottom w:val="single" w:color="000000" w:sz="4"/>
                    <w:right w:val="single" w:color="000000" w:sz="4"/>
                  </w:tcBorders>
                </w:tcPr>
                <w:p/>
              </w:tc>
              <w:tc>
                <w:tcPr>
                  <w:tcW w:type="dxa" w:w="135"/>
                  <w:vMerge/>
                  <w:tcBorders>
                    <w:top w:val="single" w:color="000000" w:sz="4"/>
                    <w:left w:val="none" w:color="000000" w:sz="4"/>
                    <w:bottom w:val="single" w:color="000000" w:sz="4"/>
                    <w:right w:val="single" w:color="000000" w:sz="4"/>
                  </w:tcBorders>
                </w:tcPr>
                <w:p/>
              </w:tc>
              <w:tc>
                <w:tcPr>
                  <w:tcW w:type="dxa" w:w="199"/>
                  <w:vMerge/>
                  <w:tcBorders>
                    <w:top w:val="singl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小计</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单位运费（元）</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单位毛重（吨）</w:t>
                  </w:r>
                </w:p>
              </w:tc>
              <w:tc>
                <w:tcPr>
                  <w:tcW w:type="dxa" w:w="203"/>
                  <w:vMerge/>
                  <w:tcBorders>
                    <w:top w:val="single" w:color="000000" w:sz="4"/>
                    <w:left w:val="none" w:color="000000" w:sz="4"/>
                    <w:bottom w:val="single" w:color="000000" w:sz="4"/>
                    <w:right w:val="single" w:color="000000" w:sz="4"/>
                  </w:tcBorders>
                </w:tcPr>
                <w:p/>
              </w:tc>
              <w:tc>
                <w:tcPr>
                  <w:tcW w:type="dxa" w:w="199"/>
                  <w:vMerge/>
                  <w:tcBorders>
                    <w:top w:val="single" w:color="000000" w:sz="4"/>
                    <w:left w:val="none" w:color="000000" w:sz="4"/>
                    <w:bottom w:val="single" w:color="000000" w:sz="4"/>
                    <w:right w:val="single" w:color="000000" w:sz="4"/>
                  </w:tcBorders>
                </w:tcPr>
                <w:p/>
              </w:tc>
              <w:tc>
                <w:tcPr>
                  <w:tcW w:type="dxa" w:w="135"/>
                  <w:vMerge/>
                  <w:tcBorders>
                    <w:top w:val="single" w:color="000000" w:sz="4"/>
                    <w:left w:val="none" w:color="000000" w:sz="4"/>
                    <w:bottom w:val="single" w:color="000000" w:sz="4"/>
                    <w:right w:val="single" w:color="000000" w:sz="4"/>
                  </w:tcBorders>
                </w:tcPr>
                <w:p/>
              </w:tc>
              <w:tc>
                <w:tcPr>
                  <w:tcW w:type="dxa" w:w="182"/>
                  <w:vMerge/>
                  <w:tcBorders>
                    <w:top w:val="single" w:color="000000" w:sz="4"/>
                    <w:left w:val="none" w:color="000000" w:sz="4"/>
                    <w:bottom w:val="single" w:color="000000" w:sz="4"/>
                    <w:right w:val="single" w:color="000000" w:sz="4"/>
                  </w:tcBorders>
                </w:tcPr>
                <w:p/>
              </w:tc>
              <w:tc>
                <w:tcPr>
                  <w:tcW w:type="dxa" w:w="195"/>
                  <w:vMerge/>
                  <w:tcBorders>
                    <w:top w:val="single" w:color="000000" w:sz="4"/>
                    <w:left w:val="none" w:color="000000" w:sz="4"/>
                    <w:bottom w:val="single" w:color="000000" w:sz="4"/>
                    <w:right w:val="single" w:color="000000" w:sz="4"/>
                  </w:tcBorders>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块石</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186.52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127.45</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53.64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31.55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181.09</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136.52</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铅丝</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5524.05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5339.81</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23.35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23.35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5363.16</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160.89</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柴油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7.93</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4.02</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石渣</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183.27</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127.45</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50.48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C00000"/>
                    </w:rPr>
                    <w:t>31.55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177.93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5.34</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113.27</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碎石</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199.91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147.06</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194.08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129.91</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砂子</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160.95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147.06</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156.27</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4.69</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110.95</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水泥</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511.83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486.73</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496.93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14.91</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251.83</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汽油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8.49</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9.59</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4.99</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板枋材</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2106.86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2035.40</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2045.50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61.36</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606.86</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白灰</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粘土</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油漆</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农药</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kw.h</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0.65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0.65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煤</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木柴</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0.50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0.50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商品砼</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草皮</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技工</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工日</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普工</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工日</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18"/>
              </w:rPr>
              <w:t>表三：</w:t>
            </w:r>
          </w:p>
          <w:tbl>
            <w:tblPr>
              <w:tblBorders>
                <w:top w:val="none" w:color="000000" w:sz="4"/>
                <w:left w:val="none" w:color="000000" w:sz="4"/>
                <w:bottom w:val="none" w:color="000000" w:sz="4"/>
                <w:right w:val="none" w:color="000000" w:sz="4"/>
                <w:insideH w:val="none"/>
                <w:insideV w:val="none"/>
              </w:tblBorders>
            </w:tblPr>
            <w:tblGrid>
              <w:gridCol w:w="217"/>
              <w:gridCol w:w="789"/>
              <w:gridCol w:w="401"/>
              <w:gridCol w:w="559"/>
              <w:gridCol w:w="580"/>
            </w:tblGrid>
            <w:tr>
              <w:tc>
                <w:tcPr>
                  <w:tcW w:type="dxa" w:w="2546"/>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施工机械台班费汇总表</w:t>
                  </w:r>
                </w:p>
              </w:tc>
            </w:tr>
            <w:tr>
              <w:tc>
                <w:tcPr>
                  <w:tcW w:type="dxa" w:w="2546"/>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单位：元/台班</w:t>
                  </w:r>
                </w:p>
              </w:tc>
            </w:tr>
            <w:tr>
              <w:tc>
                <w:tcPr>
                  <w:tcW w:type="dxa" w:w="2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编号</w:t>
                  </w:r>
                </w:p>
              </w:tc>
              <w:tc>
                <w:tcPr>
                  <w:tcW w:type="dxa" w:w="78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机械名称及规格</w:t>
                  </w:r>
                </w:p>
              </w:tc>
              <w:tc>
                <w:tcPr>
                  <w:tcW w:type="dxa" w:w="40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台班费</w:t>
                  </w:r>
                </w:p>
              </w:tc>
              <w:tc>
                <w:tcPr>
                  <w:tcW w:type="dxa" w:w="113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单价（元）</w:t>
                  </w:r>
                </w:p>
              </w:tc>
            </w:tr>
            <w:tr>
              <w:tc>
                <w:tcPr>
                  <w:tcW w:type="dxa" w:w="217"/>
                  <w:vMerge/>
                  <w:tcBorders>
                    <w:top w:val="none" w:color="000000" w:sz="4"/>
                    <w:left w:val="single" w:color="000000" w:sz="4"/>
                    <w:bottom w:val="single" w:color="000000" w:sz="4"/>
                    <w:right w:val="single" w:color="000000" w:sz="4"/>
                  </w:tcBorders>
                </w:tcPr>
                <w:p/>
              </w:tc>
              <w:tc>
                <w:tcPr>
                  <w:tcW w:type="dxa" w:w="789"/>
                  <w:vMerge/>
                  <w:tcBorders>
                    <w:top w:val="single" w:color="000000" w:sz="4"/>
                    <w:left w:val="none" w:color="000000" w:sz="4"/>
                    <w:bottom w:val="single" w:color="000000" w:sz="4"/>
                    <w:right w:val="single" w:color="000000" w:sz="4"/>
                  </w:tcBorders>
                </w:tcPr>
                <w:p/>
              </w:tc>
              <w:tc>
                <w:tcPr>
                  <w:tcW w:type="dxa" w:w="401"/>
                  <w:vMerge/>
                  <w:tcBorders>
                    <w:top w:val="single" w:color="000000" w:sz="4"/>
                    <w:left w:val="non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一类费用</w:t>
                  </w:r>
                </w:p>
              </w:tc>
              <w:tc>
                <w:tcPr>
                  <w:tcW w:type="dxa" w:w="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二类费用</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挖掘机液压1.0m</w:t>
                  </w:r>
                  <w:r>
                    <w:rPr>
                      <w:rFonts w:ascii="仿宋_GB2312" w:hAnsi="仿宋_GB2312" w:cs="仿宋_GB2312" w:eastAsia="仿宋_GB2312"/>
                      <w:sz w:val="18"/>
                      <w:color w:val="000000"/>
                    </w:rPr>
                    <w:t>³</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743.63</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355.73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387.90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推土机 59kw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387.68</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106.28</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281.40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推土机 74kw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509.56</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194.86</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314.70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自卸汽车5t（柴油型）</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342.02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119.72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222.30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自卸汽车8t（柴油型）</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540.10</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247.90</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292.20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砼搅拌机0.4m3560L</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235.22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55.45</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179.77</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砼搅拌机0.25m3400L</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110.78</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18.23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92.55</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载重汽车5T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285.32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95.87</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189.45</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插入式振捣器2.2kw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22.03</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16.11</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5.92</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10T塔式起重机</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653.49</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402.28</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251.21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蛙式打夯机2.8kw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167.10</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拖拉机74kw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445.95</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121.35</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324.60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拖拉机59kw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375.89</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83.69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292.20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内燃压路机8-10t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290.30</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63.80</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226.50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内燃压路机6-8t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270.62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58.82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211.80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内燃压路机12-15t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325.71</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71.91</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253.80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液压压路机10-12t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412.62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170.22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242.40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羊角碾8-12t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16.67</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16.67</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羊角碾5-7t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12.24</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12.24</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刨毛机（组班）</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416.31</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128.31</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288.00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汽车起重机5T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376.19</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120.14</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256.05</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洒水汽车4000L</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282.84</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101.79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181.05</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电焊机交流20-25KVA</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47.25</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3.44</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43.81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自行式平地机135kw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868.73</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414.23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454.50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胶轮车</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4.03</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装载机3-3.3m3</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960.08</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465.68</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494.40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沥青洒布车3500L</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262.33</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88.63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173.70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三轮喷药车</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139.47</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130.75</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水罐车</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482.92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269.62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213.30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剪草机</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197.69</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196.10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背负式割草机</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106.89</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0.79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106.10</w:t>
                  </w:r>
                </w:p>
              </w:tc>
            </w:tr>
          </w:tbl>
          <w:p>
            <w:pPr>
              <w:pStyle w:val="null3"/>
              <w:jc w:val="both"/>
            </w:pPr>
            <w:r>
              <w:rPr>
                <w:rFonts w:ascii="仿宋_GB2312" w:hAnsi="仿宋_GB2312" w:cs="仿宋_GB2312" w:eastAsia="仿宋_GB2312"/>
                <w:sz w:val="18"/>
              </w:rPr>
              <w:t>表四：</w:t>
            </w:r>
          </w:p>
          <w:tbl>
            <w:tblPr>
              <w:tblInd w:type="dxa" w:w="90"/>
              <w:tblBorders>
                <w:top w:val="none" w:color="000000" w:sz="4"/>
                <w:left w:val="none" w:color="000000" w:sz="4"/>
                <w:bottom w:val="none" w:color="000000" w:sz="4"/>
                <w:right w:val="none" w:color="000000" w:sz="4"/>
                <w:insideH w:val="none"/>
                <w:insideV w:val="none"/>
              </w:tblBorders>
            </w:tblPr>
            <w:tblGrid>
              <w:gridCol w:w="146"/>
              <w:gridCol w:w="116"/>
              <w:gridCol w:w="125"/>
              <w:gridCol w:w="146"/>
              <w:gridCol w:w="185"/>
              <w:gridCol w:w="103"/>
              <w:gridCol w:w="190"/>
              <w:gridCol w:w="146"/>
              <w:gridCol w:w="103"/>
              <w:gridCol w:w="185"/>
              <w:gridCol w:w="146"/>
              <w:gridCol w:w="103"/>
              <w:gridCol w:w="185"/>
              <w:gridCol w:w="168"/>
              <w:gridCol w:w="103"/>
              <w:gridCol w:w="159"/>
              <w:gridCol w:w="190"/>
            </w:tblGrid>
            <w:tr>
              <w:tc>
                <w:tcPr>
                  <w:tcW w:type="dxa" w:w="2499"/>
                  <w:gridSpan w:val="1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水泥砂浆材料单价计算表</w:t>
                  </w:r>
                </w:p>
              </w:tc>
            </w:tr>
            <w:tr>
              <w:tc>
                <w:tcPr>
                  <w:tcW w:type="dxa" w:w="1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编号</w:t>
                  </w:r>
                </w:p>
              </w:tc>
              <w:tc>
                <w:tcPr>
                  <w:tcW w:type="dxa" w:w="11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砂浆标号</w:t>
                  </w:r>
                </w:p>
              </w:tc>
              <w:tc>
                <w:tcPr>
                  <w:tcW w:type="dxa" w:w="1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水泥标号</w:t>
                  </w:r>
                </w:p>
              </w:tc>
              <w:tc>
                <w:tcPr>
                  <w:tcW w:type="dxa" w:w="14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级配</w:t>
                  </w:r>
                </w:p>
              </w:tc>
              <w:tc>
                <w:tcPr>
                  <w:tcW w:type="dxa" w:w="1776"/>
                  <w:gridSpan w:val="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预算量/预算价</w:t>
                  </w:r>
                </w:p>
              </w:tc>
              <w:tc>
                <w:tcPr>
                  <w:tcW w:type="dxa" w:w="19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预算单价       元/m</w:t>
                  </w:r>
                  <w:r>
                    <w:rPr>
                      <w:rFonts w:ascii="仿宋_GB2312" w:hAnsi="仿宋_GB2312" w:cs="仿宋_GB2312" w:eastAsia="仿宋_GB2312"/>
                      <w:sz w:val="18"/>
                      <w:color w:val="000000"/>
                      <w:vertAlign w:val="superscript"/>
                    </w:rPr>
                    <w:t>3</w:t>
                  </w:r>
                </w:p>
              </w:tc>
            </w:tr>
            <w:tr>
              <w:tc>
                <w:tcPr>
                  <w:tcW w:type="dxa" w:w="146"/>
                  <w:vMerge/>
                  <w:tcBorders>
                    <w:top w:val="none" w:color="000000" w:sz="4"/>
                    <w:left w:val="single" w:color="000000" w:sz="4"/>
                    <w:bottom w:val="single" w:color="000000" w:sz="4"/>
                    <w:right w:val="single" w:color="000000" w:sz="4"/>
                  </w:tcBorders>
                </w:tcPr>
                <w:p/>
              </w:tc>
              <w:tc>
                <w:tcPr>
                  <w:tcW w:type="dxa" w:w="116"/>
                  <w:vMerge/>
                  <w:tcBorders>
                    <w:top w:val="single" w:color="000000" w:sz="4"/>
                    <w:left w:val="none" w:color="000000" w:sz="4"/>
                    <w:bottom w:val="single" w:color="000000" w:sz="4"/>
                    <w:right w:val="single" w:color="000000" w:sz="4"/>
                  </w:tcBorders>
                </w:tcPr>
                <w:p/>
              </w:tc>
              <w:tc>
                <w:tcPr>
                  <w:tcW w:type="dxa" w:w="125"/>
                  <w:vMerge/>
                  <w:tcBorders>
                    <w:top w:val="single" w:color="000000" w:sz="4"/>
                    <w:left w:val="none" w:color="000000" w:sz="4"/>
                    <w:bottom w:val="single" w:color="000000" w:sz="4"/>
                    <w:right w:val="single" w:color="000000" w:sz="4"/>
                  </w:tcBorders>
                </w:tcPr>
                <w:p/>
              </w:tc>
              <w:tc>
                <w:tcPr>
                  <w:tcW w:type="dxa" w:w="146"/>
                  <w:vMerge/>
                  <w:tcBorders>
                    <w:top w:val="single" w:color="000000" w:sz="4"/>
                    <w:left w:val="none" w:color="000000" w:sz="4"/>
                    <w:bottom w:val="single" w:color="000000" w:sz="4"/>
                    <w:right w:val="single" w:color="000000" w:sz="4"/>
                  </w:tcBorders>
                </w:tcPr>
                <w:p/>
              </w:tc>
              <w:tc>
                <w:tcPr>
                  <w:tcW w:type="dxa" w:w="47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水泥（kg)</w:t>
                  </w:r>
                </w:p>
              </w:tc>
              <w:tc>
                <w:tcPr>
                  <w:tcW w:type="dxa" w:w="43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砂（m</w:t>
                  </w:r>
                  <w:r>
                    <w:rPr>
                      <w:rFonts w:ascii="仿宋_GB2312" w:hAnsi="仿宋_GB2312" w:cs="仿宋_GB2312" w:eastAsia="仿宋_GB2312"/>
                      <w:sz w:val="18"/>
                      <w:color w:val="000000"/>
                      <w:vertAlign w:val="superscript"/>
                    </w:rPr>
                    <w:t>3</w:t>
                  </w:r>
                  <w:r>
                    <w:rPr>
                      <w:rFonts w:ascii="仿宋_GB2312" w:hAnsi="仿宋_GB2312" w:cs="仿宋_GB2312" w:eastAsia="仿宋_GB2312"/>
                      <w:sz w:val="18"/>
                      <w:color w:val="000000"/>
                    </w:rPr>
                    <w:t>）</w:t>
                  </w:r>
                </w:p>
              </w:tc>
              <w:tc>
                <w:tcPr>
                  <w:tcW w:type="dxa" w:w="43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碎石（m</w:t>
                  </w:r>
                  <w:r>
                    <w:rPr>
                      <w:rFonts w:ascii="仿宋_GB2312" w:hAnsi="仿宋_GB2312" w:cs="仿宋_GB2312" w:eastAsia="仿宋_GB2312"/>
                      <w:sz w:val="18"/>
                      <w:color w:val="000000"/>
                      <w:vertAlign w:val="superscript"/>
                    </w:rPr>
                    <w:t>3</w:t>
                  </w:r>
                  <w:r>
                    <w:rPr>
                      <w:rFonts w:ascii="仿宋_GB2312" w:hAnsi="仿宋_GB2312" w:cs="仿宋_GB2312" w:eastAsia="仿宋_GB2312"/>
                      <w:sz w:val="18"/>
                      <w:color w:val="000000"/>
                    </w:rPr>
                    <w:t>)</w:t>
                  </w:r>
                </w:p>
              </w:tc>
              <w:tc>
                <w:tcPr>
                  <w:tcW w:type="dxa" w:w="43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水（m</w:t>
                  </w:r>
                  <w:r>
                    <w:rPr>
                      <w:rFonts w:ascii="仿宋_GB2312" w:hAnsi="仿宋_GB2312" w:cs="仿宋_GB2312" w:eastAsia="仿宋_GB2312"/>
                      <w:sz w:val="18"/>
                      <w:color w:val="000000"/>
                      <w:vertAlign w:val="superscript"/>
                    </w:rPr>
                    <w:t>3</w:t>
                  </w:r>
                  <w:r>
                    <w:rPr>
                      <w:rFonts w:ascii="仿宋_GB2312" w:hAnsi="仿宋_GB2312" w:cs="仿宋_GB2312" w:eastAsia="仿宋_GB2312"/>
                      <w:sz w:val="18"/>
                      <w:color w:val="000000"/>
                    </w:rPr>
                    <w:t>)</w:t>
                  </w:r>
                </w:p>
              </w:tc>
            </w:tr>
            <w:tr>
              <w:tc>
                <w:tcPr>
                  <w:tcW w:type="dxa" w:w="146"/>
                  <w:vMerge/>
                  <w:tcBorders>
                    <w:top w:val="none" w:color="000000" w:sz="4"/>
                    <w:left w:val="single" w:color="000000" w:sz="4"/>
                    <w:bottom w:val="single" w:color="000000" w:sz="4"/>
                    <w:right w:val="single" w:color="000000" w:sz="4"/>
                  </w:tcBorders>
                </w:tcPr>
                <w:p/>
              </w:tc>
              <w:tc>
                <w:tcPr>
                  <w:tcW w:type="dxa" w:w="116"/>
                  <w:vMerge/>
                  <w:tcBorders>
                    <w:top w:val="single" w:color="000000" w:sz="4"/>
                    <w:left w:val="none" w:color="000000" w:sz="4"/>
                    <w:bottom w:val="single" w:color="000000" w:sz="4"/>
                    <w:right w:val="single" w:color="000000" w:sz="4"/>
                  </w:tcBorders>
                </w:tcPr>
                <w:p/>
              </w:tc>
              <w:tc>
                <w:tcPr>
                  <w:tcW w:type="dxa" w:w="125"/>
                  <w:vMerge/>
                  <w:tcBorders>
                    <w:top w:val="single" w:color="000000" w:sz="4"/>
                    <w:left w:val="none" w:color="000000" w:sz="4"/>
                    <w:bottom w:val="single" w:color="000000" w:sz="4"/>
                    <w:right w:val="single" w:color="000000" w:sz="4"/>
                  </w:tcBorders>
                </w:tcPr>
                <w:p/>
              </w:tc>
              <w:tc>
                <w:tcPr>
                  <w:tcW w:type="dxa" w:w="146"/>
                  <w:vMerge/>
                  <w:tcBorders>
                    <w:top w:val="single" w:color="000000" w:sz="4"/>
                    <w:left w:val="none" w:color="000000" w:sz="4"/>
                    <w:bottom w:val="single" w:color="000000" w:sz="4"/>
                    <w:right w:val="single" w:color="000000" w:sz="4"/>
                  </w:tcBorders>
                </w:tcPr>
                <w:p/>
              </w:tc>
              <w:tc>
                <w:tcPr>
                  <w:tcW w:type="dxa" w:w="288"/>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0.51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元/kg</w:t>
                  </w:r>
                </w:p>
              </w:tc>
              <w:tc>
                <w:tcPr>
                  <w:tcW w:type="dxa" w:w="249"/>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160.95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元/m</w:t>
                  </w:r>
                  <w:r>
                    <w:rPr>
                      <w:rFonts w:ascii="仿宋_GB2312" w:hAnsi="仿宋_GB2312" w:cs="仿宋_GB2312" w:eastAsia="仿宋_GB2312"/>
                      <w:sz w:val="18"/>
                      <w:color w:val="000000"/>
                      <w:vertAlign w:val="superscript"/>
                    </w:rPr>
                    <w:t>3</w:t>
                  </w:r>
                </w:p>
              </w:tc>
              <w:tc>
                <w:tcPr>
                  <w:tcW w:type="dxa" w:w="249"/>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199.91</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元/m</w:t>
                  </w:r>
                  <w:r>
                    <w:rPr>
                      <w:rFonts w:ascii="仿宋_GB2312" w:hAnsi="仿宋_GB2312" w:cs="仿宋_GB2312" w:eastAsia="仿宋_GB2312"/>
                      <w:sz w:val="18"/>
                      <w:color w:val="000000"/>
                      <w:vertAlign w:val="superscript"/>
                    </w:rPr>
                    <w:t>3</w:t>
                  </w:r>
                </w:p>
              </w:tc>
              <w:tc>
                <w:tcPr>
                  <w:tcW w:type="dxa" w:w="271"/>
                  <w:gridSpan w:val="2"/>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1.00</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元/m</w:t>
                  </w:r>
                  <w:r>
                    <w:rPr>
                      <w:rFonts w:ascii="仿宋_GB2312" w:hAnsi="仿宋_GB2312" w:cs="仿宋_GB2312" w:eastAsia="仿宋_GB2312"/>
                      <w:sz w:val="18"/>
                      <w:color w:val="000000"/>
                      <w:vertAlign w:val="superscript"/>
                    </w:rPr>
                    <w:t>3</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砌筑砂浆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8"/>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bscript"/>
                    </w:rPr>
                    <w:t>7.5</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261.00</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133.59</w:t>
                  </w: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1.11</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178.66</w:t>
                  </w:r>
                </w:p>
              </w:tc>
              <w:tc>
                <w:tcPr>
                  <w:tcW w:type="dxa" w:w="43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0.157</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0.16</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312.41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bscript"/>
                    </w:rPr>
                    <w:t>10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410.00</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209.85</w:t>
                  </w: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1.08</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173.83</w:t>
                  </w:r>
                </w:p>
              </w:tc>
              <w:tc>
                <w:tcPr>
                  <w:tcW w:type="dxa" w:w="43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0.270</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383.95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混凝土</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w:t>
                  </w:r>
                  <w:r>
                    <w:rPr>
                      <w:rFonts w:ascii="仿宋_GB2312" w:hAnsi="仿宋_GB2312" w:cs="仿宋_GB2312" w:eastAsia="仿宋_GB2312"/>
                      <w:sz w:val="18"/>
                      <w:color w:val="000000"/>
                      <w:vertAlign w:val="subscript"/>
                    </w:rPr>
                    <w:t>20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425</w:t>
                  </w: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370.89</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189.83</w:t>
                  </w: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0.58</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93.35</w:t>
                  </w: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0.74</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147.93</w:t>
                  </w:r>
                </w:p>
              </w:tc>
              <w:tc>
                <w:tcPr>
                  <w:tcW w:type="dxa" w:w="16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0.20</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431.31</w:t>
                  </w:r>
                </w:p>
              </w:tc>
            </w:tr>
          </w:tbl>
          <w:p>
            <w:pPr>
              <w:pStyle w:val="null3"/>
              <w:jc w:val="both"/>
            </w:pPr>
            <w:r>
              <w:rPr>
                <w:rFonts w:ascii="仿宋_GB2312" w:hAnsi="仿宋_GB2312" w:cs="仿宋_GB2312" w:eastAsia="仿宋_GB2312"/>
                <w:sz w:val="18"/>
              </w:rPr>
              <w:t>四、暂估价、预备费项目要求：</w:t>
            </w:r>
          </w:p>
          <w:p>
            <w:pPr>
              <w:pStyle w:val="null3"/>
              <w:ind w:firstLine="480"/>
              <w:jc w:val="both"/>
            </w:pPr>
            <w:r>
              <w:rPr>
                <w:rFonts w:ascii="仿宋_GB2312" w:hAnsi="仿宋_GB2312" w:cs="仿宋_GB2312" w:eastAsia="仿宋_GB2312"/>
                <w:sz w:val="18"/>
              </w:rPr>
              <w:t>①</w:t>
            </w:r>
            <w:r>
              <w:rPr>
                <w:rFonts w:ascii="仿宋_GB2312" w:hAnsi="仿宋_GB2312" w:cs="仿宋_GB2312" w:eastAsia="仿宋_GB2312"/>
                <w:sz w:val="18"/>
              </w:rPr>
              <w:t>投标按照暂估价（暂列金）进行填报；</w:t>
            </w:r>
          </w:p>
          <w:p>
            <w:pPr>
              <w:pStyle w:val="null3"/>
              <w:ind w:firstLine="480"/>
              <w:jc w:val="both"/>
            </w:pPr>
            <w:r>
              <w:rPr>
                <w:rFonts w:ascii="仿宋_GB2312" w:hAnsi="仿宋_GB2312" w:cs="仿宋_GB2312" w:eastAsia="仿宋_GB2312"/>
                <w:sz w:val="18"/>
              </w:rPr>
              <w:t>②</w:t>
            </w:r>
            <w:r>
              <w:rPr>
                <w:rFonts w:ascii="仿宋_GB2312" w:hAnsi="仿宋_GB2312" w:cs="仿宋_GB2312" w:eastAsia="仿宋_GB2312"/>
                <w:sz w:val="18"/>
              </w:rPr>
              <w:t>工程计量、计价、结算按照以上人工、材料、机械单价确认；</w:t>
            </w:r>
          </w:p>
          <w:p>
            <w:pPr>
              <w:pStyle w:val="null3"/>
              <w:ind w:firstLine="480"/>
              <w:jc w:val="both"/>
            </w:pPr>
            <w:r>
              <w:rPr>
                <w:rFonts w:ascii="仿宋_GB2312" w:hAnsi="仿宋_GB2312" w:cs="仿宋_GB2312" w:eastAsia="仿宋_GB2312"/>
                <w:sz w:val="18"/>
              </w:rPr>
              <w:t>③按照省颁水利定额及投标税金、利润分析确认工程量单价（省颁水利定额无相应子目可参照部颁水利定额或其他行业定额）。</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供应商应该按照项目的需求配备合理的服务人员，确保项目实施质量。</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供应商应该按照项目的需求配备合理的设备设施，以确保项目顺利实施。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养护期限为2025年11月1日-2026年6月30日，共计8个月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采购人每月根据精细化管理考核标准及采购人考核细则对成交单位进行考核，根据考核情况对成交单位应结款项进行扣罚，连续二个月考核不合格，采购人有权解除养护合同，并有权选择第二名递补。</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以人民币付款,按月支付，每月实际支付费用按照本合同“考核标准及办法”规定的服务日常考核办法中对应的考核结果按相应比例计算后进行结算。中标人于每月15日之前根据采购人考核结果按上月服务费金额开具增值税专用发票的形式交于采购人（中标人凭采购人签署的考核结果开具发票，提交采购人报账；发票的开具时间根据采购人的财务要求执行,发票应注明税率），采购人在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甲方根据资金情况支付12月养护费，在12月中旬支付服务商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以人民币付款,按月支付，每月实际支付费用按照本合同“考核标准及办法”规定的服务日常考核办法中对应的考核结果按相应比例计算后进行结算。中标人于每月15日之前根据采购人考核结果按上月服务费金额开具增值税专用发票的形式交于采购人（中标人凭采购人签署的考核结果开具发票，提交采购人报账；发票的开具时间根据采购人的财务要求执行,发票应注明税率），采购人在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以人民币付款,按月支付，每月实际支付费用按照本合同“考核标准及办法”规定的服务日常考核办法中对应的考核结果按相应比例计算后进行结算。中标人于每月15日之前根据采购人考核结果按上月服务费金额开具增值税专用发票的形式交于采购人（中标人凭采购人签署的考核结果开具发票，提交采购人报账；发票的开具时间根据采购人的财务要求执行,发票应注明税率），采购人在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以人民币付款,按月支付，每月实际支付费用按照本合同“考核标准及办法”规定的服务日常考核办法中对应的考核结果按相应比例计算后进行结算。中标人于每月15日之前根据采购人考核结果按上月服务费金额开具增值税专用发票的形式交于采购人（中标人凭采购人签署的考核结果开具发票，提交采购人报账；发票的开具时间根据采购人的财务要求执行,发票应注明税率），采购人在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以人民币付款,按月支付，每月实际支付费用按照本合同“考核标准及办法”规定的服务日常考核办法中对应的考核结果按相应比例计算后进行结算。中标人于每月15日之前根据采购人考核结果按上月服务费金额开具增值税专用发票的形式交于采购人（中标人凭采购人签署的考核结果开具发票，提交采购人报账；发票的开具时间根据采购人的财务要求执行,发票应注明税率），采购人在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以人民币付款,按月支付，每月实际支付费用按照本合同“考核标准及办法”规定的服务日常考核办法中对应的考核结果按相应比例计算后进行结算。中标人于每月15日之前根据采购人考核结果按上月服务费金额开具增值税专用发票的形式交于采购人（中标人凭采购人签署的考核结果开具发票，提交采购人报账；发票的开具时间根据采购人的财务要求执行,发票应注明税率），采购人在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以人民币付款,按月支付，每月实际支付费用按照本合同“考核标准及办法”规定的服务日常考核办法中对应的考核结果按相应比例计算后进行结算。中标人于每月15日之前根据采购人考核结果按上月服务费金额开具增值税专用发票的形式交于采购人（中标人凭采购人签署的考核结果开具发票，提交采购人报账；发票的开具时间根据采购人的财务要求执行,发票应注明税率），采购人在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1.服务缺陷的补救措施和索赔 (1)如果乙方提供的服务不符合本合同约定以及招标文件、投标文件关于服务的要求和承诺，乙方应按照甲方同意的下列一种或几种方式结合起来解决索赔事宜： ①乙方同意将服务款项目退还给甲方，由此发生的一切费用和损失由乙方承担。如甲方以适当的条件和方法购买与未履约标的相类似的服务，乙方应负担新购买类似服务所超出的费用。 ②根据服务的质量状况以及甲方所遭受的损失，经过甲乙双方商定降低服务的价格。 (2)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 (3)乙方在而合同履行过程中，提供的服务质量不满足甲方考核验收标准，甲方有权按照通用条款的奖惩原则进行奖惩。 2.迟延履约的违约责任 (1)乙方应按照本合同规定的时间、地点提供服务。 (2)在履行合同过程中，如果乙方遇到可能妨碍按时提供服务的情形时，应及时以书面形式将迟延的事实、可能迟延的期限和理由通知甲方。甲方在收到乙方通知后，应尽快对情况进行评价，并确定是否同意延期提供服务。 (3)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按每日加收合同金额的0.5%计收，直至提供服务为止。但误期赔偿费的最高限额不超过合同价的15%。 (4)如果乙方延迟履约超过30日，甲方有权终止全部或部分合同，并依其认为适当的条件和方法购买与未履约类似的服务，乙方应负担购买类似服务所超出的费用。但是，乙方应继续执行合同中未终止的部分。 3.未履行合同义务的违约责任 (1)守约方有权终止全部或部分合同。 (2)没收全额履约保证金。 (3)由违约一方支付违约金，违约金标准见合同条款前附表。 (4)违约金不足以弥补守约方实际损失、可预见或者应当预见的损失，由违约方全额予以赔偿。 4.其他违约责任 乙方应依法妥善管理其派出人员，履行劳动法律法规规定的用人单位职责，因乙方未妥善处理其派出人员所引发的一切纠纷由乙方自行处理，若甲方因乙方未妥善处理上述纠纷而受到任何损失，则乙方应赔偿甲方为此支付的一切费用；并甲方有权提前解除该协议，乙方应返还甲方支付的款项。 （二）解决争议 1.合同各方应通过友好协商，解决在执行合同过程中所发生的或与合同有关的一切争端。如协商30日内(根据实际情况设定)不能解决，可以按合同规定的方式提起诉讼。 2.诉讼应由甲方住所地人民法院管辖。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标的所属行业为：其他未列明行业从业人员300人以下的为中小微型企业。其中，从业人员100人及以上的为中型企业；从业人员10人及以上的为小型企业；从业人员10人以下的为微型企业。（2）中标供应商在领取成交通知书前，须向采购代理机构提供纸质版投标文件2套，且提供的投标文件必须与在陕西省政府采购综合管理平台的项目电子化交易系统中递交的电子投标文件内容一致，纸质版投标文件必须装订成册签字盖章。（3）本项目属于西安市本级项目，根据《西安市财政局关于促进政府采购公平竞争优化营商环境的通知》（市财函〔2021〕431号）文件的要求，采购代理机构向采购人提交评标报告、采购人确定中标人、采购代理机构发布中标公告和采购人或采购代理机构发出中标通知书的期限要求，均在法定期限要求基础上提前1个工作日。（4）根据《陕西省财政厅关于持续优化政府采购营商环境有关事项的通知》（陕财办采〔2024〕9号）文件的通知，采购人在中标（成交）通知书发出之日起25日内，按照采购文件确定的事项与中标（成交）供应商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2）税收缴纳证明：提供供应商自投标前1年以来已缴纳任意时段完税凭证或税务机关开具的完税证明（任意税种），依法免税的应提供相关文件证明，公益类事业单位可不提供；（3）社会保障资金缴纳证明：提供供应商自投标前1年以来已缴存的任意时段的社会保障资金缴存单据或社保机构开具的社会保险参保缴费情况证明，依法不需要缴纳社会保障资金的供应商应提供相关文件证明，公益类事业单位可不提供；（4）提供供应商具备履行合同所必需的设备和专业技术能力的证明材料；（5）供应商参加本次招标前3年内，在经营活动中没有重大违法记录的书面声明；（6）采购人、采购代理机构将通过“信用中国”网站（www.creditchina.gov.cn）和中国政府采购网站（www.ccgp.gov.cn）查询投标人信用记录，列入失信被执行人名单、重大税收违法失信主体、政府采购严重违法失信行为记录名单中的供应商将被拒绝参与本项目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提供2024年度经审计的供应商财务报告或开标前三个月内基本户开户银行出具的资信证明，公益类事业单位可不提供。供应商需在项目电子化交易系统中按要求上传相应证明文件并进行电子签章。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法定代表人（单位负责人）参加开标的，提供法定代表人（单位负责人）身份证明；法定代表人（单位负责人）授权他人参加投标的，提供法定代表人（单位负责人）委托授权书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投标文件格式</w:t>
            </w:r>
          </w:p>
        </w:tc>
        <w:tc>
          <w:tcPr>
            <w:tcW w:type="dxa" w:w="1661"/>
          </w:tcPr>
          <w:p>
            <w:pPr>
              <w:pStyle w:val="null3"/>
            </w:pPr>
            <w:r>
              <w:rPr>
                <w:rFonts w:ascii="仿宋_GB2312" w:hAnsi="仿宋_GB2312" w:cs="仿宋_GB2312" w:eastAsia="仿宋_GB2312"/>
              </w:rPr>
              <w:t>开标一览表 服务内容及服务邀请应答表 投标函 费用组成明细表.docx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符合投标文件格式和招标文件要求</w:t>
            </w:r>
          </w:p>
        </w:tc>
        <w:tc>
          <w:tcPr>
            <w:tcW w:type="dxa" w:w="1661"/>
          </w:tcPr>
          <w:p>
            <w:pPr>
              <w:pStyle w:val="null3"/>
            </w:pPr>
            <w:r>
              <w:rPr>
                <w:rFonts w:ascii="仿宋_GB2312" w:hAnsi="仿宋_GB2312" w:cs="仿宋_GB2312" w:eastAsia="仿宋_GB2312"/>
              </w:rPr>
              <w:t>开标一览表 服务内容及服务邀请应答表 投标函 费用组成明细表.docx 商务应答表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w:t>
            </w:r>
          </w:p>
        </w:tc>
        <w:tc>
          <w:tcPr>
            <w:tcW w:type="dxa" w:w="1661"/>
          </w:tcPr>
          <w:p>
            <w:pPr>
              <w:pStyle w:val="null3"/>
            </w:pPr>
            <w:r>
              <w:rPr>
                <w:rFonts w:ascii="仿宋_GB2312" w:hAnsi="仿宋_GB2312" w:cs="仿宋_GB2312" w:eastAsia="仿宋_GB2312"/>
              </w:rPr>
              <w:t>开标一览表 费用组成明细表.docx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符合本项目“采购需求”规定的服务范围</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符合招标文件实质性要求的规定</w:t>
            </w:r>
          </w:p>
        </w:tc>
        <w:tc>
          <w:tcPr>
            <w:tcW w:type="dxa" w:w="1661"/>
          </w:tcPr>
          <w:p>
            <w:pPr>
              <w:pStyle w:val="null3"/>
            </w:pPr>
            <w:r>
              <w:rPr>
                <w:rFonts w:ascii="仿宋_GB2312" w:hAnsi="仿宋_GB2312" w:cs="仿宋_GB2312" w:eastAsia="仿宋_GB2312"/>
              </w:rPr>
              <w:t>服务内容及服务邀请应答表 投标函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维修养护方案</w:t>
            </w:r>
          </w:p>
        </w:tc>
        <w:tc>
          <w:tcPr>
            <w:tcW w:type="dxa" w:w="2492"/>
          </w:tcPr>
          <w:p>
            <w:pPr>
              <w:pStyle w:val="null3"/>
            </w:pPr>
            <w:r>
              <w:rPr>
                <w:rFonts w:ascii="仿宋_GB2312" w:hAnsi="仿宋_GB2312" w:cs="仿宋_GB2312" w:eastAsia="仿宋_GB2312"/>
              </w:rPr>
              <w:t>一、评审内容 针对采购内容提出适用于本项目的维修养护方案，方案包括：①绿化、园路养护方案；②设施设备日常维护、检查方案；③服务区域的保洁方案；④人员巡查方案；⑤水质维护方案；⑥安全生产建设方案；⑦基础设施维修方案。 二、评审标准 1、完整性：方案必须全面，对评审内容中的各项要求有详细描述； 2、针对性：方案能够紧扣项目实际情况，内容科学合理； 3、可实施性：切合本项目实际情况，提出步骤清晰、合理的方案。 三、赋分标准（满分21分） ①绿化、园路养护方案：每完全满足一个评审标准得1分；针对评审标准存在有不合理处的得0.5分；内容与本项目无关或未提供的得0分。 ②设施设备日常维护、检查方案：每完全满足一个评审标准得1分；针对评审标准存在有不合理处的得0.5分；内容与本项目无关或未提供的得0分。 ③服务区域的保洁方案：每完全满足一个评审标准得1分；针对评审标准存在有不合理处的得0.5分；内容与本项目无关或未提供的得0分。 ④人员巡查方案：每完全满足一个评审标准得1分；针对评审标准存在有不合理处的得0.5分；内容与本项目无关或未提供的得0分。 ⑤水质维护方案：每完全满足一个评审标准得1分；针对评审标准存在有不合理处的得0.5分；内容与本项目无关或未提供的得0分。 ⑥安全生产建设方案：每完全满足一个评审标准得1分；针对评审标准存在有不合理处的得0.5分；内容与本项目无关或未提供的得0分。 ⑦基础设施维修方案：每完全满足一个评审标准得1分；针对评审标准存在有不合理处的得0.5分；内容与本项目无关或未提供的得0分。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工作过程中对养护范围内、湖区环境的保护方案</w:t>
            </w:r>
          </w:p>
        </w:tc>
        <w:tc>
          <w:tcPr>
            <w:tcW w:type="dxa" w:w="2492"/>
          </w:tcPr>
          <w:p>
            <w:pPr>
              <w:pStyle w:val="null3"/>
            </w:pPr>
            <w:r>
              <w:rPr>
                <w:rFonts w:ascii="仿宋_GB2312" w:hAnsi="仿宋_GB2312" w:cs="仿宋_GB2312" w:eastAsia="仿宋_GB2312"/>
              </w:rPr>
              <w:t>一、评审内容 针对采购内容提出适用于本项目的工作过程中对养护范围内、湖区环境的保护方案，方案包括：①水环境保护方案；②工作环境卫生保护方案。 二、评审标准 1、完整性：方案必须全面，对评审内容中的各项要求有详细描述； 2、针对性：方案能够紧扣项目实际情况，内容科学合理； 3、可实施性：切合本项目实际情况，提出步骤清晰、合理的方案。 三、赋分标准（满分6分） ①水环境保护方案：每完全满足一个评审标准得1分；针对评审标准存在有不合理处的得0.5分；内容与本项目无关或未提供的得0分。 ②工作环境卫生保护方案：每完全满足一个评审标准得1分；针对评审标准存在有不合理处的得0.5分；内容与本项目无关或未提供的得0分。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针对采购内容提出适用于本项目的保障措施，包括：①服务质量保障措施；②应急保障措施；③组织机构、人员管理措施；④作业安全、水电安全等各项安全保障措施；⑤服务自检流程及自我考核体系。 二、评审标准 1、完整性：方案必须全面，对评审内容中的各项要求有详细描述； 2、针对性：方案能够紧扣项目实际情况，内容科学合理； 3、可实施性：切合本项目实际情况，提出步骤清晰、合理的方案。 三、赋分标准（满分15分） ①服务质量保障措施：每完全满足一个评审标准得1分；针对评审标准存在有不合理处的得0.5分；内容与本项目无关或未提供的得0分。 ②应急保障措施：每完全满足一个评审标准得1分；针对评审标准存在有不合理处的得0.5分；内容与本项目无关或未提供的得0分。 ③组织机构、人员管理措施：每完全满足一个评审标准得1分；针对评审标准存在有不合理处的得0.5分；内容与本项目无关或未提供的得0分。 ④作业安全、水电安全等各项安全保障措施：每完全满足一个评审标准得1分；针对评审标准存在有不合理处的得0.5分；内容与本项目无关或未提供的得0分。 ⑤服务自检流程及自我考核体系：每完全满足一个评审标准得1分；针对评审标准存在有不合理处的得0.5分；内容与本项目无关或未提供的得0分。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人员配置方案及维护设备、机具配置方案</w:t>
            </w:r>
          </w:p>
        </w:tc>
        <w:tc>
          <w:tcPr>
            <w:tcW w:type="dxa" w:w="2492"/>
          </w:tcPr>
          <w:p>
            <w:pPr>
              <w:pStyle w:val="null3"/>
            </w:pPr>
            <w:r>
              <w:rPr>
                <w:rFonts w:ascii="仿宋_GB2312" w:hAnsi="仿宋_GB2312" w:cs="仿宋_GB2312" w:eastAsia="仿宋_GB2312"/>
              </w:rPr>
              <w:t>一、评审内容 针对采购内容提出适用于本项目的人员配置方案及维护设备、机具配置方案，方案包括：①人员配置方案；②维护设备、机具配置方案。 二、评审标准 1、完整性：方案必须全面，对评审内容中的各项要求有详细描述； 2、针对性：方案能够紧扣项目实际情况，内容合理； 3、科学性：切合本项目实际情况，提出科学、合理配置的方案。 二、赋分标准（满分6分） ①人员配置方案：每完全满足一个评审标准得1分；针对评审标准存在有不合理处的得0.5分；内容与本项目无关或未提供的得0分。 ②维护设备、机具配置方案：每完全满足一个评审标准得1分；针对评审标准存在有不合理处的得0.5分；内容与本项目无关或未提供的得0分。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一、评审内容 针对采购内容结合同类项目经验提出本项目实施过程中的重难点分析及合理化建议。 二、评审标准 1、完整性：建议内容全面，对采购内容中的各项相关内容有详细描述； 2、针对性：建议能够紧扣项目实际情况，内容科学合理； 3、可实施性：切合本项目实际情况，提出步骤清晰、合理的解决方案。 三、赋分标准（满分3分） 重难点分析及合理化建议：每完全满足一个评审标准得1分；针对评审标准存在有不合理处的得0.5分；内容与本项目无关或未提供的得0分。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采购内容提出适用于本项目的服务承诺包括①对采购内容的相关养护质量、维修质量一致性、稳定性等内容做出承诺；②投标人对配合采购人重大活动等内容做出承诺；③对服务期内应急情况下的响应时间等做出承诺；④配合采购人对精细化管理目标实现做出承诺；⑤对市民服务及市民意见处理的专项承诺。 二、评审标准 1、完整性：方案必须全面，对评审内容中的各项要求有详细描述； 2、针对性：方案能够紧扣项目实际情况，内容科学合理； 3、可实施性：切合本项目实际情况，提出步骤清晰、合理的方案。 三、赋分标准（满分15分） ①对采购内容的相关养护质量、维修质量一致性、稳定性等内容做出承诺：每完全满足一个评审标准得1分；针对评审标准存在有不合理处的得0.5分；内容与本项目无关或未提供的得0分。 ②投标人对配合采购人重大活动等内容做出承诺：每完全满足一个评审标准得1分；针对评审标准存在有不合理处的得0.5分；内容与本项目无关或未提供的得0分。 ③对服务期内应急情况下的响应时间等做出承诺：每完全满足一个评审标准得1分；针对评审标准存在有不合理处的得0.5分；内容与本项目无关或未提供的得0分。 ④配合采购人对精细化管理目标实现做出承诺：每完全满足一个评审标准得1分；针对评审标准存在有不合理处的得0.5分；内容与本项目无关或未提供的得0分。 ⑤对市民服务及市民意见处理的专项承诺：每完全满足一个评审标准得1分；针对评审标准存在有不合理处的得0.5分；内容与本项目无关或未提供的得0分。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五年（自2020年1月1日起至今，以合同签订时间为准）同类项目，项目服务期≥6个月的，一个项目得3分；服务期＜6个月的，一个项目得1分。最高15分。（服务期＜6个月的，同一年度最多只计算2个项目，以合同复印件加盖公章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投标人业绩、信誉证明材料.docx</w:t>
            </w:r>
          </w:p>
        </w:tc>
      </w:tr>
      <w:tr>
        <w:tc>
          <w:tcPr>
            <w:tcW w:type="dxa" w:w="831"/>
            <w:vMerge/>
          </w:tcPr>
          <w:p/>
        </w:tc>
        <w:tc>
          <w:tcPr>
            <w:tcW w:type="dxa" w:w="1661"/>
          </w:tcPr>
          <w:p>
            <w:pPr>
              <w:pStyle w:val="null3"/>
            </w:pPr>
            <w:r>
              <w:rPr>
                <w:rFonts w:ascii="仿宋_GB2312" w:hAnsi="仿宋_GB2312" w:cs="仿宋_GB2312" w:eastAsia="仿宋_GB2312"/>
              </w:rPr>
              <w:t>信誉</w:t>
            </w:r>
          </w:p>
        </w:tc>
        <w:tc>
          <w:tcPr>
            <w:tcW w:type="dxa" w:w="2492"/>
          </w:tcPr>
          <w:p>
            <w:pPr>
              <w:pStyle w:val="null3"/>
            </w:pPr>
            <w:r>
              <w:rPr>
                <w:rFonts w:ascii="仿宋_GB2312" w:hAnsi="仿宋_GB2312" w:cs="仿宋_GB2312" w:eastAsia="仿宋_GB2312"/>
              </w:rPr>
              <w:t>投标人提供近五年（自2020年1月1日起至今）同类项目甲方评价意见（评价为正面评价的），每提供一个得3分，最高9分。（需提供业主单位加盖公章的评价意见，提供业主评价意见的单位须与同类项目合同甲方单位一致）</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投标人业绩、信誉证明材料.docx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价格分统一采用低价优先法计算，即满足招标文件要求且最低的投标报价为基准价，其价格分为满分。其他投标人的价格分统一按照下列公式计算：价格分=(基准价／投标报价)×10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详见附件：投标人业绩、信誉证明材料.docx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