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8956B">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7A98E29">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4994393">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07F53565">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372E550F">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val="en-US" w:eastAsia="zh-CN"/>
        </w:rPr>
      </w:pPr>
      <w:r>
        <w:rPr>
          <w:rFonts w:hint="eastAsia" w:ascii="仿宋_GB2312" w:hAnsi="仿宋_GB2312" w:eastAsia="仿宋_GB2312" w:cs="仿宋_GB2312"/>
          <w:b w:val="0"/>
          <w:bCs w:val="0"/>
          <w:color w:val="auto"/>
          <w:sz w:val="40"/>
          <w:szCs w:val="40"/>
          <w:highlight w:val="none"/>
          <w:lang w:val="en-US" w:eastAsia="zh-CN"/>
        </w:rPr>
        <w:t>渭河西安城市段皂河以东至机场高速桥段堤南200m绿化林带及西安湖区域</w:t>
      </w:r>
    </w:p>
    <w:p w14:paraId="7CDE20D3">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val="en-US" w:eastAsia="zh-CN"/>
        </w:rPr>
      </w:pPr>
      <w:r>
        <w:rPr>
          <w:rFonts w:hint="eastAsia" w:ascii="仿宋_GB2312" w:hAnsi="仿宋_GB2312" w:eastAsia="仿宋_GB2312" w:cs="仿宋_GB2312"/>
          <w:b w:val="0"/>
          <w:bCs w:val="0"/>
          <w:color w:val="auto"/>
          <w:sz w:val="40"/>
          <w:szCs w:val="40"/>
          <w:highlight w:val="none"/>
          <w:lang w:val="en-US" w:eastAsia="zh-CN"/>
        </w:rPr>
        <w:t>维修养护项目</w:t>
      </w:r>
    </w:p>
    <w:p w14:paraId="58435777">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6A107649">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19F0464C">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0112A390">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703B0317">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49A51C18">
      <w:pPr>
        <w:pStyle w:val="4"/>
        <w:kinsoku/>
        <w:overflowPunct/>
        <w:bidi w:val="0"/>
        <w:spacing w:line="360" w:lineRule="auto"/>
        <w:ind w:firstLine="2400" w:firstLineChars="1200"/>
        <w:jc w:val="both"/>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合同编号：____________________</w:t>
      </w:r>
    </w:p>
    <w:p w14:paraId="7A74AFBE">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63DCDF07">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BF66ACE">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　　方：____________________(采购人名称)</w:t>
      </w:r>
    </w:p>
    <w:p w14:paraId="7C97D9E3">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1F59D3">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0E37A4A">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　　方：____________________(</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w:t>
      </w:r>
    </w:p>
    <w:p w14:paraId="35E8373F">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5DC410BF">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92CBA5">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签署日期：     年    月    日</w:t>
      </w:r>
    </w:p>
    <w:p w14:paraId="36CAFA90">
      <w:pPr>
        <w:pStyle w:val="4"/>
        <w:keepNext w:val="0"/>
        <w:keepLines w:val="0"/>
        <w:pageBreakBefore/>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根据《中华人民共和国政府采购法》、《中华人民共和国</w:t>
      </w:r>
      <w:r>
        <w:rPr>
          <w:rFonts w:hint="eastAsia" w:ascii="仿宋_GB2312" w:hAnsi="仿宋_GB2312" w:eastAsia="仿宋_GB2312" w:cs="仿宋_GB2312"/>
          <w:b w:val="0"/>
          <w:bCs w:val="0"/>
          <w:color w:val="auto"/>
          <w:sz w:val="20"/>
          <w:szCs w:val="20"/>
          <w:highlight w:val="none"/>
          <w:lang w:val="en-US" w:eastAsia="zh-CN"/>
        </w:rPr>
        <w:t>民法典</w:t>
      </w:r>
      <w:r>
        <w:rPr>
          <w:rFonts w:hint="eastAsia" w:ascii="仿宋_GB2312" w:hAnsi="仿宋_GB2312" w:eastAsia="仿宋_GB2312" w:cs="仿宋_GB2312"/>
          <w:b w:val="0"/>
          <w:bCs w:val="0"/>
          <w:color w:val="auto"/>
          <w:sz w:val="20"/>
          <w:szCs w:val="20"/>
          <w:highlight w:val="none"/>
        </w:rPr>
        <w:t>》</w:t>
      </w:r>
      <w:r>
        <w:rPr>
          <w:rFonts w:hint="eastAsia" w:ascii="仿宋_GB2312" w:hAnsi="仿宋_GB2312" w:eastAsia="仿宋_GB2312" w:cs="仿宋_GB2312"/>
          <w:b w:val="0"/>
          <w:bCs w:val="0"/>
          <w:color w:val="auto"/>
          <w:sz w:val="20"/>
          <w:szCs w:val="20"/>
          <w:highlight w:val="none"/>
          <w:lang w:val="en-US" w:eastAsia="zh-CN"/>
        </w:rPr>
        <w:t>第三编</w:t>
      </w:r>
      <w:r>
        <w:rPr>
          <w:rFonts w:hint="eastAsia" w:ascii="仿宋_GB2312" w:hAnsi="仿宋_GB2312" w:eastAsia="仿宋_GB2312" w:cs="仿宋_GB2312"/>
          <w:b w:val="0"/>
          <w:bCs w:val="0"/>
          <w:color w:val="auto"/>
          <w:sz w:val="20"/>
          <w:szCs w:val="20"/>
          <w:highlight w:val="none"/>
        </w:rPr>
        <w:t>等有关法律法规规定，____________(采购人名称)(以下简称：“甲方”)通过</w:t>
      </w:r>
      <w:r>
        <w:rPr>
          <w:rFonts w:hint="eastAsia" w:ascii="仿宋_GB2312" w:hAnsi="仿宋_GB2312" w:eastAsia="仿宋_GB2312" w:cs="仿宋_GB2312"/>
          <w:b w:val="0"/>
          <w:bCs w:val="0"/>
          <w:color w:val="auto"/>
          <w:sz w:val="20"/>
          <w:szCs w:val="20"/>
          <w:highlight w:val="none"/>
          <w:u w:val="single"/>
          <w:lang w:val="en-US" w:eastAsia="zh-CN"/>
        </w:rPr>
        <w:t>公开招标</w:t>
      </w:r>
      <w:r>
        <w:rPr>
          <w:rFonts w:hint="eastAsia" w:ascii="仿宋_GB2312" w:hAnsi="仿宋_GB2312" w:eastAsia="仿宋_GB2312" w:cs="仿宋_GB2312"/>
          <w:b w:val="0"/>
          <w:bCs w:val="0"/>
          <w:color w:val="auto"/>
          <w:sz w:val="20"/>
          <w:szCs w:val="20"/>
          <w:highlight w:val="none"/>
        </w:rPr>
        <w:t>采购(</w:t>
      </w:r>
      <w:r>
        <w:rPr>
          <w:rFonts w:hint="eastAsia" w:ascii="仿宋_GB2312" w:hAnsi="仿宋_GB2312" w:eastAsia="仿宋_GB2312" w:cs="仿宋_GB2312"/>
          <w:b w:val="0"/>
          <w:bCs w:val="0"/>
          <w:color w:val="auto"/>
          <w:sz w:val="20"/>
          <w:szCs w:val="20"/>
          <w:highlight w:val="none"/>
          <w:lang w:eastAsia="zh-CN"/>
        </w:rPr>
        <w:t>采购人</w:t>
      </w:r>
      <w:r>
        <w:rPr>
          <w:rFonts w:hint="eastAsia" w:ascii="仿宋_GB2312" w:hAnsi="仿宋_GB2312" w:eastAsia="仿宋_GB2312" w:cs="仿宋_GB2312"/>
          <w:b w:val="0"/>
          <w:bCs w:val="0"/>
          <w:color w:val="auto"/>
          <w:sz w:val="20"/>
          <w:szCs w:val="20"/>
          <w:highlight w:val="none"/>
        </w:rPr>
        <w:t>式)确定______(</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名称)(以下简称：“乙方”)为______项目(项目名称)的</w:t>
      </w:r>
      <w:r>
        <w:rPr>
          <w:rFonts w:hint="eastAsia" w:ascii="仿宋_GB2312" w:hAnsi="仿宋_GB2312" w:eastAsia="仿宋_GB2312" w:cs="仿宋_GB2312"/>
          <w:b w:val="0"/>
          <w:bCs w:val="0"/>
          <w:color w:val="auto"/>
          <w:sz w:val="20"/>
          <w:szCs w:val="20"/>
          <w:highlight w:val="none"/>
          <w:lang w:val="en-US" w:eastAsia="zh-CN"/>
        </w:rPr>
        <w:t>包中标</w:t>
      </w:r>
      <w:r>
        <w:rPr>
          <w:rFonts w:hint="eastAsia" w:ascii="仿宋_GB2312" w:hAnsi="仿宋_GB2312" w:eastAsia="仿宋_GB2312" w:cs="仿宋_GB2312"/>
          <w:b w:val="0"/>
          <w:bCs w:val="0"/>
          <w:color w:val="auto"/>
          <w:sz w:val="20"/>
          <w:szCs w:val="20"/>
          <w:highlight w:val="none"/>
          <w:lang w:eastAsia="zh-CN"/>
        </w:rPr>
        <w:t>人</w:t>
      </w:r>
      <w:r>
        <w:rPr>
          <w:rFonts w:hint="eastAsia" w:ascii="仿宋_GB2312" w:hAnsi="仿宋_GB2312" w:eastAsia="仿宋_GB2312" w:cs="仿宋_GB2312"/>
          <w:b w:val="0"/>
          <w:bCs w:val="0"/>
          <w:color w:val="auto"/>
          <w:sz w:val="20"/>
          <w:szCs w:val="20"/>
          <w:highlight w:val="none"/>
        </w:rPr>
        <w:t>。甲乙双方同意签署《______项目(项目名称)合同》(合同编号：______，以下简称：“合同”)。</w:t>
      </w:r>
    </w:p>
    <w:p w14:paraId="5D3E851A">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0" w:name="_Toc8142"/>
      <w:r>
        <w:rPr>
          <w:rFonts w:hint="eastAsia" w:ascii="仿宋_GB2312" w:hAnsi="仿宋_GB2312" w:eastAsia="仿宋_GB2312" w:cs="仿宋_GB2312"/>
          <w:b w:val="0"/>
          <w:bCs w:val="0"/>
          <w:color w:val="auto"/>
          <w:sz w:val="20"/>
          <w:szCs w:val="20"/>
          <w:highlight w:val="none"/>
        </w:rPr>
        <w:t>1.合同文件</w:t>
      </w:r>
      <w:bookmarkEnd w:id="0"/>
    </w:p>
    <w:p w14:paraId="3E65A75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下列文件是构成本合同不可分割的部分：</w:t>
      </w:r>
    </w:p>
    <w:p w14:paraId="0FFCD7C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(1)合同条款；</w:t>
      </w:r>
    </w:p>
    <w:p w14:paraId="612BDECD">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(2)报价表；</w:t>
      </w:r>
    </w:p>
    <w:p w14:paraId="651DD53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(3)投标(响应)文件技术部分；</w:t>
      </w:r>
    </w:p>
    <w:p w14:paraId="3827BC17">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(4)其他。</w:t>
      </w:r>
    </w:p>
    <w:p w14:paraId="63BFACE6">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 w:name="_Toc6001"/>
      <w:r>
        <w:rPr>
          <w:rFonts w:hint="eastAsia" w:ascii="仿宋_GB2312" w:hAnsi="仿宋_GB2312" w:eastAsia="仿宋_GB2312" w:cs="仿宋_GB2312"/>
          <w:b w:val="0"/>
          <w:bCs w:val="0"/>
          <w:color w:val="auto"/>
          <w:sz w:val="20"/>
          <w:szCs w:val="20"/>
          <w:highlight w:val="none"/>
        </w:rPr>
        <w:t>2.采购服务内容(根据实际情况填写)</w:t>
      </w:r>
      <w:bookmarkEnd w:id="1"/>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4D2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B893D2B">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服务名称</w:t>
            </w:r>
          </w:p>
        </w:tc>
        <w:tc>
          <w:tcPr>
            <w:tcW w:w="816" w:type="dxa"/>
            <w:vAlign w:val="center"/>
          </w:tcPr>
          <w:p w14:paraId="2E6E6002">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数量</w:t>
            </w:r>
          </w:p>
        </w:tc>
        <w:tc>
          <w:tcPr>
            <w:tcW w:w="816" w:type="dxa"/>
            <w:vAlign w:val="center"/>
          </w:tcPr>
          <w:p w14:paraId="3E6B06C0">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单位</w:t>
            </w:r>
          </w:p>
        </w:tc>
        <w:tc>
          <w:tcPr>
            <w:tcW w:w="5164" w:type="dxa"/>
            <w:vAlign w:val="center"/>
          </w:tcPr>
          <w:p w14:paraId="3A8D204B">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具体服务承诺(包含但不限于服务内容、范围和基本要求)</w:t>
            </w:r>
          </w:p>
        </w:tc>
      </w:tr>
      <w:tr w14:paraId="1D7B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81C1C65">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35BB6CD7">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52BCA9F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项</w:t>
            </w:r>
          </w:p>
        </w:tc>
        <w:tc>
          <w:tcPr>
            <w:tcW w:w="5164" w:type="dxa"/>
            <w:vAlign w:val="center"/>
          </w:tcPr>
          <w:p w14:paraId="254650EA">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r w14:paraId="2FF8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0CAAD76">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w:t>
            </w:r>
          </w:p>
        </w:tc>
        <w:tc>
          <w:tcPr>
            <w:tcW w:w="816" w:type="dxa"/>
            <w:vAlign w:val="center"/>
          </w:tcPr>
          <w:p w14:paraId="2D7707B4">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2D34EBB8">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5164" w:type="dxa"/>
            <w:vAlign w:val="center"/>
          </w:tcPr>
          <w:p w14:paraId="067A0B79">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bl>
    <w:p w14:paraId="63903754">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采购服务内容见附件一</w:t>
      </w:r>
    </w:p>
    <w:p w14:paraId="7D311D6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 w:name="_Toc20176"/>
      <w:r>
        <w:rPr>
          <w:rFonts w:hint="eastAsia" w:ascii="仿宋_GB2312" w:hAnsi="仿宋_GB2312" w:eastAsia="仿宋_GB2312" w:cs="仿宋_GB2312"/>
          <w:b w:val="0"/>
          <w:bCs w:val="0"/>
          <w:color w:val="auto"/>
          <w:sz w:val="20"/>
          <w:szCs w:val="20"/>
          <w:highlight w:val="none"/>
        </w:rPr>
        <w:t>3.合同金额</w:t>
      </w:r>
      <w:bookmarkEnd w:id="2"/>
    </w:p>
    <w:p w14:paraId="26776F3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本合同总金额（含税价）为人民币______元</w:t>
      </w:r>
      <w:r>
        <w:rPr>
          <w:rFonts w:hint="eastAsia" w:ascii="仿宋_GB2312" w:hAnsi="仿宋_GB2312" w:eastAsia="仿宋_GB2312" w:cs="仿宋_GB2312"/>
          <w:b w:val="0"/>
          <w:bCs w:val="0"/>
          <w:color w:val="auto"/>
          <w:sz w:val="20"/>
          <w:szCs w:val="20"/>
          <w:highlight w:val="none"/>
          <w:lang w:val="en-US" w:eastAsia="zh-CN"/>
        </w:rPr>
        <w:t>/年</w:t>
      </w:r>
      <w:r>
        <w:rPr>
          <w:rFonts w:hint="eastAsia" w:ascii="仿宋_GB2312" w:hAnsi="仿宋_GB2312" w:eastAsia="仿宋_GB2312" w:cs="仿宋_GB2312"/>
          <w:b w:val="0"/>
          <w:bCs w:val="0"/>
          <w:color w:val="auto"/>
          <w:sz w:val="20"/>
          <w:szCs w:val="20"/>
          <w:highlight w:val="none"/>
        </w:rPr>
        <w:t>(￥______)。</w:t>
      </w:r>
    </w:p>
    <w:p w14:paraId="1A2CF94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4.合同签订地：                             </w:t>
      </w:r>
    </w:p>
    <w:p w14:paraId="4942E6FB">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3" w:name="_Toc3400"/>
      <w:r>
        <w:rPr>
          <w:rFonts w:hint="eastAsia" w:ascii="仿宋_GB2312" w:hAnsi="仿宋_GB2312" w:eastAsia="仿宋_GB2312" w:cs="仿宋_GB2312"/>
          <w:b w:val="0"/>
          <w:bCs w:val="0"/>
          <w:color w:val="auto"/>
          <w:sz w:val="20"/>
          <w:szCs w:val="20"/>
          <w:highlight w:val="none"/>
        </w:rPr>
        <w:t>5.合同生效</w:t>
      </w:r>
      <w:bookmarkEnd w:id="3"/>
    </w:p>
    <w:p w14:paraId="5DF4328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本合同一式四份，经甲乙双方法定代表人或其授权代表签字盖章后生效，甲乙双方各执两份。</w:t>
      </w:r>
    </w:p>
    <w:p w14:paraId="21B1076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p>
    <w:p w14:paraId="0E345E09">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甲方：(采购人名称)</w:t>
      </w:r>
    </w:p>
    <w:p w14:paraId="4D8434B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法定代表人或其授权代表签字(签章): </w:t>
      </w:r>
      <w:r>
        <w:rPr>
          <w:rFonts w:hint="eastAsia" w:ascii="仿宋_GB2312" w:hAnsi="仿宋_GB2312" w:eastAsia="仿宋_GB2312" w:cs="仿宋_GB2312"/>
          <w:b w:val="0"/>
          <w:bCs w:val="0"/>
          <w:color w:val="auto"/>
          <w:sz w:val="20"/>
          <w:szCs w:val="20"/>
          <w:highlight w:val="none"/>
        </w:rPr>
        <w:tab/>
      </w:r>
    </w:p>
    <w:p w14:paraId="3C7402CF">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7EF3AEA8">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2410C8A5">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名称)</w:t>
      </w:r>
    </w:p>
    <w:p w14:paraId="5BAEA85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法定代表人或其授权代表签字(签章)：</w:t>
      </w:r>
    </w:p>
    <w:p w14:paraId="5E041C0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p>
    <w:p w14:paraId="7DF02DE1">
      <w:pPr>
        <w:pStyle w:val="4"/>
        <w:keepNext w:val="0"/>
        <w:keepLines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br w:type="page"/>
      </w:r>
      <w:r>
        <w:rPr>
          <w:rFonts w:hint="eastAsia" w:ascii="仿宋_GB2312" w:hAnsi="仿宋_GB2312" w:eastAsia="仿宋_GB2312" w:cs="仿宋_GB2312"/>
          <w:b/>
          <w:bCs/>
          <w:color w:val="auto"/>
          <w:sz w:val="20"/>
          <w:szCs w:val="20"/>
          <w:highlight w:val="none"/>
        </w:rPr>
        <w:t>合同</w:t>
      </w:r>
      <w:r>
        <w:rPr>
          <w:rFonts w:hint="eastAsia" w:ascii="仿宋_GB2312" w:hAnsi="仿宋_GB2312" w:eastAsia="仿宋_GB2312" w:cs="仿宋_GB2312"/>
          <w:b/>
          <w:bCs/>
          <w:color w:val="auto"/>
          <w:sz w:val="20"/>
          <w:szCs w:val="20"/>
          <w:highlight w:val="none"/>
          <w:lang w:val="en-US" w:eastAsia="zh-CN"/>
        </w:rPr>
        <w:t>专用</w:t>
      </w:r>
      <w:r>
        <w:rPr>
          <w:rFonts w:hint="eastAsia" w:ascii="仿宋_GB2312" w:hAnsi="仿宋_GB2312" w:eastAsia="仿宋_GB2312" w:cs="仿宋_GB2312"/>
          <w:b/>
          <w:bCs/>
          <w:color w:val="auto"/>
          <w:sz w:val="20"/>
          <w:szCs w:val="20"/>
          <w:highlight w:val="none"/>
        </w:rPr>
        <w:t>条款</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99"/>
      </w:tblGrid>
      <w:tr w14:paraId="4DCA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vAlign w:val="center"/>
          </w:tcPr>
          <w:p w14:paraId="4EFE30E5">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序号</w:t>
            </w:r>
          </w:p>
        </w:tc>
        <w:tc>
          <w:tcPr>
            <w:tcW w:w="7799" w:type="dxa"/>
            <w:vAlign w:val="center"/>
          </w:tcPr>
          <w:p w14:paraId="7320198C">
            <w:pPr>
              <w:pStyle w:val="4"/>
              <w:keepNext w:val="0"/>
              <w:keepLines w:val="0"/>
              <w:pageBreakBefore w:val="0"/>
              <w:widowControl w:val="0"/>
              <w:kinsoku/>
              <w:wordWrap/>
              <w:overflowPunct/>
              <w:topLinePunct w:val="0"/>
              <w:autoSpaceDE/>
              <w:autoSpaceDN/>
              <w:bidi w:val="0"/>
              <w:adjustRightInd/>
              <w:snapToGrid/>
              <w:spacing w:line="360" w:lineRule="auto"/>
              <w:ind w:firstLine="402" w:firstLineChars="200"/>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内容</w:t>
            </w:r>
          </w:p>
        </w:tc>
      </w:tr>
      <w:tr w14:paraId="7D51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6CDC643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w:t>
            </w:r>
          </w:p>
        </w:tc>
        <w:tc>
          <w:tcPr>
            <w:tcW w:w="7799" w:type="dxa"/>
            <w:vAlign w:val="center"/>
          </w:tcPr>
          <w:p w14:paraId="3E455B85">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合同名称：</w:t>
            </w:r>
          </w:p>
          <w:p w14:paraId="7BF8437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合同编号：</w:t>
            </w:r>
          </w:p>
        </w:tc>
      </w:tr>
      <w:tr w14:paraId="6422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149D2A8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w:t>
            </w:r>
          </w:p>
        </w:tc>
        <w:tc>
          <w:tcPr>
            <w:tcW w:w="7799" w:type="dxa"/>
            <w:vAlign w:val="center"/>
          </w:tcPr>
          <w:p w14:paraId="743816E3">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甲方名称：</w:t>
            </w:r>
          </w:p>
        </w:tc>
      </w:tr>
      <w:tr w14:paraId="6D69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03E1A1D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4436ACA">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甲方地址：</w:t>
            </w:r>
          </w:p>
        </w:tc>
      </w:tr>
      <w:tr w14:paraId="6846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7CD9F31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13A3C14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甲方联系人：　　　　电话：</w:t>
            </w:r>
          </w:p>
        </w:tc>
      </w:tr>
      <w:tr w14:paraId="343D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64741A5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p>
        </w:tc>
        <w:tc>
          <w:tcPr>
            <w:tcW w:w="7799" w:type="dxa"/>
            <w:vAlign w:val="center"/>
          </w:tcPr>
          <w:p w14:paraId="1274EC1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乙方名称：</w:t>
            </w:r>
          </w:p>
        </w:tc>
      </w:tr>
      <w:tr w14:paraId="5AA4B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2C38863E">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540AC1F">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乙方地址：</w:t>
            </w:r>
          </w:p>
        </w:tc>
      </w:tr>
      <w:tr w14:paraId="6B1C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C7C024B">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3FF4F995">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乙方联系人：　　　　电话：</w:t>
            </w:r>
          </w:p>
        </w:tc>
      </w:tr>
      <w:tr w14:paraId="64C5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0A80B92">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D3BC3A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乙方开户银行名称：</w:t>
            </w:r>
          </w:p>
          <w:p w14:paraId="6271960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账号：</w:t>
            </w:r>
          </w:p>
        </w:tc>
      </w:tr>
      <w:tr w14:paraId="59B3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921139E">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w:t>
            </w:r>
          </w:p>
        </w:tc>
        <w:tc>
          <w:tcPr>
            <w:tcW w:w="7799" w:type="dxa"/>
            <w:vAlign w:val="center"/>
          </w:tcPr>
          <w:p w14:paraId="03A4D64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合同金额：</w:t>
            </w:r>
          </w:p>
        </w:tc>
      </w:tr>
      <w:tr w14:paraId="51EC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17" w:type="dxa"/>
            <w:vAlign w:val="center"/>
          </w:tcPr>
          <w:p w14:paraId="35C63EF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w:t>
            </w:r>
          </w:p>
        </w:tc>
        <w:tc>
          <w:tcPr>
            <w:tcW w:w="7799" w:type="dxa"/>
            <w:vAlign w:val="center"/>
          </w:tcPr>
          <w:p w14:paraId="701C7D7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服务地点：采购人指定地点</w:t>
            </w:r>
          </w:p>
        </w:tc>
      </w:tr>
      <w:tr w14:paraId="0AE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F4B5D6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w:t>
            </w:r>
          </w:p>
        </w:tc>
        <w:tc>
          <w:tcPr>
            <w:tcW w:w="7799" w:type="dxa"/>
            <w:vAlign w:val="center"/>
          </w:tcPr>
          <w:p w14:paraId="78D42C4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服务履行期：</w:t>
            </w:r>
          </w:p>
        </w:tc>
      </w:tr>
      <w:tr w14:paraId="3B36C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94005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w:t>
            </w:r>
          </w:p>
        </w:tc>
        <w:tc>
          <w:tcPr>
            <w:tcW w:w="7799" w:type="dxa"/>
            <w:vAlign w:val="center"/>
          </w:tcPr>
          <w:p w14:paraId="58824C3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验收方式及标准：见招标文件</w:t>
            </w:r>
          </w:p>
        </w:tc>
      </w:tr>
      <w:tr w14:paraId="7ED1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17" w:type="dxa"/>
            <w:vAlign w:val="center"/>
          </w:tcPr>
          <w:p w14:paraId="2697C799">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w:t>
            </w:r>
          </w:p>
        </w:tc>
        <w:tc>
          <w:tcPr>
            <w:tcW w:w="7799" w:type="dxa"/>
            <w:vAlign w:val="center"/>
          </w:tcPr>
          <w:p w14:paraId="59DA701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付款方式：</w:t>
            </w:r>
          </w:p>
          <w:p w14:paraId="076FF1C8">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（1）服务费用以人民币付款,按月支付，每月实际支付费用按照本合同“考核标准及办法”规定的服务日常考核办法中对应的考核结果按相应比例计算后进行结算。中标人于每月 15 日之前根据采购人考核结果按上月服务费金额开具增值税专用发票的形式交于采购人（中标人凭采购人签署的考核结果开具发票，提交采购人报账；</w:t>
            </w:r>
          </w:p>
          <w:p w14:paraId="24DAE140">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发票的开具时间根据采购人的财务要求执行,发票应注明税率），采购人在收到发票后，达到付款条件起 10 日内，支付合同总金额的 12.50%。12月养护费可以根据财政资金支付进度要求，在12中旬支付乙方。</w:t>
            </w:r>
            <w:bookmarkStart w:id="32" w:name="_GoBack"/>
            <w:bookmarkEnd w:id="32"/>
          </w:p>
          <w:p w14:paraId="51C56266">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（2）乙方于每月15日之前根据甲方考核结果按上月服务费金额开具增值税专用发票的形式交于甲方，甲方在收到发票后10日内付款到乙方指定的银行账户。</w:t>
            </w:r>
          </w:p>
          <w:p w14:paraId="4B308513">
            <w:pPr>
              <w:pStyle w:val="3"/>
              <w:pageBreakBefore w:val="0"/>
              <w:kinsoku/>
              <w:wordWrap/>
              <w:overflowPunct/>
              <w:topLinePunct w:val="0"/>
              <w:bidi w:val="0"/>
              <w:adjustRightInd/>
              <w:snapToGrid/>
              <w:spacing w:line="360" w:lineRule="auto"/>
              <w:rPr>
                <w:rFonts w:hint="eastAsia" w:ascii="仿宋_GB2312" w:hAnsi="仿宋_GB2312" w:eastAsia="仿宋_GB2312" w:cs="仿宋_GB2312"/>
                <w:b w:val="0"/>
                <w:bCs w:val="0"/>
                <w:color w:val="auto"/>
                <w:sz w:val="20"/>
                <w:szCs w:val="18"/>
                <w:highlight w:val="none"/>
                <w:lang w:val="en-US" w:eastAsia="zh-CN"/>
              </w:rPr>
            </w:pPr>
            <w:r>
              <w:rPr>
                <w:rFonts w:hint="eastAsia" w:ascii="仿宋_GB2312" w:hAnsi="仿宋_GB2312" w:eastAsia="仿宋_GB2312" w:cs="仿宋_GB2312"/>
                <w:b w:val="0"/>
                <w:bCs w:val="0"/>
                <w:color w:val="auto"/>
                <w:sz w:val="20"/>
                <w:szCs w:val="18"/>
                <w:highlight w:val="none"/>
                <w:lang w:val="en-US" w:eastAsia="zh-CN"/>
              </w:rPr>
              <w:t>（3）乙方凭甲方签署的考核结果开具发票，提交甲方报账；发票的开具时间根据甲方的财务要求执行,发票应注明税率。</w:t>
            </w:r>
          </w:p>
        </w:tc>
      </w:tr>
      <w:tr w14:paraId="746E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B51092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w:t>
            </w:r>
          </w:p>
        </w:tc>
        <w:tc>
          <w:tcPr>
            <w:tcW w:w="7799" w:type="dxa"/>
            <w:vAlign w:val="center"/>
          </w:tcPr>
          <w:p w14:paraId="5CB89967">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履约保证金及其返还：/</w:t>
            </w:r>
          </w:p>
        </w:tc>
      </w:tr>
      <w:tr w14:paraId="5D185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578D170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10</w:t>
            </w:r>
          </w:p>
        </w:tc>
        <w:tc>
          <w:tcPr>
            <w:tcW w:w="7799" w:type="dxa"/>
            <w:vAlign w:val="center"/>
          </w:tcPr>
          <w:p w14:paraId="4800926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违约金约定(请在方框画“√”选择)：发生违约行为的违约方需向守约方支付违约金，违约金为合同金额的10%。</w:t>
            </w:r>
          </w:p>
          <w:p w14:paraId="13EE2D0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损失赔偿约定(请在方框画“√”选择)：违约方需赔偿守约方的一切经济损失。</w:t>
            </w:r>
          </w:p>
          <w:p w14:paraId="3EF2F77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甲方有权从履约保证金或合同价款中扣除乙方应付违约金及造成的甲方损失。</w:t>
            </w:r>
          </w:p>
        </w:tc>
      </w:tr>
      <w:tr w14:paraId="7DC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A9385A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11</w:t>
            </w:r>
          </w:p>
        </w:tc>
        <w:tc>
          <w:tcPr>
            <w:tcW w:w="7799" w:type="dxa"/>
            <w:vAlign w:val="center"/>
          </w:tcPr>
          <w:p w14:paraId="0A65127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误期赔偿费约定：如果乙方没有按照合同规定的时间提供服务，甲方有权从履约保证金中扣除误期赔偿费而不影响合同项下的其他补救方法。赔偿费每日按合同金额的0.5%计收，直至提供服务为止。误期赔偿费的最高限额不超过合同价的15%。</w:t>
            </w:r>
          </w:p>
        </w:tc>
      </w:tr>
      <w:tr w14:paraId="45E5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2EB8056">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12</w:t>
            </w:r>
          </w:p>
        </w:tc>
        <w:tc>
          <w:tcPr>
            <w:tcW w:w="7799" w:type="dxa"/>
            <w:vAlign w:val="center"/>
          </w:tcPr>
          <w:p w14:paraId="406D1D2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rPr>
              <w:t>服务缺陷的补救措施和索赔</w:t>
            </w:r>
            <w:r>
              <w:rPr>
                <w:rFonts w:hint="eastAsia" w:ascii="仿宋_GB2312" w:hAnsi="仿宋_GB2312" w:eastAsia="仿宋_GB2312" w:cs="仿宋_GB2312"/>
                <w:b w:val="0"/>
                <w:bCs w:val="0"/>
                <w:color w:val="auto"/>
                <w:sz w:val="20"/>
                <w:szCs w:val="20"/>
                <w:highlight w:val="none"/>
                <w:lang w:eastAsia="zh-CN"/>
              </w:rPr>
              <w:t>：</w:t>
            </w:r>
          </w:p>
          <w:p w14:paraId="258F7D8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lang w:val="en-US" w:eastAsia="zh-CN"/>
              </w:rPr>
              <w:t>按照考核标准及办法进行执行。详见本合同附件：《维修养护项目养护单位考核办法》、《</w:t>
            </w:r>
            <w:r>
              <w:rPr>
                <w:rFonts w:hint="eastAsia" w:ascii="仿宋_GB2312" w:hAnsi="仿宋_GB2312" w:eastAsia="仿宋_GB2312" w:cs="仿宋_GB2312"/>
                <w:b w:val="0"/>
                <w:bCs w:val="0"/>
                <w:color w:val="auto"/>
                <w:sz w:val="20"/>
                <w:szCs w:val="20"/>
                <w:highlight w:val="none"/>
              </w:rPr>
              <w:t>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p>
          <w:p w14:paraId="0D93DD2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rPr>
              <w:t>如果乙方提供的服务不符合本合同约定以及招标文件、投标文件关于服务的要求和承诺，乙方应按照甲方同意</w:t>
            </w:r>
            <w:r>
              <w:rPr>
                <w:rFonts w:hint="eastAsia" w:ascii="仿宋_GB2312" w:hAnsi="仿宋_GB2312" w:eastAsia="仿宋_GB2312" w:cs="仿宋_GB2312"/>
                <w:b w:val="0"/>
                <w:bCs w:val="0"/>
                <w:color w:val="auto"/>
                <w:sz w:val="20"/>
                <w:szCs w:val="20"/>
                <w:highlight w:val="none"/>
                <w:lang w:val="en-US" w:eastAsia="zh-CN"/>
              </w:rPr>
              <w:t>按照以下条款</w:t>
            </w:r>
            <w:r>
              <w:rPr>
                <w:rFonts w:hint="eastAsia" w:ascii="仿宋_GB2312" w:hAnsi="仿宋_GB2312" w:eastAsia="仿宋_GB2312" w:cs="仿宋_GB2312"/>
                <w:b w:val="0"/>
                <w:bCs w:val="0"/>
                <w:color w:val="auto"/>
                <w:sz w:val="20"/>
                <w:szCs w:val="20"/>
                <w:highlight w:val="none"/>
              </w:rPr>
              <w:t>解决索赔事宜</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根据服务的质量状况以及甲方所遭受的损失，</w:t>
            </w:r>
            <w:r>
              <w:rPr>
                <w:rFonts w:hint="eastAsia" w:ascii="仿宋_GB2312" w:hAnsi="仿宋_GB2312" w:eastAsia="仿宋_GB2312" w:cs="仿宋_GB2312"/>
                <w:b w:val="0"/>
                <w:bCs w:val="0"/>
                <w:color w:val="auto"/>
                <w:sz w:val="20"/>
                <w:szCs w:val="20"/>
                <w:highlight w:val="none"/>
                <w:lang w:val="en-US" w:eastAsia="zh-CN"/>
              </w:rPr>
              <w:t>按照《维修养护项目养护单位考核办法》、《</w:t>
            </w:r>
            <w:r>
              <w:rPr>
                <w:rFonts w:hint="eastAsia" w:ascii="仿宋_GB2312" w:hAnsi="仿宋_GB2312" w:eastAsia="仿宋_GB2312" w:cs="仿宋_GB2312"/>
                <w:b w:val="0"/>
                <w:bCs w:val="0"/>
                <w:color w:val="auto"/>
                <w:sz w:val="20"/>
                <w:szCs w:val="20"/>
                <w:highlight w:val="none"/>
              </w:rPr>
              <w:t>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lang w:val="en-US" w:eastAsia="zh-CN"/>
              </w:rPr>
              <w:t>扣除相应合同价款</w:t>
            </w:r>
            <w:r>
              <w:rPr>
                <w:rFonts w:hint="eastAsia" w:ascii="仿宋_GB2312" w:hAnsi="仿宋_GB2312" w:eastAsia="仿宋_GB2312" w:cs="仿宋_GB2312"/>
                <w:b w:val="0"/>
                <w:bCs w:val="0"/>
                <w:color w:val="auto"/>
                <w:sz w:val="20"/>
                <w:szCs w:val="20"/>
                <w:highlight w:val="none"/>
              </w:rPr>
              <w:t>。</w:t>
            </w:r>
          </w:p>
        </w:tc>
      </w:tr>
      <w:tr w14:paraId="7188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5B6FAB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13</w:t>
            </w:r>
          </w:p>
        </w:tc>
        <w:tc>
          <w:tcPr>
            <w:tcW w:w="7799" w:type="dxa"/>
            <w:vAlign w:val="center"/>
          </w:tcPr>
          <w:p w14:paraId="780E174B">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合同纠纷的解决方式：</w:t>
            </w:r>
          </w:p>
          <w:p w14:paraId="4CE914DF">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首先通过双方协商解决，协商解决不成，则通过以下途径之一解决纠纷(请在方框旁画“√”选择)：</w:t>
            </w:r>
          </w:p>
          <w:p w14:paraId="46B9D46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提请______仲裁委员会按照仲裁程序在______(仲裁地)仲裁</w:t>
            </w:r>
          </w:p>
          <w:p w14:paraId="7F51618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向甲方住所地人民法院提起诉讼</w:t>
            </w:r>
          </w:p>
        </w:tc>
      </w:tr>
    </w:tbl>
    <w:p w14:paraId="170CD773">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3FA9B2B6">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p>
    <w:p w14:paraId="70F8D48D">
      <w:pPr>
        <w:pStyle w:val="4"/>
        <w:kinsoku/>
        <w:overflowPunct/>
        <w:bidi w:val="0"/>
        <w:spacing w:line="360" w:lineRule="auto"/>
        <w:ind w:firstLine="402" w:firstLineChars="200"/>
        <w:jc w:val="cente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通用条款</w:t>
      </w:r>
    </w:p>
    <w:p w14:paraId="38B0C96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4" w:name="_Toc9682"/>
      <w:r>
        <w:rPr>
          <w:rFonts w:hint="eastAsia" w:ascii="仿宋_GB2312" w:hAnsi="仿宋_GB2312" w:eastAsia="仿宋_GB2312" w:cs="仿宋_GB2312"/>
          <w:b w:val="0"/>
          <w:bCs w:val="0"/>
          <w:color w:val="auto"/>
          <w:sz w:val="20"/>
          <w:szCs w:val="20"/>
          <w:highlight w:val="none"/>
        </w:rPr>
        <w:t>1.定义</w:t>
      </w:r>
      <w:bookmarkEnd w:id="4"/>
    </w:p>
    <w:p w14:paraId="4A8C002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本合同下列术语应解释为：</w:t>
      </w:r>
    </w:p>
    <w:p w14:paraId="0C8C8B1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　“甲方”是指采购人。</w:t>
      </w:r>
    </w:p>
    <w:p w14:paraId="43E1C0C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　“乙方”是指中标/成交</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w:t>
      </w:r>
    </w:p>
    <w:p w14:paraId="3DB6AD4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　“合同”系指甲乙双方签署的、合同中载明的甲乙双方所达成的协议，包括所有的附件、附录和上述文件所提到的构成合同的所有文件。</w:t>
      </w:r>
    </w:p>
    <w:p w14:paraId="48ABB6F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　“服务”是指乙方按照招标(采购)、投标(响应)文件要求，向采购人提供的技术支持服务。</w:t>
      </w:r>
    </w:p>
    <w:p w14:paraId="3226934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　“项目现场”是指甲方指定的最终服务地点。</w:t>
      </w:r>
    </w:p>
    <w:p w14:paraId="7148A00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　“天”除非特别指出，“天”均为自然天。</w:t>
      </w:r>
    </w:p>
    <w:p w14:paraId="6FBE620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5" w:name="_Toc6990"/>
      <w:r>
        <w:rPr>
          <w:rFonts w:hint="eastAsia" w:ascii="仿宋_GB2312" w:hAnsi="仿宋_GB2312" w:eastAsia="仿宋_GB2312" w:cs="仿宋_GB2312"/>
          <w:b w:val="0"/>
          <w:bCs w:val="0"/>
          <w:color w:val="auto"/>
          <w:sz w:val="20"/>
          <w:szCs w:val="20"/>
          <w:highlight w:val="none"/>
        </w:rPr>
        <w:t>2.服务标准</w:t>
      </w:r>
      <w:bookmarkEnd w:id="5"/>
    </w:p>
    <w:p w14:paraId="722C2D1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2.1　乙方为甲方交付的服务应符合招标(采购)文件所述的内容，如果没有提及适用标准，则应符合相应的国家标准。这些标准必须是有关机构发布的最新版本的标准。</w:t>
      </w:r>
    </w:p>
    <w:p w14:paraId="1CA9466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2.2　除非技术要求中另有规定，计量单位均采用中华人民共和国法定计量单位。</w:t>
      </w:r>
    </w:p>
    <w:p w14:paraId="49CE707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6" w:name="_Toc21821"/>
      <w:r>
        <w:rPr>
          <w:rFonts w:hint="eastAsia" w:ascii="仿宋_GB2312" w:hAnsi="仿宋_GB2312" w:eastAsia="仿宋_GB2312" w:cs="仿宋_GB2312"/>
          <w:b w:val="0"/>
          <w:bCs w:val="0"/>
          <w:color w:val="auto"/>
          <w:sz w:val="20"/>
          <w:szCs w:val="20"/>
          <w:highlight w:val="none"/>
        </w:rPr>
        <w:t>3.服务</w:t>
      </w:r>
      <w:bookmarkEnd w:id="6"/>
    </w:p>
    <w:p w14:paraId="61D850D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3.1　乙方应按照合同的规定，提供下列服务甲方提供符合要求的服务。</w:t>
      </w:r>
    </w:p>
    <w:p w14:paraId="1F022A5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7" w:name="_Toc11788"/>
      <w:r>
        <w:rPr>
          <w:rFonts w:hint="eastAsia" w:ascii="仿宋_GB2312" w:hAnsi="仿宋_GB2312" w:eastAsia="仿宋_GB2312" w:cs="仿宋_GB2312"/>
          <w:b w:val="0"/>
          <w:bCs w:val="0"/>
          <w:color w:val="auto"/>
          <w:sz w:val="20"/>
          <w:szCs w:val="20"/>
          <w:highlight w:val="none"/>
        </w:rPr>
        <w:t>4.知识产权</w:t>
      </w:r>
      <w:bookmarkEnd w:id="7"/>
    </w:p>
    <w:p w14:paraId="1AAAA88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4.1　乙方应保证所提供的服务免受第三方提出侵犯其知识产权(专利权、商标权、版权等)的起诉。因侵害他人知识产权而产生的法律责任，全部由</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承担。</w:t>
      </w:r>
    </w:p>
    <w:p w14:paraId="10FC32F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4.2　甲方委托乙方开发的产品，甲方享有知识产权，未经甲方许可不得转让任何第三人。</w:t>
      </w:r>
    </w:p>
    <w:p w14:paraId="70F2770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8" w:name="_Toc12956"/>
      <w:r>
        <w:rPr>
          <w:rFonts w:hint="eastAsia" w:ascii="仿宋_GB2312" w:hAnsi="仿宋_GB2312" w:eastAsia="仿宋_GB2312" w:cs="仿宋_GB2312"/>
          <w:b w:val="0"/>
          <w:bCs w:val="0"/>
          <w:color w:val="auto"/>
          <w:sz w:val="20"/>
          <w:szCs w:val="20"/>
          <w:highlight w:val="none"/>
        </w:rPr>
        <w:t>5.权利义务</w:t>
      </w:r>
      <w:bookmarkEnd w:id="8"/>
    </w:p>
    <w:p w14:paraId="2ACCABF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5.1甲方的权利和义务</w:t>
      </w:r>
    </w:p>
    <w:p w14:paraId="3336601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甲方有权对合同规定范围内乙方的服务行为进行监督和检查，拥有监管权。有权定期核对乙方提供服务所配备的人员数量。甲方对认为不合理的部分有权下达整改通知书，并要求乙方限期整改，限期未整改完毕的甲方有权要求乙方更换该服务配备的人员，直至提供服务符合合同约定的质量条件。</w:t>
      </w:r>
    </w:p>
    <w:p w14:paraId="405D169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（2）甲方有权对乙方提供的服务进行定期考评。当考评结果未达到标准时，甲方有权督促其改正或提出索赔。</w:t>
      </w:r>
    </w:p>
    <w:p w14:paraId="0AD89B3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（3）负责检查监督乙方管理工作的实施及制度的执行情况。</w:t>
      </w:r>
    </w:p>
    <w:p w14:paraId="3B80C78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（4）根据本合同规定，按时向乙方支付应付服务费用。</w:t>
      </w:r>
    </w:p>
    <w:p w14:paraId="1BAB432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（5）国家法律、法规所规定由甲方承担的其它责任。</w:t>
      </w:r>
    </w:p>
    <w:p w14:paraId="4E8B341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5.2乙方的权利和义务</w:t>
      </w:r>
    </w:p>
    <w:p w14:paraId="10CB5D71">
      <w:pPr>
        <w:pStyle w:val="4"/>
        <w:keepNext w:val="0"/>
        <w:keepLines w:val="0"/>
        <w:pageBreakBefore w:val="0"/>
        <w:numPr>
          <w:ilvl w:val="0"/>
          <w:numId w:val="1"/>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在服务期内，乙方应遵守国家相关劳动法律法规及行政规章，与乙方为提供本协议约定服务的派出人员建立合法的劳动关系，并履行法律法规规定的各项义务及承担相应的用工责任。</w:t>
      </w:r>
    </w:p>
    <w:p w14:paraId="62A000A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（2）乙方的</w:t>
      </w:r>
      <w:r>
        <w:rPr>
          <w:rFonts w:hint="eastAsia" w:ascii="仿宋_GB2312" w:hAnsi="仿宋_GB2312" w:eastAsia="仿宋_GB2312" w:cs="仿宋_GB2312"/>
          <w:b w:val="0"/>
          <w:bCs w:val="0"/>
          <w:color w:val="auto"/>
          <w:sz w:val="20"/>
          <w:szCs w:val="20"/>
          <w:highlight w:val="none"/>
          <w:lang w:val="en-US" w:eastAsia="zh-CN"/>
        </w:rPr>
        <w:t>工作人员</w:t>
      </w:r>
      <w:r>
        <w:rPr>
          <w:rFonts w:hint="eastAsia" w:ascii="仿宋_GB2312" w:hAnsi="仿宋_GB2312" w:eastAsia="仿宋_GB2312" w:cs="仿宋_GB2312"/>
          <w:b w:val="0"/>
          <w:bCs w:val="0"/>
          <w:color w:val="auto"/>
          <w:sz w:val="20"/>
          <w:szCs w:val="20"/>
          <w:highlight w:val="none"/>
        </w:rPr>
        <w:t>，要认真负责的管理好所辖人员，建立完备的工作制度和工作措施，杜绝不安全事故的发生。并及时与甲方有关人员进行沟通和交流。</w:t>
      </w:r>
    </w:p>
    <w:p w14:paraId="77D94F0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（3）乙方负责对所辖人员进行日常安全法制教育，乙方应遵循</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操作、文明作业的有关规定，在工作过程中，采取严格的</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措施，如发生人身安全事故，一切责任与费用由乙方承担。乙方负责员工的培训，工作人员要统一着装上岗。</w:t>
      </w:r>
    </w:p>
    <w:p w14:paraId="14D322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（4）乙方提供的服务质量要符合甲方的需求，对甲方提出的意见和建议，要认真及时加以整改，对不符合工作要求的人员要及时进行更换。</w:t>
      </w:r>
    </w:p>
    <w:p w14:paraId="7EB533B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（5）乙方必须把提供人员的基本情况向甲方进行报备存档，调整人员必须经甲方同意方可更换。</w:t>
      </w:r>
    </w:p>
    <w:p w14:paraId="32708B7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（6）根据本合同的规定向甲方收取相关服务费用，并有权在本项目管理范围内管理及合理使用。</w:t>
      </w:r>
    </w:p>
    <w:p w14:paraId="5780EEA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（7）及时向甲方通告本项目服务范围内有关服务的重大事项，及时配合处理投诉。</w:t>
      </w:r>
    </w:p>
    <w:p w14:paraId="0ECBF55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（8）服务人员应服从甲方的管理，遵守甲方各项管理制度；工作认真负责，并定期征求甲方对其工作的意见和建议，对存在的问题及时处理。乙方应</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"http://www.oh100.com/zuowen/ai/"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爱</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护各种设施，节水节电。因乙方在工作中给甲方设施、物品等造成损失的，乙方承担赔偿责任。</w:t>
      </w:r>
    </w:p>
    <w:p w14:paraId="18106C7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（9）乙方工作人员必须身体健康、仪容端正、品德良好，无违法犯罪纪录；</w:t>
      </w:r>
    </w:p>
    <w:p w14:paraId="338D8B9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（10）国家法律、法规所规定由乙方承担的其它责任。</w:t>
      </w:r>
    </w:p>
    <w:p w14:paraId="291C623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9" w:name="_Toc17954"/>
      <w:r>
        <w:rPr>
          <w:rFonts w:hint="eastAsia" w:ascii="仿宋_GB2312" w:hAnsi="仿宋_GB2312" w:eastAsia="仿宋_GB2312" w:cs="仿宋_GB2312"/>
          <w:b w:val="0"/>
          <w:bCs w:val="0"/>
          <w:color w:val="auto"/>
          <w:sz w:val="20"/>
          <w:szCs w:val="20"/>
          <w:highlight w:val="none"/>
        </w:rPr>
        <w:t>6.服务质量保证</w:t>
      </w:r>
      <w:bookmarkEnd w:id="9"/>
    </w:p>
    <w:p w14:paraId="09AE991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6.1　乙方应保证所提供的服务，符合合同规定的技术要求。如不符时，乙方应负全责并尽快处理解决，由此造成的损失和相关费用由乙方负责，甲方保留终止合同及索赔的权利。</w:t>
      </w:r>
    </w:p>
    <w:p w14:paraId="54E478A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6.2　乙方应保证通过执行合同中全部方案后，可以取得本合同规定的结果，达到本合同规定的预期目标。对任何情况下出现问题的，应尽快提出解决方案。</w:t>
      </w:r>
    </w:p>
    <w:p w14:paraId="651C1EE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6.3　如果乙方提供的服务和解决方案不符合甲方要求，或在规定的时间内没有弥补缺陷，甲方有权采取一切必要的补救措施，由此产生的费用全部由乙方负责。</w:t>
      </w:r>
    </w:p>
    <w:p w14:paraId="7603CB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0" w:name="_Toc32093"/>
      <w:r>
        <w:rPr>
          <w:rFonts w:hint="eastAsia" w:ascii="仿宋_GB2312" w:hAnsi="仿宋_GB2312" w:eastAsia="仿宋_GB2312" w:cs="仿宋_GB2312"/>
          <w:b w:val="0"/>
          <w:bCs w:val="0"/>
          <w:color w:val="auto"/>
          <w:sz w:val="20"/>
          <w:szCs w:val="20"/>
          <w:highlight w:val="none"/>
        </w:rPr>
        <w:t>7.履约保证金</w:t>
      </w:r>
      <w:bookmarkEnd w:id="10"/>
    </w:p>
    <w:p w14:paraId="464AF12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7.1　乙方应在签署合同前，以银行保函、银行电汇或履约担保函形式向甲方提供。</w:t>
      </w:r>
    </w:p>
    <w:p w14:paraId="2FE7370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7.2　履约保证金具体金额及返还要求见合同条款前附表。</w:t>
      </w:r>
    </w:p>
    <w:p w14:paraId="38D840A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7.3　如乙方未能履行合同规定的义务，甲方有权按照本合同的约定从履约保证金中进行相应扣除。乙方应在甲方扣除履约保证金后15天内，及时补充扣除部分金额。</w:t>
      </w:r>
    </w:p>
    <w:p w14:paraId="7B37789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7.4　乙方不履行合同，或者履行合同义务不符合约定使得合同目的不能实现，履约保证金不予退还，给甲方造成的损失超过履约保证金数额的，还应当对超过部分予以赔偿。</w:t>
      </w:r>
    </w:p>
    <w:p w14:paraId="0163732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1" w:name="_Toc16888"/>
      <w:r>
        <w:rPr>
          <w:rFonts w:hint="eastAsia" w:ascii="仿宋_GB2312" w:hAnsi="仿宋_GB2312" w:eastAsia="仿宋_GB2312" w:cs="仿宋_GB2312"/>
          <w:b w:val="0"/>
          <w:bCs w:val="0"/>
          <w:color w:val="auto"/>
          <w:sz w:val="20"/>
          <w:szCs w:val="20"/>
          <w:highlight w:val="none"/>
        </w:rPr>
        <w:t>8.服务时间、地点与验收</w:t>
      </w:r>
      <w:bookmarkEnd w:id="11"/>
    </w:p>
    <w:p w14:paraId="15BEA2B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8.1　服务地点：合同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指定地点。</w:t>
      </w:r>
    </w:p>
    <w:p w14:paraId="077CECC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8.2　服务时间：合同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指定时间。</w:t>
      </w:r>
    </w:p>
    <w:p w14:paraId="5B50AC7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8.3　甲方应在乙方完成相关服务工作后及时对服务质量</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服务成果进行验收。</w:t>
      </w:r>
    </w:p>
    <w:p w14:paraId="3356FFC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2" w:name="_Toc13876"/>
      <w:r>
        <w:rPr>
          <w:rFonts w:hint="eastAsia" w:ascii="仿宋_GB2312" w:hAnsi="仿宋_GB2312" w:eastAsia="仿宋_GB2312" w:cs="仿宋_GB2312"/>
          <w:b w:val="0"/>
          <w:bCs w:val="0"/>
          <w:color w:val="auto"/>
          <w:sz w:val="20"/>
          <w:szCs w:val="20"/>
          <w:highlight w:val="none"/>
        </w:rPr>
        <w:t>9.违约责任</w:t>
      </w:r>
      <w:bookmarkEnd w:id="12"/>
    </w:p>
    <w:p w14:paraId="4E3FFF8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9.1　服务缺陷的补救措施和索赔</w:t>
      </w:r>
    </w:p>
    <w:p w14:paraId="27C44C8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(1)如果乙方提供的服务不符合本合同约定以及招标文件、投标文件关于服务的要求和承诺，乙方应按照甲方同意的下列一种或几种方式结合起来解决索赔事宜：</w:t>
      </w:r>
    </w:p>
    <w:p w14:paraId="25F4D46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3855B0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②根据服务的质量状况以及甲方所遭受的损失，经过甲乙双方商定降低服务的价格。</w:t>
      </w:r>
    </w:p>
    <w:p w14:paraId="50D8B9D1">
      <w:pPr>
        <w:pStyle w:val="4"/>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27C32273">
      <w:pPr>
        <w:pStyle w:val="4"/>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val="en-US" w:eastAsia="zh-CN"/>
        </w:rPr>
        <w:t>在而合同履行过程中，提供的服务质量不满足甲方考核验收标准，甲方有权按照通用条款的奖惩原则进行奖惩</w:t>
      </w:r>
      <w:r>
        <w:rPr>
          <w:rFonts w:hint="eastAsia" w:ascii="仿宋_GB2312" w:hAnsi="仿宋_GB2312" w:eastAsia="仿宋_GB2312" w:cs="仿宋_GB2312"/>
          <w:b w:val="0"/>
          <w:bCs w:val="0"/>
          <w:color w:val="auto"/>
          <w:sz w:val="20"/>
          <w:szCs w:val="20"/>
          <w:highlight w:val="none"/>
        </w:rPr>
        <w:t>。</w:t>
      </w:r>
    </w:p>
    <w:p w14:paraId="605D767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9.2　迟延履约的违约责任</w:t>
      </w:r>
    </w:p>
    <w:p w14:paraId="237CE24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(1)乙方应按照本合同规定的时间、地点提供服务。</w:t>
      </w:r>
    </w:p>
    <w:p w14:paraId="1F8F2CE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8C9A16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w:t>
      </w:r>
    </w:p>
    <w:p w14:paraId="51CCEC9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850604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9.3　未履行合同义务的违约责任</w:t>
      </w:r>
    </w:p>
    <w:p w14:paraId="45936E7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(1)守约方有权终止全部或部分合同。</w:t>
      </w:r>
    </w:p>
    <w:p w14:paraId="39FEFEC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(2)没收全额履约保证金。</w:t>
      </w:r>
    </w:p>
    <w:p w14:paraId="224FCB4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(3)由违约一方支付违约金，违约金标准见合同条款前附表。</w:t>
      </w:r>
    </w:p>
    <w:p w14:paraId="78ACE3E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(4)违约金不足以弥补守约方实际损失、可预见或者应当预见的损失，由违约方全额予以赔偿。</w:t>
      </w:r>
    </w:p>
    <w:p w14:paraId="3D0776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9.4其他违约责任</w:t>
      </w:r>
    </w:p>
    <w:p w14:paraId="373DC13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w:t>
      </w:r>
    </w:p>
    <w:p w14:paraId="40F9D88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3" w:name="_Toc20615"/>
      <w:r>
        <w:rPr>
          <w:rFonts w:hint="eastAsia" w:ascii="仿宋_GB2312" w:hAnsi="仿宋_GB2312" w:eastAsia="仿宋_GB2312" w:cs="仿宋_GB2312"/>
          <w:b w:val="0"/>
          <w:bCs w:val="0"/>
          <w:color w:val="auto"/>
          <w:sz w:val="20"/>
          <w:szCs w:val="20"/>
          <w:highlight w:val="none"/>
        </w:rPr>
        <w:t>10.不可抗力及其他说明</w:t>
      </w:r>
      <w:bookmarkEnd w:id="13"/>
    </w:p>
    <w:p w14:paraId="6305936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10.1　如果合同双方因不可抗力而导致合同实施延误或合同无法实施，不应该承担误期赔偿或不能履行合同义务的责任。</w:t>
      </w:r>
    </w:p>
    <w:p w14:paraId="5DD753B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10.2　本条所述的“不可抗力”系指那些双方不可预见、不可避免、不可克服的客观情况，但不包括双方的违约或疏忽。这些事件包括但不限于：战争、严重火灾、洪水、台风、地震等。</w:t>
      </w:r>
    </w:p>
    <w:p w14:paraId="536A618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FFD7A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4" w:name="_Toc9447"/>
      <w:r>
        <w:rPr>
          <w:rFonts w:hint="eastAsia" w:ascii="仿宋_GB2312" w:hAnsi="仿宋_GB2312" w:eastAsia="仿宋_GB2312" w:cs="仿宋_GB2312"/>
          <w:b w:val="0"/>
          <w:bCs w:val="0"/>
          <w:color w:val="auto"/>
          <w:sz w:val="20"/>
          <w:szCs w:val="20"/>
          <w:highlight w:val="none"/>
        </w:rPr>
        <w:t>11.合同纠纷的解决方式</w:t>
      </w:r>
      <w:bookmarkEnd w:id="14"/>
    </w:p>
    <w:p w14:paraId="3E9B3D8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11.1　合同各方应通过友好协商，解决在执行合同过程中所发生的或与合同有关的一切争端。如协商30日内(根据实际情况设定)不能解决，可以按合同规定的方式提起诉讼。</w:t>
      </w:r>
    </w:p>
    <w:p w14:paraId="61F6992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11.2　诉讼应由甲方住所地人民法院管辖。</w:t>
      </w:r>
    </w:p>
    <w:p w14:paraId="6F26A43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11.3　如诉讼事项不影响合同其他部分的履行，则在诉讼期间，除正在进行诉讼的部分外，合同的其他部分应继续执行。</w:t>
      </w:r>
    </w:p>
    <w:p w14:paraId="5FB9159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5" w:name="_Toc25706"/>
      <w:r>
        <w:rPr>
          <w:rFonts w:hint="eastAsia" w:ascii="仿宋_GB2312" w:hAnsi="仿宋_GB2312" w:eastAsia="仿宋_GB2312" w:cs="仿宋_GB2312"/>
          <w:b w:val="0"/>
          <w:bCs w:val="0"/>
          <w:color w:val="auto"/>
          <w:sz w:val="20"/>
          <w:szCs w:val="20"/>
          <w:highlight w:val="none"/>
        </w:rPr>
        <w:t>12.合同修改或变更</w:t>
      </w:r>
      <w:bookmarkEnd w:id="15"/>
    </w:p>
    <w:p w14:paraId="1C28CE0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12.1　如无重大变故，甲方双方不得擅自变更合同。</w:t>
      </w:r>
    </w:p>
    <w:p w14:paraId="3A03671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12.2　如确需变更合同，甲乙双方应签署书面变更协议。变更协议为本合同不可分割的一部分。</w:t>
      </w:r>
    </w:p>
    <w:p w14:paraId="5F9B4FF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12.3　在不改变合同其他条款的前提下，甲方有权在合同价款10%的范围内追加与合同标的相同的服务，并就此与乙方签订补充合同，乙方不得拒绝。</w:t>
      </w:r>
    </w:p>
    <w:p w14:paraId="5B2EF4D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6" w:name="_Toc15340"/>
      <w:r>
        <w:rPr>
          <w:rFonts w:hint="eastAsia" w:ascii="仿宋_GB2312" w:hAnsi="仿宋_GB2312" w:eastAsia="仿宋_GB2312" w:cs="仿宋_GB2312"/>
          <w:b w:val="0"/>
          <w:bCs w:val="0"/>
          <w:color w:val="auto"/>
          <w:sz w:val="20"/>
          <w:szCs w:val="20"/>
          <w:highlight w:val="none"/>
        </w:rPr>
        <w:t>13.合同中止</w:t>
      </w:r>
      <w:bookmarkEnd w:id="16"/>
    </w:p>
    <w:p w14:paraId="5282431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13.1合同在履行过程中，因采购计划调整，甲方可以要求中止履行，待计划确定后继续履行；合同履行过程中因</w:t>
      </w:r>
      <w:r>
        <w:rPr>
          <w:rFonts w:hint="eastAsia" w:ascii="仿宋_GB2312" w:hAnsi="仿宋_GB2312" w:eastAsia="仿宋_GB2312" w:cs="仿宋_GB2312"/>
          <w:b w:val="0"/>
          <w:bCs w:val="0"/>
          <w:color w:val="auto"/>
          <w:sz w:val="20"/>
          <w:szCs w:val="20"/>
          <w:highlight w:val="none"/>
          <w:lang w:eastAsia="zh-CN"/>
        </w:rPr>
        <w:t>投标人</w:t>
      </w:r>
      <w:r>
        <w:rPr>
          <w:rFonts w:hint="eastAsia" w:ascii="仿宋_GB2312" w:hAnsi="仿宋_GB2312" w:eastAsia="仿宋_GB2312" w:cs="仿宋_GB2312"/>
          <w:b w:val="0"/>
          <w:bCs w:val="0"/>
          <w:color w:val="auto"/>
          <w:sz w:val="20"/>
          <w:szCs w:val="20"/>
          <w:highlight w:val="none"/>
        </w:rPr>
        <w:t>就采购过程或结果提起投诉的，甲方认为有必要或财政部责令中止的，应当中止合同的履行。</w:t>
      </w:r>
    </w:p>
    <w:p w14:paraId="001567D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7" w:name="_Toc20346"/>
      <w:r>
        <w:rPr>
          <w:rFonts w:hint="eastAsia" w:ascii="仿宋_GB2312" w:hAnsi="仿宋_GB2312" w:eastAsia="仿宋_GB2312" w:cs="仿宋_GB2312"/>
          <w:b w:val="0"/>
          <w:bCs w:val="0"/>
          <w:color w:val="auto"/>
          <w:sz w:val="20"/>
          <w:szCs w:val="20"/>
          <w:highlight w:val="none"/>
        </w:rPr>
        <w:t>14.违约终止合同</w:t>
      </w:r>
      <w:bookmarkEnd w:id="17"/>
    </w:p>
    <w:p w14:paraId="15C9170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　若出现如下情况，甲方可向乙方发出书面通知书，提出提前解除、终止部分或全部合同。</w:t>
      </w:r>
    </w:p>
    <w:p w14:paraId="69B37F9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14.1.1　如果乙方未能在合同规定的期限或甲方同意延长的期限内提供服务；</w:t>
      </w:r>
    </w:p>
    <w:p w14:paraId="0F1504B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14.1.2　因乙方派出人员自身技术能力、经验不足等原因造成甲方硬件设备、应用系统发生重大紧急故障或应用系统数据丢失，带来重大影响和损失的；</w:t>
      </w:r>
    </w:p>
    <w:p w14:paraId="529A83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14.1.3　乙方对甲方硬件设备、应用系统重大紧急故障没有及时响应，或不能在规定时间内解决处理故障，恢复系统正常运行的；</w:t>
      </w:r>
    </w:p>
    <w:p w14:paraId="5104A77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14.1.4　不能满足本项目技术需求的管理要求和规范，且经二次整改无明显改进的；</w:t>
      </w:r>
    </w:p>
    <w:p w14:paraId="4B66C71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14.1.5　在合同规定的每个服务年度(12个自然月)内，在运行维护支持服务过程中，出现2次经甲乙双方确认的违规操作的。</w:t>
      </w:r>
    </w:p>
    <w:p w14:paraId="4EE5D7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40EF62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8" w:name="_Toc29186"/>
      <w:r>
        <w:rPr>
          <w:rFonts w:hint="eastAsia" w:ascii="仿宋_GB2312" w:hAnsi="仿宋_GB2312" w:eastAsia="仿宋_GB2312" w:cs="仿宋_GB2312"/>
          <w:b w:val="0"/>
          <w:bCs w:val="0"/>
          <w:color w:val="auto"/>
          <w:sz w:val="20"/>
          <w:szCs w:val="20"/>
          <w:highlight w:val="none"/>
        </w:rPr>
        <w:t>15.破产终止合同</w:t>
      </w:r>
      <w:bookmarkEnd w:id="18"/>
    </w:p>
    <w:p w14:paraId="71761E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15.1　如果乙方破产或无清偿能力，甲方可在任何时候以书面形式通知乙方终止合同而不给乙方补偿。</w:t>
      </w:r>
    </w:p>
    <w:p w14:paraId="021CBC3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15.2　该终止协议将不损害或影响甲方已经采取或将要采取的任何行动或补救措施的权利。</w:t>
      </w:r>
    </w:p>
    <w:p w14:paraId="27F2911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9" w:name="_Toc12415"/>
      <w:r>
        <w:rPr>
          <w:rFonts w:hint="eastAsia" w:ascii="仿宋_GB2312" w:hAnsi="仿宋_GB2312" w:eastAsia="仿宋_GB2312" w:cs="仿宋_GB2312"/>
          <w:b w:val="0"/>
          <w:bCs w:val="0"/>
          <w:color w:val="auto"/>
          <w:sz w:val="20"/>
          <w:szCs w:val="20"/>
          <w:highlight w:val="none"/>
        </w:rPr>
        <w:t>16.其他情况的终止合同</w:t>
      </w:r>
      <w:bookmarkEnd w:id="19"/>
    </w:p>
    <w:p w14:paraId="63A011B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16.1　若合同继续履行将给甲方造成重大损失的，甲方可以提前解除、终止合同而不给予乙方任何补偿。</w:t>
      </w:r>
    </w:p>
    <w:p w14:paraId="65ADBFD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16.2　乙方在执行合同的过程中发生重大事故，对履行合同有直接影响的，甲方可以提前解除、终止合同而不给予乙方任何补偿。</w:t>
      </w:r>
    </w:p>
    <w:p w14:paraId="38B886D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16.3　甲方因重大变故取消或部分取消原来的采购任务，导致合同全部或部分内容无须继续履行的，可以提前解除、终止合同而不给予乙方任何补偿。</w:t>
      </w:r>
    </w:p>
    <w:p w14:paraId="6DDB410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16.4  本协议约定的服务期限届满后协议自动终止。</w:t>
      </w:r>
    </w:p>
    <w:p w14:paraId="3ED9056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0" w:name="_Toc2490"/>
      <w:r>
        <w:rPr>
          <w:rFonts w:hint="eastAsia" w:ascii="仿宋_GB2312" w:hAnsi="仿宋_GB2312" w:eastAsia="仿宋_GB2312" w:cs="仿宋_GB2312"/>
          <w:b w:val="0"/>
          <w:bCs w:val="0"/>
          <w:color w:val="auto"/>
          <w:sz w:val="20"/>
          <w:szCs w:val="20"/>
          <w:highlight w:val="none"/>
          <w:lang w:val="en-US" w:eastAsia="zh-CN"/>
        </w:rPr>
        <w:t>17</w:t>
      </w:r>
      <w:r>
        <w:rPr>
          <w:rFonts w:hint="eastAsia" w:ascii="仿宋_GB2312" w:hAnsi="仿宋_GB2312" w:eastAsia="仿宋_GB2312" w:cs="仿宋_GB2312"/>
          <w:b w:val="0"/>
          <w:bCs w:val="0"/>
          <w:color w:val="auto"/>
          <w:sz w:val="20"/>
          <w:szCs w:val="20"/>
          <w:highlight w:val="none"/>
        </w:rPr>
        <w:t>.合同转让和分包</w:t>
      </w:r>
      <w:bookmarkEnd w:id="20"/>
    </w:p>
    <w:p w14:paraId="18CAD29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.1　乙方不得以任何形式将合同转包，或部分或全部转让其应履行的合同义务。</w:t>
      </w:r>
    </w:p>
    <w:p w14:paraId="183C4B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.2　除经甲方事先书面同意外，乙方不得以任何形式将合同分包。</w:t>
      </w:r>
    </w:p>
    <w:p w14:paraId="424A276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1" w:name="_Toc27429"/>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.适用法律</w:t>
      </w:r>
      <w:bookmarkEnd w:id="21"/>
    </w:p>
    <w:p w14:paraId="5C390AD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.1　本合同适用中华人民共和国现行法律、行政法规和规章，如合同条款与法律、行政法规和规章不一致的，按照法律、行政法规和规章修改本合同。</w:t>
      </w:r>
    </w:p>
    <w:p w14:paraId="0BF416A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2" w:name="_Toc15871"/>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.合同语言</w:t>
      </w:r>
      <w:bookmarkEnd w:id="22"/>
    </w:p>
    <w:p w14:paraId="6C3B5A0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.1　本合同语言为中文。</w:t>
      </w:r>
    </w:p>
    <w:p w14:paraId="0D0C5B1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.2　双方交换的与合同有关的信件和其他文件应用合同语言书写。</w:t>
      </w:r>
    </w:p>
    <w:p w14:paraId="7BD5BC1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3" w:name="_Toc25811"/>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.合同生效</w:t>
      </w:r>
      <w:bookmarkEnd w:id="23"/>
    </w:p>
    <w:p w14:paraId="0DD1B2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.1　本合同应在双方法定代表人或委托授权代表签字盖章和甲方收到乙方提供的履约保证金后生效。</w:t>
      </w:r>
    </w:p>
    <w:p w14:paraId="6317CE5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4" w:name="_Toc17437"/>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.合同效力</w:t>
      </w:r>
      <w:bookmarkEnd w:id="24"/>
    </w:p>
    <w:p w14:paraId="68668A3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.1　除本合同和甲乙双方书面签署的补充协议外，其他任何形式的双方约定和往来函件均不具有合同效力，对本项目无约束。</w:t>
      </w:r>
    </w:p>
    <w:p w14:paraId="347775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5" w:name="_Toc21793"/>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.检查和审计</w:t>
      </w:r>
      <w:bookmarkEnd w:id="25"/>
    </w:p>
    <w:p w14:paraId="4A30D5B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.1在本合同的履行过程中，甲方有权对乙方的合同履约情况进行阶段性检查，并对乙方投标时提供的相关资料进行复核。</w:t>
      </w:r>
    </w:p>
    <w:p w14:paraId="582D3DA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594EC987">
      <w:pPr>
        <w:rPr>
          <w:rFonts w:hint="eastAsia"/>
          <w:lang w:val="en-US"/>
        </w:rPr>
      </w:pPr>
      <w:r>
        <w:rPr>
          <w:rFonts w:hint="eastAsia"/>
          <w:lang w:val="en-US"/>
        </w:rPr>
        <w:br w:type="page"/>
      </w:r>
    </w:p>
    <w:p w14:paraId="34E1C337">
      <w:pPr>
        <w:pStyle w:val="7"/>
        <w:keepNext w:val="0"/>
        <w:keepLines w:val="0"/>
        <w:pageBreakBefore w:val="0"/>
        <w:widowControl/>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考核标准及办法</w:t>
      </w:r>
    </w:p>
    <w:p w14:paraId="5B72B42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本项目履行期间，采购人对中标人依照养护内容、要求及标准由招标人组织相关人员进行考核，考核每月进行一次，考核时间为次月10日之前，考核以本项目招标文件本章中的服务内容及标准为依据，采用打分的形式（百分制），考核结果由中标人与采购人签字确认（见附件三：月度考核表及月度考核汇总表）。</w:t>
      </w:r>
    </w:p>
    <w:p w14:paraId="5F3FD5F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2、维修养护项目养护单位考核办法（见附件一）</w:t>
      </w:r>
    </w:p>
    <w:p w14:paraId="60B1E3A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r>
        <w:rPr>
          <w:rFonts w:hint="eastAsia" w:ascii="仿宋_GB2312" w:hAnsi="仿宋_GB2312" w:eastAsia="仿宋_GB2312" w:cs="仿宋_GB2312"/>
          <w:b w:val="0"/>
          <w:bCs w:val="0"/>
          <w:color w:val="auto"/>
          <w:sz w:val="20"/>
          <w:szCs w:val="20"/>
          <w:highlight w:val="none"/>
        </w:rPr>
        <w:t>段精细化管理管护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val="en-US" w:eastAsia="zh-CN"/>
        </w:rPr>
        <w:t>（见附件二）</w:t>
      </w:r>
    </w:p>
    <w:p w14:paraId="6CEE4157">
      <w:pP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br w:type="page"/>
      </w:r>
    </w:p>
    <w:p w14:paraId="53D6CA94">
      <w:pPr>
        <w:keepNext w:val="0"/>
        <w:keepLines w:val="0"/>
        <w:pageBreakBefore w:val="0"/>
        <w:kinsoku/>
        <w:wordWrap/>
        <w:overflowPunct/>
        <w:topLinePunct w:val="0"/>
        <w:bidi w:val="0"/>
        <w:adjustRightInd/>
        <w:snapToGrid/>
        <w:spacing w:line="360" w:lineRule="auto"/>
        <w:ind w:firstLine="402" w:firstLineChars="200"/>
        <w:jc w:val="left"/>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附件一：维修养护项目养护单位考核办法</w:t>
      </w:r>
    </w:p>
    <w:p w14:paraId="1FA515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为规范工程维修养护管理，加强工程实施过程监管，促进工程面貌持续改善，增强全体管护人员的思想服务意识和严谨务实的工作态度，提高管护工作的质量，确保养护效果，按期完成养护任务，依据合同条款和有关法律法规，结合本项目实际情况，特制定本考核办法。</w:t>
      </w:r>
    </w:p>
    <w:p w14:paraId="02C856C8">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6" w:name="_Toc9090"/>
      <w:r>
        <w:rPr>
          <w:rFonts w:hint="eastAsia" w:ascii="仿宋_GB2312" w:hAnsi="仿宋_GB2312" w:eastAsia="仿宋_GB2312" w:cs="仿宋_GB2312"/>
          <w:b w:val="0"/>
          <w:bCs w:val="0"/>
          <w:color w:val="auto"/>
          <w:sz w:val="20"/>
          <w:szCs w:val="20"/>
          <w:highlight w:val="none"/>
          <w:lang w:val="en-US" w:eastAsia="zh-CN"/>
        </w:rPr>
        <w:t>一、考核对象</w:t>
      </w:r>
      <w:bookmarkEnd w:id="26"/>
    </w:p>
    <w:p w14:paraId="248803C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考核对象为中标养护单位。</w:t>
      </w:r>
    </w:p>
    <w:p w14:paraId="3D540F3E">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7" w:name="_Toc29120"/>
      <w:r>
        <w:rPr>
          <w:rFonts w:hint="eastAsia" w:ascii="仿宋_GB2312" w:hAnsi="仿宋_GB2312" w:eastAsia="仿宋_GB2312" w:cs="仿宋_GB2312"/>
          <w:b w:val="0"/>
          <w:bCs w:val="0"/>
          <w:color w:val="auto"/>
          <w:sz w:val="20"/>
          <w:szCs w:val="20"/>
          <w:highlight w:val="none"/>
          <w:lang w:val="en-US" w:eastAsia="zh-CN"/>
        </w:rPr>
        <w:t>二、考核机构</w:t>
      </w:r>
      <w:bookmarkEnd w:id="27"/>
    </w:p>
    <w:p w14:paraId="6145809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中心成立管护工作考核领导小组，由中心主任为组长，副主任为副组长，成员分别由运行维护科、办公室（财务室）、工程建设科、生态保护科、各基层管理站负责人，以及业务科主管养护同志组成。</w:t>
      </w:r>
    </w:p>
    <w:p w14:paraId="3E91B564">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8" w:name="_Toc28307"/>
      <w:r>
        <w:rPr>
          <w:rFonts w:hint="eastAsia" w:ascii="仿宋_GB2312" w:hAnsi="仿宋_GB2312" w:eastAsia="仿宋_GB2312" w:cs="仿宋_GB2312"/>
          <w:b w:val="0"/>
          <w:bCs w:val="0"/>
          <w:color w:val="auto"/>
          <w:sz w:val="20"/>
          <w:szCs w:val="20"/>
          <w:highlight w:val="none"/>
          <w:lang w:val="en-US" w:eastAsia="zh-CN"/>
        </w:rPr>
        <w:t>三、考核范围</w:t>
      </w:r>
      <w:bookmarkEnd w:id="28"/>
    </w:p>
    <w:p w14:paraId="09FED4C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考核对维修养护项目实施全过程进行考核，分为堤防养护、堤岸防护、绿化养护、水体管护、附属设施管护、日常管理、日常巡查七个方面。</w:t>
      </w:r>
    </w:p>
    <w:p w14:paraId="2957808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9" w:name="_Toc17700"/>
      <w:r>
        <w:rPr>
          <w:rFonts w:hint="eastAsia" w:ascii="仿宋_GB2312" w:hAnsi="仿宋_GB2312" w:eastAsia="仿宋_GB2312" w:cs="仿宋_GB2312"/>
          <w:b w:val="0"/>
          <w:bCs w:val="0"/>
          <w:color w:val="auto"/>
          <w:sz w:val="20"/>
          <w:szCs w:val="20"/>
          <w:highlight w:val="none"/>
          <w:lang w:val="en-US" w:eastAsia="zh-CN"/>
        </w:rPr>
        <w:t>四、考核内容</w:t>
      </w:r>
      <w:bookmarkEnd w:id="29"/>
    </w:p>
    <w:p w14:paraId="2576157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（一）养护人员考核</w:t>
      </w:r>
    </w:p>
    <w:p w14:paraId="1E79825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1、养护单位队伍管理</w:t>
      </w:r>
    </w:p>
    <w:p w14:paraId="6F32DE1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项目部经理、副经理必须和投标文件相一致。若需更换必须将更换理由和拟更换人的资格证明、业绩等报渭管中心业务科审核，签述意见后报中心主任批准。不经同意私自更换人员每人次处罚10万元。</w:t>
      </w:r>
    </w:p>
    <w:p w14:paraId="624F07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项目经理、副经理、工程部部长、各段段长必须按规定坚守岗位，每日至少进行巡查一次，离开项目区域必须履行书面请假制度，经渭管中心业务科同意后方可离开。对不请假、随意离开项目区域者，每天罚款300 元。对无故不参加会议者每次罚款 300元，会议迟到者每次罚款200元。</w:t>
      </w:r>
    </w:p>
    <w:p w14:paraId="7921F79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（3）养护单位特种作业人员（包括电工作业、焊接与热切割作业、高处作业等）必须持证上岗，各类管理人员必须配置到位，不得空缺，对岗位空缺和无证上岗者，每人次罚款5000元。</w:t>
      </w:r>
    </w:p>
    <w:p w14:paraId="4DBFFB0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（4）养护单位必须建立健全各项管理制度（采购制度、工程结算制度、管护标准、考核制度、考勤制度、奖罚制度、各类工作人员操作规范、安全生产制度），管理制度不健全每缺一项，罚款5000元。</w:t>
      </w:r>
    </w:p>
    <w:p w14:paraId="50FAA1D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2、养护一线人员管理</w:t>
      </w:r>
    </w:p>
    <w:p w14:paraId="1632549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（1）养护工早上八点之前到签到点进行人脸识别考勤，签到后立即各就各位。按捡拾垃圾、清扫路面、人工清理杂草等流程展开工作。</w:t>
      </w:r>
    </w:p>
    <w:p w14:paraId="0DC1775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认真遵守上下班时间，冬季早8点至12点，中午13：30至17：30；夏季早7：30至11：30，下午15点至19点，上下班不得迟到、早退。经检查、抽查发现月迟到、早退一次，每人次扣除养护单位50元，两次扣除100元，三次者立即辞退。</w:t>
      </w:r>
    </w:p>
    <w:p w14:paraId="1C1422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（3）养护人员工作时间不得串岗。如发现串岗按旷工对待，每人次扣除养护单位50元，矿工两次立即辞退。</w:t>
      </w:r>
    </w:p>
    <w:p w14:paraId="728F149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（4）养护人员工作时间工作服必须穿戴整齐。发现工作服一次未穿戴整齐，每人次扣除养护单位50元；每人次扣除养护单位50元；三次者辞退。</w:t>
      </w:r>
    </w:p>
    <w:p w14:paraId="68F498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（5）护堤员责任区段环境卫生必须干净整洁。如发现责任区段卫生脏、乱、差等现象扣发养护单位200元，二次检查不达要求者扣发500元，三次者辞退。</w:t>
      </w:r>
    </w:p>
    <w:p w14:paraId="2B31C3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（6）由于护堤员不能胜任本职工作，给工作造成较大损失及恶劣影响，立即辞退。</w:t>
      </w:r>
    </w:p>
    <w:p w14:paraId="0CB2841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（7）护堤员如生病、有事而不能及时到岗，须向各管理站站长或所辖段长请假，请假期间按事假处理，当月请假不得超过两天，事假可用换休冲减。</w:t>
      </w:r>
    </w:p>
    <w:p w14:paraId="723011D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（8）若管辖区域内未按照合同约定与投标承诺配备养护人员，除扣除相对应内容的养护费外，并每人次罚款2000元。</w:t>
      </w:r>
    </w:p>
    <w:p w14:paraId="2C7D264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（9）为中心争得荣誉，收到表彰时，奖励500至1000元。</w:t>
      </w:r>
    </w:p>
    <w:p w14:paraId="7E51247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3、安保人员管理</w:t>
      </w:r>
    </w:p>
    <w:p w14:paraId="257393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（1）未经规定着装，影响单位形象的；未经规定坐岗，语言不文明或不礼貌的；上岗期间闲聊、玩手机者；队长每天微信交接班照片，未按时上传的；每天早会，晚会和上下班点评未做到的；每次各罚款100元。</w:t>
      </w:r>
    </w:p>
    <w:p w14:paraId="5E2FD9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（2）上岗期间脱岗、睡觉、抽烟的，每次各罚款200元。</w:t>
      </w:r>
    </w:p>
    <w:p w14:paraId="0566A9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（3）酒后上岗或有黑恶习气、行为的，每次罚款500元，影响恶劣的予以开除。</w:t>
      </w:r>
    </w:p>
    <w:p w14:paraId="1047316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（4）工作认真负责，遵守规章制度表现突出的，奖励100到200元。</w:t>
      </w:r>
    </w:p>
    <w:p w14:paraId="48C5F27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（5）巡查区域发生安全生产事件，巡查人未按规定时间上报队长，队长未上报中心管理站的，每人次罚款500元。</w:t>
      </w:r>
    </w:p>
    <w:p w14:paraId="1F2D843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（6）助人为乐，见义勇为，收到中心书面好评，群众点赞的，奖励300至500元。</w:t>
      </w:r>
    </w:p>
    <w:p w14:paraId="1DA10FE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（7）为中心争得荣誉，收到表彰时，奖励500至1000元。</w:t>
      </w:r>
    </w:p>
    <w:p w14:paraId="7B1C40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签订合同后，养护单位应向中心提供一份拟在本合同项目进行现场管理及养护保洁的劳动人员名单，包括中心要求的有关证明材料。中心有权监督养护单位人员管理情况，对不购买养护人员人身意外险，或者拖延和克扣农民工工资的，经发现每人次罚款1000元。若因上述原因造成劳务人员上访、纠纷等情况，养护单位须承担一切经济和法律责任。</w:t>
      </w:r>
    </w:p>
    <w:p w14:paraId="17F320E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（二）养护质量（管护标准）管理</w:t>
      </w:r>
    </w:p>
    <w:p w14:paraId="47FB8A6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在管护工作检查和考核中，中心精细化考核小组每月对管护工作进行跟踪督查（按照精细化管护标准），督查情况形成书面意见及时通知养护公司整改落实。同一问题一次通知不整改的，罚款1000元整，将予以警告。二次通知仍不整改的，处罚5000元整，并另派人员整改，实际发生费用由中心在管护费中扣除。</w:t>
      </w:r>
    </w:p>
    <w:p w14:paraId="44BE218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因养护工作不到位造成的媒体暗查和职能部门检查扣分或通报批评时，对养护单位进行处罚。处罚方式同一问题经媒体暗查和职能部门检查扣分或通报批评时，一次性处罚20000元整，不同问题经媒体暗查和职能部门检查扣分或通报批评时，一次性处罚10000元整。</w:t>
      </w:r>
    </w:p>
    <w:p w14:paraId="5E37205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3、养护人员应于每天上午9:30前完成路面保洁工作，随后按程序开展绿化养护、垃圾捡拾等养护工作。管理站每天上午10：00前检查路面卫生情况，发现保洁不及时不彻底的一次罚款500元。</w:t>
      </w:r>
    </w:p>
    <w:p w14:paraId="40BD911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4、打捞上来的垃圾、修剪后的干枝未及时处理的发现一次处罚500元整，二次以上2000元整；发现焚烧、掩埋垃圾、干枝的一次处罚2000元整，二次以上处罚5000元整。</w:t>
      </w:r>
    </w:p>
    <w:p w14:paraId="7901245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应保证养护范围内绿化苗木存活率100%（除不可抗力因素外），检查发现苗木病虫害、死亡的应立即上报管理站及中心业务科，统计数量并提出相应解决措施。及时清理死苗，原则上夏季枯死株，要求在当年11月底前补植完成，补植苗种类与原来的相同，规格与原来的植株相近，确保达到景观效果。不达标者一处罚款500元。</w:t>
      </w:r>
    </w:p>
    <w:p w14:paraId="12185B0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6、秋冬季发现管理范围内有焚烧坡道、绿化带草皮现象（不论大小）发现一处公司处罚10000元。</w:t>
      </w:r>
    </w:p>
    <w:p w14:paraId="724C489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(三）安全生产管理</w:t>
      </w:r>
    </w:p>
    <w:p w14:paraId="2312A9D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1、养护单位应有完善的安全管理组织和安全保障体系，管理体系不健全造成不利影响的，罚款5000元并责令改正。</w:t>
      </w:r>
    </w:p>
    <w:p w14:paraId="0FE3BE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2、项目经理为安全生产工作第一责任人，设立专职安全管理人员，上岗时佩带专职安全员标志，认真履行安全管理职责。未尽到安全管理责任发生安全事故的，相关安全责任人每人次罚款1000-5000元。</w:t>
      </w:r>
    </w:p>
    <w:p w14:paraId="4DD0E04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建立安全生产管理制度，层层签订安全生产责任书，坚持对一线养护人员、保安人员进行安全生产教育，安全教育覆盖率要达到100%，开展生产教育活动要有书面记录。经检查不符合规定的一次性处罚1万元，并责令改正。</w:t>
      </w:r>
    </w:p>
    <w:p w14:paraId="3D669F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建立安全生产有效地预防措施和救援预案，坚持经常性的隐患排查，对机械设备、消防设施、物资堆放和施工危险源建立检查记录制度，及时排险。未进行排查或记录不全、发现隐患未按规定时间处理的，每次罚款5000元。</w:t>
      </w:r>
    </w:p>
    <w:p w14:paraId="6BAAE05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4、施工现场必须设立安全警示标志，机械设备设立安全操作规程，危险区域设立警戒线。严禁施工人员违规操作，管理人员违规指挥，杜绝和减少安全事故的发生。</w:t>
      </w:r>
    </w:p>
    <w:p w14:paraId="47E5B84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5、养护单位对养护区域每月进行安全大检查不少于1次。</w:t>
      </w:r>
    </w:p>
    <w:p w14:paraId="6946EC1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6、因养护单位安全管理不到位，造成一般工伤事故的罚款2万元；造成重大伤亡事故，罚款10万元，并追究相关责任。发生生产事故半小时内不上报中心业务科者，罚款与事故处罚等级一致。</w:t>
      </w:r>
    </w:p>
    <w:p w14:paraId="19D6C28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（四）工程进度管理</w:t>
      </w:r>
    </w:p>
    <w:p w14:paraId="5D9E3B0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严格履行合同约定以及渭管中心下发的任务单，确保阶段工期和总工期的要求，根据业务科下发的养护任务进度计划进行周密的安排布署，建立日、周、月进度计划表，并有相应的施工措施，保证计划的实施和完成。</w:t>
      </w:r>
    </w:p>
    <w:p w14:paraId="015635F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2、对无特殊情况不能完成月计划和节点工期的每推迟一天，罚款1000元，不能完成合同工期的每推迟一天罚款1000元。</w:t>
      </w:r>
    </w:p>
    <w:p w14:paraId="7EC85B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（五）文明施工管理</w:t>
      </w:r>
    </w:p>
    <w:p w14:paraId="0E87038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1、养护单位必须建立文明施工管理组织机构，制定文明施工实施细则，定期组织开展文明施工教育活动。</w:t>
      </w:r>
    </w:p>
    <w:p w14:paraId="52EF47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2、设备要由养护单位统一标志并进行编号管理。非施工期间设备要停放整齐，统一管理。</w:t>
      </w:r>
    </w:p>
    <w:p w14:paraId="5476CA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 材料进场后统一堆放管理、标示清楚。严禁乱堆乱放，现场做到“工完、料净、场地清”，保持施工现场整洁无污染。</w:t>
      </w:r>
    </w:p>
    <w:p w14:paraId="1AFFE10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4、对现场文明施工达不到上述考核内容要求的，视其情节轻重，给予1000元—1万元罚款。</w:t>
      </w:r>
    </w:p>
    <w:p w14:paraId="408BEC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（六）质量管理</w:t>
      </w:r>
    </w:p>
    <w:p w14:paraId="624A41A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1、建立健全质量管理体系和岗位职责，严格落实质量三检制，未严格执行三检制的扣除违约金2万元。</w:t>
      </w:r>
    </w:p>
    <w:p w14:paraId="7779628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严格施工过程中的质量控制。依据控制点做好测量放样，确保准确无误，记录真实，履行管理站、业务科复核程序。材料进场手续齐全，符合设计要求，不得以次充好，偷工减料。工艺工序必须符合规范要求，未经验收不得进行下一道工序，如因工作失误造成的质量缺陷、质量事故需进行返工，扣除违约金2万元—10万元。</w:t>
      </w:r>
    </w:p>
    <w:p w14:paraId="3DB816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（七）养护资料管理</w:t>
      </w:r>
    </w:p>
    <w:p w14:paraId="269392B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1、严格按照西安市渭河生态管理中心维修养护管理实施办法规定的报送资料程序、表格样式按时进行报送、资料整理。</w:t>
      </w:r>
    </w:p>
    <w:p w14:paraId="0F989BB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2、养护单位接到中心下发任务单时，未按期完成时处罚1000元整，如有特殊情况未完成，但未及时上报中心的处罚2000元整。</w:t>
      </w:r>
    </w:p>
    <w:p w14:paraId="0B0FF51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3、每完成一个单项任务，应及时上报申请验收，并作出结算，未及时上报验收或结算的，考核小组发现一次处罚1000元整，二次处罚5000元整，第三次发现不予以结算。</w:t>
      </w:r>
    </w:p>
    <w:p w14:paraId="2A950D3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4、对无特殊情况不能完成报送过程、整改、验收归档资料资料的每推迟一天，罚款1000元。</w:t>
      </w:r>
    </w:p>
    <w:p w14:paraId="5BA2BB9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30" w:name="_Toc3910"/>
      <w:r>
        <w:rPr>
          <w:rFonts w:hint="eastAsia" w:ascii="仿宋_GB2312" w:hAnsi="仿宋_GB2312" w:eastAsia="仿宋_GB2312" w:cs="仿宋_GB2312"/>
          <w:b w:val="0"/>
          <w:bCs w:val="0"/>
          <w:color w:val="auto"/>
          <w:sz w:val="20"/>
          <w:szCs w:val="20"/>
          <w:highlight w:val="none"/>
          <w:lang w:val="en-US" w:eastAsia="zh-CN"/>
        </w:rPr>
        <w:t>五、其他</w:t>
      </w:r>
      <w:bookmarkEnd w:id="30"/>
    </w:p>
    <w:p w14:paraId="337B75C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1.以上奖罚措施在每月结算时执行。</w:t>
      </w:r>
    </w:p>
    <w:p w14:paraId="2296649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2、本办法自发布之日起实施，由西安市渭河生态管理中心负责解释。</w:t>
      </w:r>
    </w:p>
    <w:p w14:paraId="69ABD6D9">
      <w:pPr>
        <w:pageBreakBefore w:val="0"/>
        <w:widowControl/>
        <w:kinsoku/>
        <w:wordWrap/>
        <w:overflowPunct/>
        <w:topLinePunct w:val="0"/>
        <w:bidi w:val="0"/>
        <w:adjustRightInd/>
        <w:snapToGrid/>
        <w:spacing w:before="240" w:beforeLines="100" w:line="360" w:lineRule="auto"/>
        <w:jc w:val="left"/>
        <w:textAlignment w:val="center"/>
        <w:outlineLvl w:val="0"/>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bookmarkStart w:id="31" w:name="_Toc26765"/>
      <w:r>
        <w:rPr>
          <w:rFonts w:hint="eastAsia" w:ascii="仿宋_GB2312" w:hAnsi="仿宋_GB2312" w:eastAsia="仿宋_GB2312" w:cs="仿宋_GB2312"/>
          <w:b/>
          <w:bCs/>
          <w:color w:val="auto"/>
          <w:sz w:val="20"/>
          <w:szCs w:val="20"/>
          <w:highlight w:val="none"/>
          <w:lang w:val="en-US" w:eastAsia="zh-CN"/>
        </w:rPr>
        <w:t>附件二：</w:t>
      </w:r>
      <w:r>
        <w:rPr>
          <w:rFonts w:hint="eastAsia" w:ascii="仿宋_GB2312" w:hAnsi="仿宋_GB2312" w:eastAsia="仿宋_GB2312" w:cs="仿宋_GB2312"/>
          <w:b/>
          <w:bCs/>
          <w:color w:val="auto"/>
          <w:sz w:val="20"/>
          <w:szCs w:val="20"/>
          <w:highlight w:val="none"/>
        </w:rPr>
        <w:t>精细化管理管护</w:t>
      </w:r>
      <w:r>
        <w:rPr>
          <w:rFonts w:hint="eastAsia" w:ascii="仿宋_GB2312" w:hAnsi="仿宋_GB2312" w:eastAsia="仿宋_GB2312" w:cs="仿宋_GB2312"/>
          <w:b/>
          <w:bCs/>
          <w:color w:val="auto"/>
          <w:sz w:val="20"/>
          <w:szCs w:val="20"/>
          <w:highlight w:val="none"/>
          <w:lang w:eastAsia="zh-CN"/>
        </w:rPr>
        <w:t>考核</w:t>
      </w:r>
      <w:r>
        <w:rPr>
          <w:rFonts w:hint="eastAsia" w:ascii="仿宋_GB2312" w:hAnsi="仿宋_GB2312" w:eastAsia="仿宋_GB2312" w:cs="仿宋_GB2312"/>
          <w:b/>
          <w:bCs/>
          <w:color w:val="auto"/>
          <w:sz w:val="20"/>
          <w:szCs w:val="20"/>
          <w:highlight w:val="none"/>
        </w:rPr>
        <w:t>标准</w:t>
      </w:r>
      <w:bookmarkEnd w:id="31"/>
    </w:p>
    <w:tbl>
      <w:tblPr>
        <w:tblStyle w:val="5"/>
        <w:tblW w:w="84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4"/>
        <w:gridCol w:w="1387"/>
        <w:gridCol w:w="6038"/>
      </w:tblGrid>
      <w:tr w14:paraId="39E94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2421" w:type="dxa"/>
            <w:gridSpan w:val="2"/>
            <w:tcBorders>
              <w:top w:val="single" w:color="000000" w:sz="4" w:space="0"/>
              <w:left w:val="single" w:color="000000" w:sz="4" w:space="0"/>
              <w:bottom w:val="single" w:color="000000" w:sz="4" w:space="0"/>
              <w:right w:val="single" w:color="000000" w:sz="4" w:space="0"/>
            </w:tcBorders>
            <w:noWrap/>
            <w:vAlign w:val="center"/>
          </w:tcPr>
          <w:p w14:paraId="4FA41B8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rPr>
              <w:t>检查类别</w:t>
            </w:r>
          </w:p>
        </w:tc>
        <w:tc>
          <w:tcPr>
            <w:tcW w:w="6038" w:type="dxa"/>
            <w:tcBorders>
              <w:top w:val="single" w:color="000000" w:sz="4" w:space="0"/>
              <w:left w:val="single" w:color="000000" w:sz="4" w:space="0"/>
              <w:bottom w:val="single" w:color="000000" w:sz="4" w:space="0"/>
              <w:right w:val="single" w:color="000000" w:sz="4" w:space="0"/>
            </w:tcBorders>
            <w:noWrap/>
            <w:vAlign w:val="center"/>
          </w:tcPr>
          <w:p w14:paraId="3F5778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lang w:val="en-US"/>
              </w:rPr>
            </w:pPr>
            <w:r>
              <w:rPr>
                <w:rFonts w:hint="eastAsia" w:ascii="仿宋_GB2312" w:hAnsi="仿宋_GB2312" w:eastAsia="仿宋_GB2312" w:cs="仿宋_GB2312"/>
                <w:b/>
                <w:bCs/>
                <w:i w:val="0"/>
                <w:iCs w:val="0"/>
                <w:color w:val="000000"/>
                <w:kern w:val="0"/>
                <w:sz w:val="20"/>
                <w:szCs w:val="20"/>
                <w:highlight w:val="none"/>
                <w:u w:val="none"/>
                <w:lang w:val="en-US" w:eastAsia="zh-CN"/>
              </w:rPr>
              <w:t>检查内容</w:t>
            </w:r>
          </w:p>
        </w:tc>
      </w:tr>
      <w:tr w14:paraId="09EF1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right w:val="single" w:color="000000" w:sz="4" w:space="0"/>
            </w:tcBorders>
            <w:vAlign w:val="center"/>
          </w:tcPr>
          <w:p w14:paraId="139C04F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堤防养护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58ED7E1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AE57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r>
      <w:tr w14:paraId="2B6D4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692DAC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1550F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6038" w:type="dxa"/>
            <w:tcBorders>
              <w:top w:val="single" w:color="000000" w:sz="4" w:space="0"/>
              <w:left w:val="single" w:color="000000" w:sz="4" w:space="0"/>
              <w:bottom w:val="single" w:color="000000" w:sz="4" w:space="0"/>
              <w:right w:val="single" w:color="000000" w:sz="4" w:space="0"/>
            </w:tcBorders>
            <w:vAlign w:val="center"/>
          </w:tcPr>
          <w:p w14:paraId="2C1A9B1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r>
      <w:tr w14:paraId="4DC0C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33AF602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4C89DE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6038" w:type="dxa"/>
            <w:tcBorders>
              <w:top w:val="single" w:color="000000" w:sz="4" w:space="0"/>
              <w:left w:val="single" w:color="000000" w:sz="4" w:space="0"/>
              <w:bottom w:val="single" w:color="000000" w:sz="4" w:space="0"/>
              <w:right w:val="single" w:color="000000" w:sz="4" w:space="0"/>
            </w:tcBorders>
            <w:vAlign w:val="center"/>
          </w:tcPr>
          <w:p w14:paraId="113AEF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r>
      <w:tr w14:paraId="39136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B74EA5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4A27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6568B5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r>
      <w:tr w14:paraId="426B0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left w:val="single" w:color="000000" w:sz="4" w:space="0"/>
              <w:right w:val="single" w:color="000000" w:sz="4" w:space="0"/>
            </w:tcBorders>
            <w:vAlign w:val="center"/>
          </w:tcPr>
          <w:p w14:paraId="3C2EEC5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84016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穿、跨堤</w:t>
            </w:r>
          </w:p>
          <w:p w14:paraId="23A995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建筑物</w:t>
            </w:r>
          </w:p>
        </w:tc>
        <w:tc>
          <w:tcPr>
            <w:tcW w:w="6038" w:type="dxa"/>
            <w:tcBorders>
              <w:top w:val="single" w:color="000000" w:sz="4" w:space="0"/>
              <w:left w:val="single" w:color="000000" w:sz="4" w:space="0"/>
              <w:bottom w:val="single" w:color="000000" w:sz="4" w:space="0"/>
              <w:right w:val="single" w:color="000000" w:sz="4" w:space="0"/>
            </w:tcBorders>
            <w:vAlign w:val="center"/>
          </w:tcPr>
          <w:p w14:paraId="2934727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r>
      <w:tr w14:paraId="79A8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45AE42F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5541F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6038" w:type="dxa"/>
            <w:tcBorders>
              <w:top w:val="single" w:color="000000" w:sz="4" w:space="0"/>
              <w:left w:val="single" w:color="000000" w:sz="4" w:space="0"/>
              <w:bottom w:val="single" w:color="000000" w:sz="4" w:space="0"/>
              <w:right w:val="single" w:color="000000" w:sz="4" w:space="0"/>
            </w:tcBorders>
            <w:vAlign w:val="center"/>
          </w:tcPr>
          <w:p w14:paraId="5984D26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r>
      <w:tr w14:paraId="41F4E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7660E07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654469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5919A36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大桥落水管内无杂物、堵塞，无漏洞，排水流畅，出口无冲坑、悬空。排水管下无水蚀陷坑。不达标者每处扣1分。</w:t>
            </w:r>
          </w:p>
        </w:tc>
      </w:tr>
      <w:tr w14:paraId="762C8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0F5D0D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82046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19F39A0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汉阙、廊道内干净整洁、无垃圾杂物；护栏无积灰、无缺损；地面、墙面无乱涂乱画，无积灰、污迹、蛛网；墙皮无脱落，发现损坏及时上报维修，不达标者每处扣1分。</w:t>
            </w:r>
          </w:p>
        </w:tc>
      </w:tr>
      <w:tr w14:paraId="2456E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6E0EBEC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C0D72C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6783FCE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碑面整洁美观、清晰醒目，定期清洗、防锈；损坏处及时上报维修更换；发现野广告及时清理，不达标者每处扣1分。</w:t>
            </w:r>
          </w:p>
        </w:tc>
      </w:tr>
      <w:tr w14:paraId="160E5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166210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FD502E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w:t>
            </w:r>
          </w:p>
        </w:tc>
        <w:tc>
          <w:tcPr>
            <w:tcW w:w="6038" w:type="dxa"/>
            <w:tcBorders>
              <w:top w:val="single" w:color="000000" w:sz="4" w:space="0"/>
              <w:left w:val="single" w:color="000000" w:sz="4" w:space="0"/>
              <w:bottom w:val="single" w:color="000000" w:sz="4" w:space="0"/>
              <w:right w:val="single" w:color="000000" w:sz="4" w:space="0"/>
            </w:tcBorders>
            <w:vAlign w:val="center"/>
          </w:tcPr>
          <w:p w14:paraId="7D123E4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伸缩缝平整完好，无开裂、缺损情况，发现问题及时上报处理，无硬质材料起绊行人、车辆等安全隐患。不达标者每处扣2分。</w:t>
            </w:r>
          </w:p>
        </w:tc>
      </w:tr>
      <w:tr w14:paraId="5914F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72E3037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1D1F7C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石桥、木栈道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70CC5032">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滩区连接路石桥、木栈道等桥面、桥底周围整洁，无垃圾、贴画，桥面、桥墩、护栏等有损坏未及时报告处理的每处扣1分。</w:t>
            </w:r>
          </w:p>
        </w:tc>
      </w:tr>
      <w:tr w14:paraId="34623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B45D5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堤岸防护</w:t>
            </w:r>
          </w:p>
          <w:p w14:paraId="6989F2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工程</w:t>
            </w:r>
          </w:p>
        </w:tc>
        <w:tc>
          <w:tcPr>
            <w:tcW w:w="1387" w:type="dxa"/>
            <w:tcBorders>
              <w:top w:val="single" w:color="000000" w:sz="4" w:space="0"/>
              <w:left w:val="single" w:color="000000" w:sz="4" w:space="0"/>
              <w:bottom w:val="single" w:color="000000" w:sz="4" w:space="0"/>
              <w:right w:val="single" w:color="000000" w:sz="4" w:space="0"/>
            </w:tcBorders>
            <w:vAlign w:val="center"/>
          </w:tcPr>
          <w:p w14:paraId="254066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6038" w:type="dxa"/>
            <w:tcBorders>
              <w:top w:val="single" w:color="000000" w:sz="4" w:space="0"/>
              <w:left w:val="single" w:color="000000" w:sz="4" w:space="0"/>
              <w:bottom w:val="single" w:color="000000" w:sz="4" w:space="0"/>
              <w:right w:val="single" w:color="000000" w:sz="4" w:space="0"/>
            </w:tcBorders>
            <w:vAlign w:val="center"/>
          </w:tcPr>
          <w:p w14:paraId="0F30CA6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r>
      <w:tr w14:paraId="7149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E3EA7C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75419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6038" w:type="dxa"/>
            <w:tcBorders>
              <w:top w:val="single" w:color="000000" w:sz="4" w:space="0"/>
              <w:left w:val="single" w:color="000000" w:sz="4" w:space="0"/>
              <w:bottom w:val="single" w:color="000000" w:sz="4" w:space="0"/>
              <w:right w:val="single" w:color="000000" w:sz="4" w:space="0"/>
            </w:tcBorders>
            <w:vAlign w:val="center"/>
          </w:tcPr>
          <w:p w14:paraId="15FAE3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r>
      <w:tr w14:paraId="46CC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A83E5D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绿化养护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42E62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6038" w:type="dxa"/>
            <w:tcBorders>
              <w:top w:val="single" w:color="000000" w:sz="4" w:space="0"/>
              <w:left w:val="single" w:color="000000" w:sz="4" w:space="0"/>
              <w:bottom w:val="single" w:color="000000" w:sz="4" w:space="0"/>
              <w:right w:val="single" w:color="000000" w:sz="4" w:space="0"/>
            </w:tcBorders>
            <w:vAlign w:val="center"/>
          </w:tcPr>
          <w:p w14:paraId="14BBC8F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r>
      <w:tr w14:paraId="151E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382F8C2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8350B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D44C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r>
      <w:tr w14:paraId="030C0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473EE1F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A4573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6038" w:type="dxa"/>
            <w:tcBorders>
              <w:top w:val="single" w:color="000000" w:sz="4" w:space="0"/>
              <w:left w:val="single" w:color="000000" w:sz="4" w:space="0"/>
              <w:bottom w:val="single" w:color="000000" w:sz="4" w:space="0"/>
              <w:right w:val="single" w:color="000000" w:sz="4" w:space="0"/>
            </w:tcBorders>
            <w:vAlign w:val="center"/>
          </w:tcPr>
          <w:p w14:paraId="464BAB6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r>
      <w:tr w14:paraId="74A9D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27A6F3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水体管护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2360E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6038" w:type="dxa"/>
            <w:tcBorders>
              <w:top w:val="single" w:color="000000" w:sz="4" w:space="0"/>
              <w:left w:val="single" w:color="000000" w:sz="4" w:space="0"/>
              <w:bottom w:val="single" w:color="000000" w:sz="4" w:space="0"/>
              <w:right w:val="single" w:color="000000" w:sz="4" w:space="0"/>
            </w:tcBorders>
            <w:vAlign w:val="center"/>
          </w:tcPr>
          <w:p w14:paraId="22CDB4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r>
      <w:tr w14:paraId="4B5A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3F57D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492DEA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3FD46A2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r>
      <w:tr w14:paraId="0DC9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08C9808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84096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渠道入渭口、</w:t>
            </w:r>
          </w:p>
          <w:p w14:paraId="6656359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进退水口</w:t>
            </w:r>
          </w:p>
        </w:tc>
        <w:tc>
          <w:tcPr>
            <w:tcW w:w="6038" w:type="dxa"/>
            <w:tcBorders>
              <w:top w:val="single" w:color="000000" w:sz="4" w:space="0"/>
              <w:left w:val="single" w:color="000000" w:sz="4" w:space="0"/>
              <w:bottom w:val="single" w:color="000000" w:sz="4" w:space="0"/>
              <w:right w:val="single" w:color="000000" w:sz="4" w:space="0"/>
            </w:tcBorders>
            <w:vAlign w:val="center"/>
          </w:tcPr>
          <w:p w14:paraId="6CD9573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r>
      <w:tr w14:paraId="359E0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right w:val="single" w:color="000000" w:sz="4" w:space="0"/>
            </w:tcBorders>
            <w:vAlign w:val="center"/>
          </w:tcPr>
          <w:p w14:paraId="2C3D32A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附属设施</w:t>
            </w:r>
          </w:p>
          <w:p w14:paraId="239C43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1E9662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w:t>
            </w:r>
          </w:p>
        </w:tc>
        <w:tc>
          <w:tcPr>
            <w:tcW w:w="6038" w:type="dxa"/>
            <w:tcBorders>
              <w:top w:val="single" w:color="000000" w:sz="4" w:space="0"/>
              <w:left w:val="single" w:color="000000" w:sz="4" w:space="0"/>
              <w:bottom w:val="single" w:color="000000" w:sz="4" w:space="0"/>
              <w:right w:val="single" w:color="000000" w:sz="4" w:space="0"/>
            </w:tcBorders>
            <w:vAlign w:val="center"/>
          </w:tcPr>
          <w:p w14:paraId="1ACBBCC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r>
      <w:tr w14:paraId="376F2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2A09498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77947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标识标牌</w:t>
            </w:r>
          </w:p>
        </w:tc>
        <w:tc>
          <w:tcPr>
            <w:tcW w:w="6038" w:type="dxa"/>
            <w:tcBorders>
              <w:top w:val="single" w:color="000000" w:sz="4" w:space="0"/>
              <w:left w:val="single" w:color="000000" w:sz="4" w:space="0"/>
              <w:bottom w:val="single" w:color="000000" w:sz="4" w:space="0"/>
              <w:right w:val="single" w:color="000000" w:sz="4" w:space="0"/>
            </w:tcBorders>
            <w:vAlign w:val="center"/>
          </w:tcPr>
          <w:p w14:paraId="3904993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警示牌、宣传牌、公示牌、公里桩、百米桩及坝号桩等标志标牌埋设牢固、齐全醒目，定期擦洗，缺损及时维修更换，发现野广告及时清理，干净无灰尘、蛛网，无涂层脱落、破损等现象。不达标者每处扣1分。</w:t>
            </w:r>
          </w:p>
        </w:tc>
      </w:tr>
      <w:tr w14:paraId="1E93A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5A8A727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29D67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服务设施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43798B1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沿线垃圾桶、坐凳等服务设施每日擦洗，定期消毒，周围干净无垃圾、蚊蝇、蛛网，无破损等现象。不达标者每处扣1分。</w:t>
            </w:r>
          </w:p>
        </w:tc>
      </w:tr>
      <w:tr w14:paraId="69A1E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7" w:hRule="atLeast"/>
        </w:trPr>
        <w:tc>
          <w:tcPr>
            <w:tcW w:w="1034" w:type="dxa"/>
            <w:vMerge w:val="continue"/>
            <w:tcBorders>
              <w:left w:val="single" w:color="000000" w:sz="4" w:space="0"/>
              <w:right w:val="single" w:color="000000" w:sz="4" w:space="0"/>
            </w:tcBorders>
            <w:vAlign w:val="center"/>
          </w:tcPr>
          <w:p w14:paraId="318531C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DE054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管护房、库房及厕所</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5BFD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公厕周围物品归类摆放整齐，墙面、天花板无脱落，门窗、地面无油污、灰尘，室内无异味；按规定使用各类设备器具，损坏及时维修；无用电、用火安全隐患。物资储备仓库的防火、防潮、防盗、防污染等设施完善，储备品类、数量合规合理，救灾物资安全，通风良好，无受潮发霉现象，无鼠害，出入库手续完善等。不达标者每处扣1分。</w:t>
            </w:r>
          </w:p>
        </w:tc>
      </w:tr>
      <w:tr w14:paraId="67FE4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E0BEFB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AD889F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基础设施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41E8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限高、限宽、路灯、护栏、救生设施等主要基础设施发现损坏要及时更换、维修；定期检查监控设备是否工作正常，观测设施是否完好，能否正常观测。</w:t>
            </w:r>
          </w:p>
        </w:tc>
      </w:tr>
      <w:tr w14:paraId="2EED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61DCC5B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8CEF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病媒生物</w:t>
            </w:r>
          </w:p>
          <w:p w14:paraId="167FA51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及害堤动物防治</w:t>
            </w:r>
          </w:p>
        </w:tc>
        <w:tc>
          <w:tcPr>
            <w:tcW w:w="6038" w:type="dxa"/>
            <w:tcBorders>
              <w:top w:val="single" w:color="000000" w:sz="4" w:space="0"/>
              <w:left w:val="single" w:color="000000" w:sz="4" w:space="0"/>
              <w:bottom w:val="single" w:color="000000" w:sz="4" w:space="0"/>
              <w:right w:val="single" w:color="000000" w:sz="4" w:space="0"/>
            </w:tcBorders>
            <w:vAlign w:val="center"/>
          </w:tcPr>
          <w:p w14:paraId="575EB40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灭四害设施按规定设置，定时定量投放毒饵；定期检查堤防，发现蛇鼠、獾狐、兔子、白蚁等动物洞穴及时上报处理。不达标者每处扣1分。</w:t>
            </w:r>
          </w:p>
        </w:tc>
      </w:tr>
      <w:tr w14:paraId="4E908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39A0CD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日常管理</w:t>
            </w:r>
          </w:p>
        </w:tc>
        <w:tc>
          <w:tcPr>
            <w:tcW w:w="1387" w:type="dxa"/>
            <w:tcBorders>
              <w:top w:val="single" w:color="000000" w:sz="4" w:space="0"/>
              <w:left w:val="single" w:color="000000" w:sz="4" w:space="0"/>
              <w:bottom w:val="single" w:color="000000" w:sz="4" w:space="0"/>
              <w:right w:val="single" w:color="000000" w:sz="4" w:space="0"/>
            </w:tcBorders>
            <w:vAlign w:val="center"/>
          </w:tcPr>
          <w:p w14:paraId="6F407DF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养护人员</w:t>
            </w:r>
          </w:p>
          <w:p w14:paraId="47F77AA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26BE24B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养护人员身着养护服装，服装干净整洁，不得缺勤、迟到、早退，出勤率要达到95%以上。不达标者每人次扣1分。</w:t>
            </w:r>
          </w:p>
        </w:tc>
      </w:tr>
      <w:tr w14:paraId="0C8D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DDF830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1DB233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问题整改</w:t>
            </w:r>
          </w:p>
        </w:tc>
        <w:tc>
          <w:tcPr>
            <w:tcW w:w="6038" w:type="dxa"/>
            <w:tcBorders>
              <w:top w:val="single" w:color="000000" w:sz="4" w:space="0"/>
              <w:left w:val="single" w:color="000000" w:sz="4" w:space="0"/>
              <w:bottom w:val="single" w:color="000000" w:sz="4" w:space="0"/>
              <w:right w:val="single" w:color="000000" w:sz="4" w:space="0"/>
            </w:tcBorders>
            <w:vAlign w:val="center"/>
          </w:tcPr>
          <w:p w14:paraId="018A89E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月终考核对存在问题或突发问题处理不及时，不到位，一次扣1分。上级检查发现问题2处以上或同样问题超过2次以上的，一次扣罚2分。</w:t>
            </w:r>
          </w:p>
        </w:tc>
      </w:tr>
      <w:tr w14:paraId="0DB1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FCACDC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65DC36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社会舆论</w:t>
            </w:r>
          </w:p>
        </w:tc>
        <w:tc>
          <w:tcPr>
            <w:tcW w:w="6038" w:type="dxa"/>
            <w:tcBorders>
              <w:top w:val="single" w:color="000000" w:sz="4" w:space="0"/>
              <w:left w:val="single" w:color="000000" w:sz="4" w:space="0"/>
              <w:bottom w:val="single" w:color="000000" w:sz="4" w:space="0"/>
              <w:right w:val="single" w:color="000000" w:sz="4" w:space="0"/>
            </w:tcBorders>
            <w:vAlign w:val="center"/>
          </w:tcPr>
          <w:p w14:paraId="6FD194A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出现舆论投诉每次扣2分，未及时整改处理问题每次扣1分。</w:t>
            </w:r>
          </w:p>
        </w:tc>
      </w:tr>
      <w:tr w14:paraId="13BB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1D30A01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CC9C52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安全生产</w:t>
            </w:r>
          </w:p>
        </w:tc>
        <w:tc>
          <w:tcPr>
            <w:tcW w:w="6038" w:type="dxa"/>
            <w:tcBorders>
              <w:top w:val="single" w:color="000000" w:sz="4" w:space="0"/>
              <w:left w:val="single" w:color="000000" w:sz="4" w:space="0"/>
              <w:bottom w:val="single" w:color="000000" w:sz="4" w:space="0"/>
              <w:right w:val="single" w:color="000000" w:sz="4" w:space="0"/>
            </w:tcBorders>
            <w:vAlign w:val="center"/>
          </w:tcPr>
          <w:p w14:paraId="4A54A9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设施及器具齐全，定期检验；定期开展安全教育培训及班前安全提醒，养护工作业无逆行、横穿马路、车带人等危险行为，不达标者每次扣1分。检查中发现的安全隐患按期完成整改，无二次问题，无生产安全事故，不达标者每次扣2分。</w:t>
            </w:r>
          </w:p>
        </w:tc>
      </w:tr>
      <w:tr w14:paraId="35C7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3FAFA6D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日常巡查</w:t>
            </w:r>
          </w:p>
        </w:tc>
        <w:tc>
          <w:tcPr>
            <w:tcW w:w="1387" w:type="dxa"/>
            <w:tcBorders>
              <w:top w:val="single" w:color="000000" w:sz="4" w:space="0"/>
              <w:left w:val="single" w:color="000000" w:sz="4" w:space="0"/>
              <w:bottom w:val="single" w:color="000000" w:sz="4" w:space="0"/>
              <w:right w:val="single" w:color="000000" w:sz="4" w:space="0"/>
            </w:tcBorders>
            <w:vAlign w:val="center"/>
          </w:tcPr>
          <w:p w14:paraId="74FA3D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0253C9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统一着装，干净整洁，按时到岗，不随意离岗，发现安保不文明行为影响公共形象的每人次扣1分。发生意外事故及时通知并协助相关责任人处理，维护好堤顶交通、车辆停放秩序；未及时制止乱倒垃圾、渣土等不文明现象的每次扣1分。</w:t>
            </w:r>
          </w:p>
        </w:tc>
      </w:tr>
      <w:tr w14:paraId="0B2B5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730E7F1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5B86C9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5E88599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范围内有无破坏工程完整、工程面貌的违规现象，如放牧、垦植、破坏植被、破坏树株、种植农作物、盗土取土、垃圾堆放等，有无草皮焚烧、树株焚烧等现象；有无在堤顶道路上行驶履带式车辆或者超载车辆；有无破坏或盗窃工程标志桩（牌）和测量、监测监控、水文、电力、通信等设施行为发生。有无未经上级批准的非防洪工程建设项目的建设行为，如私搭乱建、私设广告牌等，有无爆破、打井、采砂、取土、挖塘等危害堤防安全的活动。未及时发现、报告处理的每次扣1分。</w:t>
            </w:r>
          </w:p>
        </w:tc>
      </w:tr>
    </w:tbl>
    <w:p w14:paraId="73E7820C">
      <w:pPr>
        <w:pStyle w:val="8"/>
        <w:pageBreakBefore w:val="0"/>
        <w:kinsoku/>
        <w:wordWrap/>
        <w:overflowPunct/>
        <w:topLinePunct w:val="0"/>
        <w:bidi w:val="0"/>
        <w:adjustRightInd/>
        <w:snapToGrid/>
        <w:spacing w:line="360" w:lineRule="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br w:type="page"/>
      </w:r>
      <w:r>
        <w:rPr>
          <w:rFonts w:hint="eastAsia" w:ascii="仿宋_GB2312" w:hAnsi="仿宋_GB2312" w:eastAsia="仿宋_GB2312" w:cs="仿宋_GB2312"/>
          <w:b/>
          <w:bCs/>
          <w:color w:val="auto"/>
          <w:sz w:val="20"/>
          <w:szCs w:val="20"/>
          <w:highlight w:val="none"/>
          <w:lang w:val="en-US" w:eastAsia="zh-CN"/>
        </w:rPr>
        <w:t>附件三：月度考核表及月度考核汇总表</w:t>
      </w:r>
    </w:p>
    <w:tbl>
      <w:tblPr>
        <w:tblStyle w:val="5"/>
        <w:tblW w:w="8809" w:type="dxa"/>
        <w:tblInd w:w="-5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9"/>
        <w:gridCol w:w="1086"/>
        <w:gridCol w:w="739"/>
        <w:gridCol w:w="5170"/>
        <w:gridCol w:w="725"/>
      </w:tblGrid>
      <w:tr w14:paraId="33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trPr>
        <w:tc>
          <w:tcPr>
            <w:tcW w:w="8809" w:type="dxa"/>
            <w:gridSpan w:val="5"/>
            <w:tcBorders>
              <w:top w:val="nil"/>
              <w:left w:val="nil"/>
              <w:bottom w:val="nil"/>
              <w:right w:val="nil"/>
            </w:tcBorders>
            <w:noWrap/>
            <w:vAlign w:val="center"/>
          </w:tcPr>
          <w:p w14:paraId="7C6A0FF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rPr>
              <w:t>养护考核标准（表1）</w:t>
            </w:r>
          </w:p>
        </w:tc>
      </w:tr>
      <w:tr w14:paraId="7580F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8809" w:type="dxa"/>
            <w:gridSpan w:val="5"/>
            <w:tcBorders>
              <w:top w:val="nil"/>
              <w:left w:val="nil"/>
              <w:bottom w:val="single" w:color="000000" w:sz="4" w:space="0"/>
              <w:right w:val="nil"/>
            </w:tcBorders>
            <w:vAlign w:val="center"/>
          </w:tcPr>
          <w:p w14:paraId="51D177A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考核对象：</w:t>
            </w:r>
          </w:p>
          <w:p w14:paraId="358A865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评分人：</w:t>
            </w:r>
          </w:p>
        </w:tc>
      </w:tr>
      <w:tr w14:paraId="03DA7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2175" w:type="dxa"/>
            <w:gridSpan w:val="2"/>
            <w:tcBorders>
              <w:top w:val="single" w:color="000000" w:sz="4" w:space="0"/>
              <w:left w:val="single" w:color="000000" w:sz="4" w:space="0"/>
              <w:bottom w:val="single" w:color="000000" w:sz="4" w:space="0"/>
              <w:right w:val="single" w:color="000000" w:sz="4" w:space="0"/>
            </w:tcBorders>
            <w:noWrap/>
            <w:vAlign w:val="center"/>
          </w:tcPr>
          <w:p w14:paraId="6A3DEC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项目类别</w:t>
            </w:r>
          </w:p>
        </w:tc>
        <w:tc>
          <w:tcPr>
            <w:tcW w:w="739" w:type="dxa"/>
            <w:tcBorders>
              <w:top w:val="single" w:color="000000" w:sz="4" w:space="0"/>
              <w:left w:val="single" w:color="000000" w:sz="4" w:space="0"/>
              <w:bottom w:val="single" w:color="000000" w:sz="4" w:space="0"/>
              <w:right w:val="single" w:color="000000" w:sz="4" w:space="0"/>
            </w:tcBorders>
            <w:vAlign w:val="center"/>
          </w:tcPr>
          <w:p w14:paraId="6BE0B86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标准</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赋分</w:t>
            </w:r>
          </w:p>
        </w:tc>
        <w:tc>
          <w:tcPr>
            <w:tcW w:w="5170" w:type="dxa"/>
            <w:tcBorders>
              <w:top w:val="single" w:color="000000" w:sz="4" w:space="0"/>
              <w:left w:val="single" w:color="000000" w:sz="4" w:space="0"/>
              <w:bottom w:val="single" w:color="000000" w:sz="4" w:space="0"/>
              <w:right w:val="single" w:color="000000" w:sz="4" w:space="0"/>
            </w:tcBorders>
            <w:noWrap/>
            <w:vAlign w:val="center"/>
          </w:tcPr>
          <w:p w14:paraId="5C5244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评分标准</w:t>
            </w:r>
          </w:p>
        </w:tc>
        <w:tc>
          <w:tcPr>
            <w:tcW w:w="725" w:type="dxa"/>
            <w:tcBorders>
              <w:top w:val="single" w:color="000000" w:sz="4" w:space="0"/>
              <w:left w:val="single" w:color="000000" w:sz="4" w:space="0"/>
              <w:bottom w:val="single" w:color="000000" w:sz="4" w:space="0"/>
              <w:right w:val="single" w:color="000000" w:sz="4" w:space="0"/>
            </w:tcBorders>
            <w:noWrap/>
            <w:vAlign w:val="center"/>
          </w:tcPr>
          <w:p w14:paraId="6068635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得分</w:t>
            </w:r>
          </w:p>
        </w:tc>
      </w:tr>
      <w:tr w14:paraId="1E81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30F955D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堤防</w:t>
            </w:r>
          </w:p>
          <w:p w14:paraId="3252420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（20分）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45EA3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739" w:type="dxa"/>
            <w:tcBorders>
              <w:top w:val="single" w:color="000000" w:sz="4" w:space="0"/>
              <w:left w:val="single" w:color="000000" w:sz="4" w:space="0"/>
              <w:bottom w:val="single" w:color="000000" w:sz="4" w:space="0"/>
              <w:right w:val="single" w:color="000000" w:sz="4" w:space="0"/>
            </w:tcBorders>
            <w:vAlign w:val="center"/>
          </w:tcPr>
          <w:p w14:paraId="0F9A99D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B7FD38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1E6797A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AAD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00CA28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3FE01F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739" w:type="dxa"/>
            <w:tcBorders>
              <w:top w:val="single" w:color="000000" w:sz="4" w:space="0"/>
              <w:left w:val="single" w:color="000000" w:sz="4" w:space="0"/>
              <w:bottom w:val="single" w:color="000000" w:sz="4" w:space="0"/>
              <w:right w:val="single" w:color="000000" w:sz="4" w:space="0"/>
            </w:tcBorders>
            <w:vAlign w:val="center"/>
          </w:tcPr>
          <w:p w14:paraId="5F8A51A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26A357B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0F6C39D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36A3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3649504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F40ED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739" w:type="dxa"/>
            <w:tcBorders>
              <w:top w:val="single" w:color="000000" w:sz="4" w:space="0"/>
              <w:left w:val="single" w:color="000000" w:sz="4" w:space="0"/>
              <w:bottom w:val="single" w:color="000000" w:sz="4" w:space="0"/>
              <w:right w:val="single" w:color="000000" w:sz="4" w:space="0"/>
            </w:tcBorders>
            <w:vAlign w:val="center"/>
          </w:tcPr>
          <w:p w14:paraId="651872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651596E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188D01CE">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4DA6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2A45B85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7A28D21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739" w:type="dxa"/>
            <w:tcBorders>
              <w:top w:val="single" w:color="000000" w:sz="4" w:space="0"/>
              <w:left w:val="single" w:color="000000" w:sz="4" w:space="0"/>
              <w:bottom w:val="single" w:color="000000" w:sz="4" w:space="0"/>
              <w:right w:val="single" w:color="000000" w:sz="4" w:space="0"/>
            </w:tcBorders>
            <w:vAlign w:val="center"/>
          </w:tcPr>
          <w:p w14:paraId="2A8181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4F27894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62FB7F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344F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48D8A74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26E37F1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建筑物</w:t>
            </w:r>
          </w:p>
        </w:tc>
        <w:tc>
          <w:tcPr>
            <w:tcW w:w="739" w:type="dxa"/>
            <w:tcBorders>
              <w:top w:val="single" w:color="000000" w:sz="4" w:space="0"/>
              <w:left w:val="single" w:color="000000" w:sz="4" w:space="0"/>
              <w:bottom w:val="single" w:color="000000" w:sz="4" w:space="0"/>
              <w:right w:val="single" w:color="000000" w:sz="4" w:space="0"/>
            </w:tcBorders>
            <w:vAlign w:val="center"/>
          </w:tcPr>
          <w:p w14:paraId="2E8406E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3C75943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3C9807B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9F5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D8387D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0A8643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739" w:type="dxa"/>
            <w:tcBorders>
              <w:top w:val="single" w:color="000000" w:sz="4" w:space="0"/>
              <w:left w:val="single" w:color="000000" w:sz="4" w:space="0"/>
              <w:bottom w:val="single" w:color="000000" w:sz="4" w:space="0"/>
              <w:right w:val="single" w:color="000000" w:sz="4" w:space="0"/>
            </w:tcBorders>
            <w:vAlign w:val="center"/>
          </w:tcPr>
          <w:p w14:paraId="1875DF9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7B3CF0E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4AEC9D4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B401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76AD8E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67399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739" w:type="dxa"/>
            <w:tcBorders>
              <w:top w:val="single" w:color="000000" w:sz="4" w:space="0"/>
              <w:left w:val="single" w:color="000000" w:sz="4" w:space="0"/>
              <w:bottom w:val="single" w:color="000000" w:sz="4" w:space="0"/>
              <w:right w:val="single" w:color="000000" w:sz="4" w:space="0"/>
            </w:tcBorders>
            <w:vAlign w:val="center"/>
          </w:tcPr>
          <w:p w14:paraId="46535A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2919916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1756F01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106B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0BB197A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w:t>
            </w:r>
          </w:p>
          <w:p w14:paraId="1DDDBC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防护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工程</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（10分）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7DE557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739" w:type="dxa"/>
            <w:tcBorders>
              <w:top w:val="single" w:color="000000" w:sz="4" w:space="0"/>
              <w:left w:val="single" w:color="000000" w:sz="4" w:space="0"/>
              <w:bottom w:val="single" w:color="000000" w:sz="4" w:space="0"/>
              <w:right w:val="single" w:color="000000" w:sz="4" w:space="0"/>
            </w:tcBorders>
            <w:vAlign w:val="center"/>
          </w:tcPr>
          <w:p w14:paraId="6ACF0E7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E8FFC8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66ABF08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0A7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E26424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20354E0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739" w:type="dxa"/>
            <w:tcBorders>
              <w:top w:val="single" w:color="000000" w:sz="4" w:space="0"/>
              <w:left w:val="single" w:color="000000" w:sz="4" w:space="0"/>
              <w:bottom w:val="single" w:color="000000" w:sz="4" w:space="0"/>
              <w:right w:val="single" w:color="000000" w:sz="4" w:space="0"/>
            </w:tcBorders>
            <w:vAlign w:val="center"/>
          </w:tcPr>
          <w:p w14:paraId="19605CC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A488168">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5D8199C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9D0D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0"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0BFF6B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绿化</w:t>
            </w:r>
          </w:p>
          <w:p w14:paraId="58072F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096F04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739" w:type="dxa"/>
            <w:tcBorders>
              <w:top w:val="single" w:color="000000" w:sz="4" w:space="0"/>
              <w:left w:val="single" w:color="000000" w:sz="4" w:space="0"/>
              <w:bottom w:val="single" w:color="000000" w:sz="4" w:space="0"/>
              <w:right w:val="single" w:color="000000" w:sz="4" w:space="0"/>
            </w:tcBorders>
            <w:vAlign w:val="center"/>
          </w:tcPr>
          <w:p w14:paraId="401153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4BC953B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40EF716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308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8"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460EF6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5ED01A4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739" w:type="dxa"/>
            <w:tcBorders>
              <w:top w:val="single" w:color="000000" w:sz="4" w:space="0"/>
              <w:left w:val="single" w:color="000000" w:sz="4" w:space="0"/>
              <w:bottom w:val="single" w:color="000000" w:sz="4" w:space="0"/>
              <w:right w:val="single" w:color="000000" w:sz="4" w:space="0"/>
            </w:tcBorders>
            <w:vAlign w:val="center"/>
          </w:tcPr>
          <w:p w14:paraId="70B93CC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1B68E9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6427704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762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8"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4A94EB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F61D73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739" w:type="dxa"/>
            <w:tcBorders>
              <w:top w:val="single" w:color="000000" w:sz="4" w:space="0"/>
              <w:left w:val="single" w:color="000000" w:sz="4" w:space="0"/>
              <w:bottom w:val="single" w:color="000000" w:sz="4" w:space="0"/>
              <w:right w:val="single" w:color="000000" w:sz="4" w:space="0"/>
            </w:tcBorders>
            <w:vAlign w:val="center"/>
          </w:tcPr>
          <w:p w14:paraId="32208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39AE921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392672C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C522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73179E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水体</w:t>
            </w:r>
          </w:p>
          <w:p w14:paraId="279C9F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6C4A83B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739" w:type="dxa"/>
            <w:tcBorders>
              <w:top w:val="single" w:color="000000" w:sz="4" w:space="0"/>
              <w:left w:val="single" w:color="000000" w:sz="4" w:space="0"/>
              <w:bottom w:val="single" w:color="000000" w:sz="4" w:space="0"/>
              <w:right w:val="single" w:color="000000" w:sz="4" w:space="0"/>
            </w:tcBorders>
            <w:vAlign w:val="center"/>
          </w:tcPr>
          <w:p w14:paraId="62069B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3CC25C5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3ED700C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2DA7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604DE6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647DAE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739" w:type="dxa"/>
            <w:tcBorders>
              <w:top w:val="single" w:color="000000" w:sz="4" w:space="0"/>
              <w:left w:val="single" w:color="000000" w:sz="4" w:space="0"/>
              <w:bottom w:val="single" w:color="000000" w:sz="4" w:space="0"/>
              <w:right w:val="single" w:color="000000" w:sz="4" w:space="0"/>
            </w:tcBorders>
            <w:vAlign w:val="center"/>
          </w:tcPr>
          <w:p w14:paraId="39F526A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42EB32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271947D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C55F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31E16D5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F5F903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渠道入渭口、</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进退水口</w:t>
            </w:r>
          </w:p>
        </w:tc>
        <w:tc>
          <w:tcPr>
            <w:tcW w:w="739" w:type="dxa"/>
            <w:tcBorders>
              <w:top w:val="single" w:color="000000" w:sz="4" w:space="0"/>
              <w:left w:val="single" w:color="000000" w:sz="4" w:space="0"/>
              <w:bottom w:val="single" w:color="000000" w:sz="4" w:space="0"/>
              <w:right w:val="single" w:color="000000" w:sz="4" w:space="0"/>
            </w:tcBorders>
            <w:vAlign w:val="center"/>
          </w:tcPr>
          <w:p w14:paraId="1027E7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880D7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74F69B8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7FF3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0" w:hRule="atLeast"/>
        </w:trPr>
        <w:tc>
          <w:tcPr>
            <w:tcW w:w="1089" w:type="dxa"/>
            <w:tcBorders>
              <w:top w:val="single" w:color="000000" w:sz="4" w:space="0"/>
              <w:left w:val="single" w:color="000000" w:sz="4" w:space="0"/>
              <w:bottom w:val="single" w:color="000000" w:sz="4" w:space="0"/>
              <w:right w:val="single" w:color="000000" w:sz="4" w:space="0"/>
            </w:tcBorders>
            <w:vAlign w:val="center"/>
          </w:tcPr>
          <w:p w14:paraId="51E399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w:t>
            </w:r>
          </w:p>
          <w:p w14:paraId="5BE075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设施</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5001D6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w:t>
            </w:r>
          </w:p>
        </w:tc>
        <w:tc>
          <w:tcPr>
            <w:tcW w:w="739" w:type="dxa"/>
            <w:tcBorders>
              <w:top w:val="single" w:color="000000" w:sz="4" w:space="0"/>
              <w:left w:val="single" w:color="000000" w:sz="4" w:space="0"/>
              <w:bottom w:val="single" w:color="000000" w:sz="4" w:space="0"/>
              <w:right w:val="single" w:color="000000" w:sz="4" w:space="0"/>
            </w:tcBorders>
            <w:vAlign w:val="center"/>
          </w:tcPr>
          <w:p w14:paraId="11A7A9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170" w:type="dxa"/>
            <w:tcBorders>
              <w:top w:val="single" w:color="000000" w:sz="4" w:space="0"/>
              <w:left w:val="single" w:color="000000" w:sz="4" w:space="0"/>
              <w:bottom w:val="single" w:color="000000" w:sz="4" w:space="0"/>
              <w:right w:val="single" w:color="000000" w:sz="4" w:space="0"/>
            </w:tcBorders>
            <w:vAlign w:val="center"/>
          </w:tcPr>
          <w:p w14:paraId="23C39BD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c>
          <w:tcPr>
            <w:tcW w:w="725" w:type="dxa"/>
            <w:tcBorders>
              <w:top w:val="nil"/>
              <w:left w:val="single" w:color="000000" w:sz="4" w:space="0"/>
              <w:bottom w:val="single" w:color="000000" w:sz="4" w:space="0"/>
              <w:right w:val="single" w:color="000000" w:sz="4" w:space="0"/>
            </w:tcBorders>
            <w:vAlign w:val="center"/>
          </w:tcPr>
          <w:p w14:paraId="4839FB2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bl>
    <w:p w14:paraId="4D017A29">
      <w:pPr>
        <w:sectPr>
          <w:pgSz w:w="11906" w:h="16838"/>
          <w:pgMar w:top="1440" w:right="1800" w:bottom="1440" w:left="1800" w:header="851" w:footer="992" w:gutter="0"/>
          <w:cols w:space="425" w:num="1"/>
          <w:docGrid w:type="lines" w:linePitch="312" w:charSpace="0"/>
        </w:sectPr>
      </w:pPr>
    </w:p>
    <w:tbl>
      <w:tblPr>
        <w:tblStyle w:val="5"/>
        <w:tblW w:w="94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7"/>
        <w:gridCol w:w="1205"/>
        <w:gridCol w:w="1063"/>
        <w:gridCol w:w="929"/>
        <w:gridCol w:w="813"/>
        <w:gridCol w:w="868"/>
        <w:gridCol w:w="748"/>
        <w:gridCol w:w="823"/>
        <w:gridCol w:w="673"/>
        <w:gridCol w:w="748"/>
        <w:gridCol w:w="841"/>
      </w:tblGrid>
      <w:tr w14:paraId="41A4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9408" w:type="dxa"/>
            <w:gridSpan w:val="11"/>
            <w:tcBorders>
              <w:top w:val="nil"/>
              <w:left w:val="nil"/>
              <w:bottom w:val="nil"/>
              <w:right w:val="nil"/>
            </w:tcBorders>
            <w:vAlign w:val="center"/>
          </w:tcPr>
          <w:p w14:paraId="73BFF67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年</w:t>
            </w: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月考核汇总表</w:t>
            </w:r>
          </w:p>
        </w:tc>
      </w:tr>
      <w:tr w14:paraId="6CBEF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242BAD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743BF23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考核管理站</w:t>
            </w:r>
          </w:p>
        </w:tc>
        <w:tc>
          <w:tcPr>
            <w:tcW w:w="1063" w:type="dxa"/>
            <w:tcBorders>
              <w:top w:val="single" w:color="000000" w:sz="4" w:space="0"/>
              <w:left w:val="single" w:color="000000" w:sz="4" w:space="0"/>
              <w:bottom w:val="single" w:color="000000" w:sz="4" w:space="0"/>
              <w:right w:val="single" w:color="000000" w:sz="4" w:space="0"/>
            </w:tcBorders>
            <w:vAlign w:val="center"/>
          </w:tcPr>
          <w:p w14:paraId="44679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现场打分</w:t>
            </w:r>
          </w:p>
        </w:tc>
        <w:tc>
          <w:tcPr>
            <w:tcW w:w="929" w:type="dxa"/>
            <w:tcBorders>
              <w:top w:val="single" w:color="000000" w:sz="4" w:space="0"/>
              <w:left w:val="single" w:color="000000" w:sz="4" w:space="0"/>
              <w:bottom w:val="single" w:color="000000" w:sz="4" w:space="0"/>
              <w:right w:val="single" w:color="000000" w:sz="4" w:space="0"/>
            </w:tcBorders>
            <w:vAlign w:val="center"/>
          </w:tcPr>
          <w:p w14:paraId="1C277B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19BBAA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1CD59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0143E8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037F21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8239F8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2DD75F9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16B012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206C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1BFC762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526657C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5713C3D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0B26873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DA600A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EB2203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6B66008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1955C6C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21C98B3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C1CE12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4FE0C21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787FD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E56331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2C9264D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02577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762BD3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E719B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10AFCF4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27AF9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FD634A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8AB44D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21827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787585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3030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31611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53FD8FD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A9A7BB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57DDE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23BE82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01B5B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24E94B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0B2C3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300BF2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E4D3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06F29D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99D8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8"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CBE051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57265F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考核养护单位</w:t>
            </w:r>
          </w:p>
        </w:tc>
        <w:tc>
          <w:tcPr>
            <w:tcW w:w="1063" w:type="dxa"/>
            <w:tcBorders>
              <w:top w:val="single" w:color="000000" w:sz="4" w:space="0"/>
              <w:left w:val="single" w:color="000000" w:sz="4" w:space="0"/>
              <w:bottom w:val="single" w:color="000000" w:sz="4" w:space="0"/>
              <w:right w:val="single" w:color="000000" w:sz="4" w:space="0"/>
            </w:tcBorders>
            <w:vAlign w:val="center"/>
          </w:tcPr>
          <w:p w14:paraId="27C54F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平均分</w:t>
            </w:r>
          </w:p>
        </w:tc>
        <w:tc>
          <w:tcPr>
            <w:tcW w:w="929" w:type="dxa"/>
            <w:tcBorders>
              <w:top w:val="single" w:color="000000" w:sz="4" w:space="0"/>
              <w:left w:val="single" w:color="000000" w:sz="4" w:space="0"/>
              <w:bottom w:val="single" w:color="000000" w:sz="4" w:space="0"/>
              <w:right w:val="single" w:color="000000" w:sz="4" w:space="0"/>
            </w:tcBorders>
            <w:vAlign w:val="center"/>
          </w:tcPr>
          <w:p w14:paraId="3B5A6A4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250F014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3BDD7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4A119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47B8ABC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FAA489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41BB54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0283B4E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0BF4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09E4A9E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4DE50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93946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D6D81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18ABDE3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390768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42FFEF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2EAC2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2E7AA8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3BBD6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17DD136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6F32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48EF69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default"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48B947E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BCFE4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1F097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617D1E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3B70B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BC226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396CB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E319B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5D4F1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4BE2C2B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880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8F6375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7F78939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0497AAA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D7090B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477B2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7A2FF66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3A81B85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2E0C0F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866B3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F9DE7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742926C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bl>
    <w:p w14:paraId="270290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Sun-ExtG"/>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imSun-ExtG">
    <w:panose1 w:val="02010609060101010101"/>
    <w:charset w:val="86"/>
    <w:family w:val="auto"/>
    <w:pitch w:val="default"/>
    <w:sig w:usb0="00000001" w:usb1="02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2"/>
      <w:numFmt w:val="decimal"/>
      <w:lvlText w:val="(%1)"/>
      <w:lvlJc w:val="left"/>
      <w:pPr>
        <w:tabs>
          <w:tab w:val="left" w:pos="312"/>
        </w:tabs>
      </w:pPr>
    </w:lvl>
  </w:abstractNum>
  <w:abstractNum w:abstractNumId="1">
    <w:nsid w:val="0000000B"/>
    <w:multiLevelType w:val="singleLevel"/>
    <w:tmpl w:val="000000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41"/>
    <w:rsid w:val="00DB0641"/>
    <w:rsid w:val="29B94012"/>
    <w:rsid w:val="5DB45B76"/>
    <w:rsid w:val="76476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customStyle="1" w:styleId="7">
    <w:name w:val="null3"/>
    <w:qFormat/>
    <w:uiPriority w:val="0"/>
    <w:rPr>
      <w:rFonts w:hint="eastAsia" w:ascii="Calibri" w:hAnsi="Calibri" w:eastAsia="宋体" w:cs="宋体"/>
      <w:lang w:val="en-US"/>
    </w:rPr>
  </w:style>
  <w:style w:type="paragraph" w:customStyle="1" w:styleId="8">
    <w:name w:val="NormalIndent"/>
    <w:basedOn w:val="1"/>
    <w:qFormat/>
    <w:uiPriority w:val="0"/>
    <w:pPr>
      <w:ind w:firstLine="420"/>
      <w:jc w:val="both"/>
      <w:textAlignment w:val="baseline"/>
    </w:pPr>
    <w:rPr>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25</Pages>
  <Words>14058</Words>
  <Characters>14658</Characters>
  <Lines>0</Lines>
  <Paragraphs>0</Paragraphs>
  <TotalTime>1</TotalTime>
  <ScaleCrop>false</ScaleCrop>
  <LinksUpToDate>false</LinksUpToDate>
  <CharactersWithSpaces>14787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2025-09-29T04:40:00Z</dcterms:created>
  <dc:creator>나무</dc:creator>
  <cp:lastModifiedBy>w**l</cp:lastModifiedBy>
  <dcterms:modified xsi:type="dcterms:W3CDTF">2025-09-29T13:11:02Z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1B7838DF9EBD4164BFFD51A20F0AE2BC_11</vt:lpwstr>
  </property>
  <property fmtid="{D5CDD505-2E9C-101B-9397-08002B2CF9AE}" pid="4" name="KSOTemplateDocerSaveRecord">
    <vt:lpwstr>eyJoZGlkIjoiNzNlNmY1N2M1NzM2ZDVlNDc4Y2JjNjc0YjQwODU1NmQiLCJ1c2VySWQiOiI1NjUyMTA3MzYifQ==</vt:lpwstr>
  </property>
</Properties>
</file>